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2019-01-01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AF8895BD875">
        <w:r w:rsidRPr="00532B9F">
          <w:rPr>
            <w:rFonts w:ascii="Times New Roman" w:eastAsia="MS Mincho" w:hAnsi="Times New Roman"/>
            <w:sz w:val="20"/>
            <w:i/>
            <w:iCs/>
            <w:color w:val="0000FF" w:themeColor="hyperlink"/>
            <w:u w:val="single"/>
          </w:rPr>
          <w:t>18-816</w:t>
        </w:r>
      </w:fldSimple>
      <w:r>
        <w:rPr>
          <w:rFonts w:ascii="Times New Roman" w:eastAsia="MS Mincho" w:hAnsi="Times New Roman"/>
          <w:sz w:val="20"/>
          <w:i/>
          <w:iCs/>
        </w:rPr>
        <w:t>, i. k. 112203NISAK00001-22</w:t>
      </w:r>
    </w:p>
    <w:p>
      <w:pPr>
        <w:jc w:val="both"/>
        <w:rPr>
          <w:rFonts w:ascii="Times New Roman" w:hAnsi="Times New Roman"/>
          <w:sz w:val="20"/>
        </w:rPr>
      </w:pPr>
    </w:p>
    <w:p>
      <w:pPr>
        <w:widowControl w:val="0"/>
        <w:jc w:val="center"/>
        <w:rPr>
          <w:caps/>
          <w:color w:val="000000"/>
          <w:lang w:val="en-GB"/>
        </w:rPr>
      </w:pPr>
      <w:r>
        <w:rPr>
          <w:caps/>
          <w:color w:val="000000"/>
        </w:rPr>
        <w:pict>
          <v:shapetype id="_x0000_t201" coordsize="21600,21600" o:spt="201" path="m,l,21600r21600,l21600,xe">
            <v:stroke joinstyle="miter"/>
            <v:path shadowok="f" o:extrusionok="f" strokeok="f" fillok="f" o:connecttype="rect"/>
            <o:lock v:ext="edit" shapetype="t"/>
          </v:shapetype>
          <v:shape id="_x0000_s1265" type="#_x0000_t201" style="position:absolute;left:0;text-align:left;margin-left:0;margin-top:0;width:.75pt;height:.75pt;z-index:251659264;visibility:hidden;mso-position-horizontal-relative:text;mso-position-vertical-relative:text" stroked="f">
            <v:imagedata r:id="rId9" o:title=""/>
          </v:shape>
          <w:control r:id="rId10" w:name="Control 241" w:shapeid="_x0000_s1265"/>
        </w:pict>
      </w:r>
      <w:r>
        <w:rPr>
          <w:caps/>
          <w:color w:val="000000"/>
          <w:lang w:val="en-GB"/>
        </w:rPr>
        <w:t>LIETUVOS RESPUBLIKOS ENERGETIKOS MINISTRO</w:t>
      </w:r>
    </w:p>
    <w:p>
      <w:pPr>
        <w:widowControl w:val="0"/>
        <w:jc w:val="center"/>
        <w:rPr>
          <w:caps/>
          <w:color w:val="000000"/>
          <w:lang w:val="en-GB"/>
        </w:rPr>
      </w:pPr>
      <w:r>
        <w:rPr>
          <w:caps/>
          <w:color w:val="000000"/>
          <w:lang w:val="en-GB"/>
        </w:rPr>
        <w:t>į s a k y m a s</w:t>
      </w:r>
    </w:p>
    <w:p>
      <w:pPr>
        <w:widowControl w:val="0"/>
        <w:jc w:val="center"/>
        <w:rPr>
          <w:b/>
          <w:bCs/>
          <w:caps/>
          <w:color w:val="000000"/>
          <w:lang w:val="en-GB"/>
        </w:rPr>
      </w:pPr>
    </w:p>
    <w:p>
      <w:pPr>
        <w:widowControl w:val="0"/>
        <w:jc w:val="center"/>
        <w:rPr>
          <w:b/>
          <w:bCs/>
          <w:caps/>
          <w:color w:val="000000"/>
          <w:lang w:val="en-GB"/>
        </w:rPr>
      </w:pPr>
      <w:r>
        <w:rPr>
          <w:b/>
          <w:bCs/>
          <w:caps/>
          <w:color w:val="000000"/>
          <w:lang w:val="en-GB"/>
        </w:rPr>
        <w:t>DĖL ELEKTROS ĮRENGINIŲ ĮRENGIMO BENDRŲJŲ taisyklių patvirtinimo</w:t>
      </w:r>
    </w:p>
    <w:p>
      <w:pPr>
        <w:widowControl w:val="0"/>
        <w:ind w:firstLine="567"/>
        <w:jc w:val="both"/>
        <w:rPr>
          <w:b/>
          <w:bCs/>
          <w:caps/>
          <w:color w:val="000000"/>
          <w:lang w:val="en-GB"/>
        </w:rPr>
      </w:pPr>
    </w:p>
    <w:p>
      <w:pPr>
        <w:widowControl w:val="0"/>
        <w:jc w:val="center"/>
        <w:rPr>
          <w:color w:val="000000"/>
          <w:lang w:val="en-GB"/>
        </w:rPr>
      </w:pPr>
      <w:r>
        <w:rPr>
          <w:color w:val="000000"/>
          <w:lang w:val="en-GB"/>
        </w:rPr>
        <w:t>2012 m. vasario 3 d. Nr. 1-22</w:t>
      </w:r>
    </w:p>
    <w:p>
      <w:pPr>
        <w:widowControl w:val="0"/>
        <w:jc w:val="center"/>
        <w:rPr>
          <w:color w:val="000000"/>
          <w:lang w:val="en-GB"/>
        </w:rPr>
      </w:pPr>
      <w:r>
        <w:rPr>
          <w:color w:val="000000"/>
          <w:lang w:val="en-GB"/>
        </w:rPr>
        <w:t>Vilnius</w:t>
      </w:r>
    </w:p>
    <w:p>
      <w:pPr>
        <w:widowControl w:val="0"/>
        <w:ind w:firstLine="567"/>
        <w:jc w:val="both"/>
        <w:rPr>
          <w:color w:val="000000"/>
          <w:lang w:val="en-GB"/>
        </w:rPr>
      </w:pPr>
    </w:p>
    <w:p>
      <w:pPr>
        <w:widowControl w:val="0"/>
        <w:ind w:firstLine="567"/>
        <w:jc w:val="both"/>
        <w:rPr>
          <w:color w:val="000000"/>
          <w:lang w:val="en-GB"/>
        </w:rPr>
      </w:pPr>
    </w:p>
    <w:p>
      <w:pPr>
        <w:widowControl w:val="0"/>
        <w:ind w:firstLine="720"/>
        <w:jc w:val="both"/>
        <w:rPr>
          <w:color w:val="000000"/>
          <w:lang w:val="en-GB"/>
        </w:rPr>
      </w:pPr>
      <w:r>
        <w:rPr>
          <w:color w:val="000000"/>
          <w:szCs w:val="24"/>
        </w:rPr>
        <w:t xml:space="preserve">Vadovaudamasis Lietuvos Respublikos energetikos įstatymo 6 straipsnio 2 punktu, Lietuvos Respublikos elektros energetikos įstatymo 73 straipsnio 1 dalimi ir 75 straipsnio 1 dalimi, ir įgyvendindamas </w:t>
      </w:r>
      <w:r>
        <w:rPr>
          <w:szCs w:val="24"/>
          <w:lang w:eastAsia="lt-LT"/>
        </w:rPr>
        <w:t>2012 m. spalio 25 d. Europos Parlamento ir Tarybos direktyvos 2012/27/ES dėl energijos vartojimo efektyvumo, kuria iš dalies keičiamos direktyvos 2009/125/EB ir 2010/30/ES bei kuria panaikinamos direktyvos 2004/8/EB ir 2006/32/EB (</w:t>
      </w:r>
      <w:r>
        <w:rPr>
          <w:color w:val="000000"/>
          <w:szCs w:val="24"/>
        </w:rPr>
        <w:t>OL 2012 L 315, p. 1)</w:t>
      </w:r>
      <w:r>
        <w:rPr>
          <w:szCs w:val="24"/>
          <w:lang w:eastAsia="lt-LT"/>
        </w:rPr>
        <w:t>, 9 straipsnio 2 dalies a, b, c ir d punktus bei 10 straipsnio 2 dalį ir 3 dalies a ir e punktus</w:t>
      </w:r>
      <w:r>
        <w:rPr>
          <w:color w:val="000000"/>
          <w:szCs w:val="24"/>
        </w:rPr>
        <w:t>, 2014 m. spalio 22 d. Europos Parlamento ir Tarybos Direktyvos 2014/94/ES dėl alternatyviųjų degalų infrastruktūros diegimo (OL 2014 L 307, p. 1) 2 straipsnio 6 punktą, 4 straipsnio 4 ir 6 dalis, 7 straipsnio 1 dalį, 11 straipsnio 2 dalį, 2 priedo 1.1</w:t>
      </w:r>
      <w:r>
        <w:rPr>
          <w:szCs w:val="24"/>
        </w:rPr>
        <w:t>–1.8 papunkčius</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08acd0d96811e68d79c2033f194657">
        <w:r w:rsidRPr="00532B9F">
          <w:rPr>
            <w:rFonts w:ascii="Times New Roman" w:eastAsia="MS Mincho" w:hAnsi="Times New Roman"/>
            <w:sz w:val="20"/>
            <w:i/>
            <w:iCs/>
            <w:color w:val="0000FF" w:themeColor="hyperlink"/>
            <w:u w:val="single"/>
          </w:rPr>
          <w:t>1-9</w:t>
        </w:r>
      </w:fldSimple>
      <w:r>
        <w:rPr>
          <w:rFonts w:ascii="Times New Roman" w:eastAsia="MS Mincho" w:hAnsi="Times New Roman"/>
          <w:sz w:val="20"/>
          <w:i/>
          <w:iCs/>
        </w:rPr>
        <w:t>,
2017-01-13,
paskelbta TAR 2017-01-16, i. k. 2017-00932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ind w:firstLine="720"/>
        <w:jc w:val="both"/>
        <w:rPr>
          <w:color w:val="000000"/>
          <w:lang w:val="en-GB"/>
        </w:rPr>
      </w:pPr>
      <w:r>
        <w:rPr>
          <w:color w:val="000000"/>
          <w:lang w:val="en-GB"/>
        </w:rPr>
        <w:t>1</w:t>
      </w:r>
      <w:r>
        <w:rPr>
          <w:color w:val="000000"/>
          <w:lang w:val="en-GB"/>
        </w:rPr>
        <w:t>. T v i r t i n u Elektros įrenginių įrengimo bendrąsias taisykles (pridedama).</w:t>
      </w:r>
    </w:p>
    <w:p>
      <w:pPr>
        <w:widowControl w:val="0"/>
        <w:ind w:firstLine="720"/>
        <w:jc w:val="both"/>
        <w:rPr>
          <w:color w:val="000000"/>
          <w:lang w:val="en-GB"/>
        </w:rPr>
      </w:pPr>
      <w:r>
        <w:rPr>
          <w:color w:val="000000"/>
          <w:lang w:val="en-GB"/>
        </w:rPr>
        <w:t>2</w:t>
      </w:r>
      <w:r>
        <w:rPr>
          <w:color w:val="000000"/>
          <w:lang w:val="en-GB"/>
        </w:rPr>
        <w:t>. N u s t a t a u, kad šis įsakymas įsigalioja 2012 m. gegužės 1 d.</w:t>
      </w:r>
    </w:p>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lang w:val="en-GB"/>
        </w:rPr>
      </w:pPr>
      <w:r>
        <w:rPr>
          <w:caps/>
          <w:color w:val="000000"/>
          <w:lang w:val="en-GB"/>
        </w:rPr>
        <w:t>Energetikos ministras</w:t>
        <w:tab/>
        <w:t>Arvydas Sekmokas</w:t>
      </w:r>
    </w:p>
    <w:p>
      <w:pPr>
        <w:widowControl w:val="0"/>
        <w:ind w:left="4535"/>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567" w:bottom="1134" w:left="1701" w:header="680" w:footer="680" w:gutter="0"/>
          <w:pgNumType w:start="1"/>
          <w:cols w:space="1296"/>
          <w:titlePg/>
          <w:docGrid w:linePitch="326"/>
        </w:sectPr>
      </w:pPr>
    </w:p>
    <w:p>
      <w:pPr>
        <w:widowControl w:val="0"/>
        <w:ind w:left="4535"/>
      </w:pPr>
      <w:r>
        <w:t>PATVIRTINTA</w:t>
      </w:r>
    </w:p>
    <w:p>
      <w:pPr>
        <w:widowControl w:val="0"/>
        <w:ind w:left="4535"/>
      </w:pPr>
      <w:r>
        <w:t xml:space="preserve">Lietuvos Respublikos energetikos ministro </w:t>
      </w:r>
    </w:p>
    <w:p>
      <w:pPr>
        <w:widowControl w:val="0"/>
        <w:ind w:left="4535"/>
      </w:pPr>
      <w:r>
        <w:t>2012 m. vasario 3 d. įsakymu Nr. 1-22</w:t>
      </w:r>
    </w:p>
    <w:p>
      <w:pPr>
        <w:widowControl w:val="0"/>
        <w:jc w:val="center"/>
      </w:pPr>
    </w:p>
    <w:p>
      <w:pPr>
        <w:widowControl w:val="0"/>
        <w:jc w:val="center"/>
        <w:rPr>
          <w:b/>
          <w:bCs/>
        </w:rPr>
      </w:pPr>
      <w:r>
        <w:rPr>
          <w:b/>
          <w:bCs/>
        </w:rPr>
        <w:t>ELEKTROS ĮRENGINIŲ ĮRENGIMO BENDROSIOS TAISYKLĖS</w:t>
      </w:r>
    </w:p>
    <w:p>
      <w:pPr>
        <w:widowControl w:val="0"/>
        <w:jc w:val="center"/>
        <w:rPr>
          <w:b/>
          <w:bCs/>
        </w:rPr>
      </w:pPr>
    </w:p>
    <w:p>
      <w:pPr>
        <w:widowControl w:val="0"/>
        <w:jc w:val="center"/>
        <w:rPr>
          <w:b/>
          <w:bCs/>
        </w:rPr>
      </w:pPr>
      <w:r>
        <w:rPr>
          <w:b/>
          <w:bCs/>
        </w:rPr>
        <w:t>I</w:t>
      </w:r>
      <w:r>
        <w:rPr>
          <w:b/>
          <w:bCs/>
        </w:rPr>
        <w:t xml:space="preserve"> SKYRIUS</w:t>
      </w:r>
    </w:p>
    <w:p>
      <w:pPr>
        <w:widowControl w:val="0"/>
        <w:jc w:val="center"/>
        <w:rPr>
          <w:b/>
          <w:bCs/>
        </w:rPr>
      </w:pPr>
      <w:r>
        <w:rPr>
          <w:b/>
          <w:bCs/>
        </w:rPr>
        <w:t xml:space="preserve">BENDROSIOS NUOSTATOS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80"/>
          <w:tab w:val="left" w:pos="1440"/>
          <w:tab w:val="left" w:pos="10560"/>
        </w:tabs>
        <w:ind w:firstLine="567"/>
        <w:jc w:val="both"/>
      </w:pPr>
      <w:r>
        <w:rPr>
          <w:szCs w:val="24"/>
        </w:rPr>
        <w:t>1</w:t>
      </w:r>
      <w:r>
        <w:rPr>
          <w:szCs w:val="24"/>
        </w:rPr>
        <w:t>. Elektros įrenginių įrengimo bendrosios taisyklės (toliau – Taisyklės) nustato elektros tinklų, visų tipų laidininkų, elektros aparatų parinkimo, elektros energijos apskaitos ir elektros dydžių matavimo, elektros įrenginių įžeminimo ir apsaugos nuo viršįtampių bei jų bandymų ir matavimų bendruosius, elektromobilių įkrovimo prieigų ir elektros tiekimo nuo kranto vandens transportui įrenginių įrengimo</w:t>
      </w:r>
      <w:r>
        <w:rPr>
          <w:b/>
          <w:bCs/>
          <w:szCs w:val="24"/>
        </w:rPr>
        <w:t xml:space="preserve"> </w:t>
      </w:r>
      <w:r>
        <w:rPr>
          <w:szCs w:val="24"/>
        </w:rPr>
        <w:t>reikalavimus ir elektros energetikos objektų ir įrenginių, kurie vadovaujantis Lietuvos Respublikos elektros energetikos įstatymu (toliau – Elektros energetikos įstatymas) laikomi kilnojamaisiais daiktais, projektavimo, įrengimo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80"/>
          <w:tab w:val="left" w:pos="1440"/>
          <w:tab w:val="left" w:pos="10560"/>
        </w:tabs>
        <w:ind w:firstLine="567"/>
        <w:jc w:val="both"/>
      </w:pPr>
      <w:r>
        <w:rPr>
          <w:szCs w:val="24"/>
        </w:rPr>
        <w:t>2</w:t>
      </w:r>
      <w:r>
        <w:rPr>
          <w:szCs w:val="24"/>
        </w:rPr>
        <w:t>. Taisyklių reikalavimai yra privalomi elektros energijos gamintojams, perdavimo ir skirstomųjų tinklų operatoriams, elektros energijos vartotojams, kitoms energetikos įmonėms ir kitiems asmenims, projektuojantiems,</w:t>
      </w:r>
      <w:r>
        <w:rPr>
          <w:color w:val="FF0000"/>
          <w:szCs w:val="24"/>
        </w:rPr>
        <w:t xml:space="preserve"> </w:t>
      </w:r>
      <w:r>
        <w:rPr>
          <w:szCs w:val="24"/>
        </w:rPr>
        <w:t>įrengiantiems naujus, rekonstruojantiems arba kapitališkai remontuojantiems kintamosios ir nuolatinės srovės iki 400 kV įtampos elektros įrenginius ir asmenims, įrengiantiems elektromobilių įkrovimo prieigas bei elektros tiekimo nuo kranto vandens transportui įrenginius. Taisyklės taip pat privalomos ir kitiems asmenims, kurių veiklą reglamentuoja Lietuvos Respublikos statybos įstatymas (toliau – Statybos įstatymas).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3</w:t>
      </w:r>
      <w:r>
        <w:t>. Taisyklėse nenurodytų specialiosios paskirties elektros įrenginių įrengimas reglamentuojamas kitais šiems įrenginiams skirtais teisės aktais.</w:t>
      </w:r>
    </w:p>
    <w:p>
      <w:pPr>
        <w:widowControl w:val="0"/>
        <w:tabs>
          <w:tab w:val="left" w:pos="-180"/>
          <w:tab w:val="left" w:pos="180"/>
          <w:tab w:val="left" w:pos="1440"/>
          <w:tab w:val="left" w:pos="9900"/>
          <w:tab w:val="left" w:pos="10560"/>
        </w:tabs>
        <w:ind w:firstLine="567"/>
        <w:jc w:val="both"/>
      </w:pPr>
      <w:r>
        <w:t>4</w:t>
      </w:r>
      <w:r>
        <w:t>. Taisyklėse vartojamos sąvokos:</w:t>
      </w:r>
    </w:p>
    <w:p>
      <w:pPr>
        <w:widowControl w:val="0"/>
        <w:tabs>
          <w:tab w:val="left" w:pos="-180"/>
          <w:tab w:val="left" w:pos="180"/>
          <w:tab w:val="left" w:pos="1440"/>
          <w:tab w:val="left" w:pos="9900"/>
          <w:tab w:val="left" w:pos="10560"/>
        </w:tabs>
        <w:ind w:firstLine="567"/>
        <w:jc w:val="both"/>
      </w:pPr>
      <w:r>
        <w:rPr>
          <w:b/>
        </w:rPr>
        <w:t>Aktyvioji dalis</w:t>
      </w:r>
      <w:r>
        <w:t xml:space="preserve"> – laidi elektros įrenginio dalis, kuria normaliomis darbo sąlygomis teka srovė arba kuri turi tik įtampą; nulinis laidininkas.</w:t>
      </w:r>
    </w:p>
    <w:p>
      <w:pPr>
        <w:widowControl w:val="0"/>
        <w:tabs>
          <w:tab w:val="left" w:pos="-180"/>
          <w:tab w:val="left" w:pos="180"/>
          <w:tab w:val="left" w:pos="1440"/>
          <w:tab w:val="left" w:pos="9900"/>
          <w:tab w:val="left" w:pos="10560"/>
        </w:tabs>
        <w:ind w:firstLine="567"/>
        <w:jc w:val="both"/>
      </w:pPr>
      <w:r>
        <w:rPr>
          <w:b/>
        </w:rPr>
        <w:t>Apkrovos koeficientas</w:t>
      </w:r>
      <w:r>
        <w:t xml:space="preserve"> – vidutinės faktinės apkrovos per apibrėžtą laiko intervalą ir maksimaliosios (vardinės) apkrovos santykis.</w:t>
      </w:r>
    </w:p>
    <w:p>
      <w:pPr>
        <w:widowControl w:val="0"/>
        <w:tabs>
          <w:tab w:val="left" w:pos="-180"/>
          <w:tab w:val="left" w:pos="180"/>
          <w:tab w:val="left" w:pos="1440"/>
          <w:tab w:val="left" w:pos="9900"/>
          <w:tab w:val="left" w:pos="10560"/>
        </w:tabs>
        <w:ind w:firstLine="567"/>
        <w:jc w:val="both"/>
      </w:pPr>
      <w:r>
        <w:rPr>
          <w:b/>
        </w:rPr>
        <w:t>Apsauginis įžeminimas</w:t>
      </w:r>
      <w:r>
        <w:t xml:space="preserve"> – pasyviųjų elektros įrenginio dalių įžeminimas žmonėms apsaugoti nuo pavojingo elektros srovės poveikio.</w:t>
      </w:r>
    </w:p>
    <w:p>
      <w:pPr>
        <w:widowControl w:val="0"/>
        <w:tabs>
          <w:tab w:val="left" w:pos="-180"/>
          <w:tab w:val="left" w:pos="180"/>
          <w:tab w:val="left" w:pos="1440"/>
          <w:tab w:val="left" w:pos="9900"/>
          <w:tab w:val="left" w:pos="10560"/>
        </w:tabs>
        <w:ind w:firstLine="567"/>
        <w:jc w:val="both"/>
      </w:pPr>
      <w:r>
        <w:rPr>
          <w:b/>
        </w:rPr>
        <w:t>Apsauginis laidininkas</w:t>
      </w:r>
      <w:r>
        <w:t xml:space="preserve"> </w:t>
      </w:r>
      <w:r>
        <w:rPr>
          <w:b/>
        </w:rPr>
        <w:t>(PE)</w:t>
      </w:r>
      <w:r>
        <w:t xml:space="preserve"> – laidininkas (laidas, šyna), jungiantis iki 1000 V įtampos įrenginių pasyviąsias dalis su trifazio generatoriaus arba transformatoriaus tiesiogiai įžeminta neutrale, o nuolatinės srovės tinkle – su šaltinio tiesiogiai įžemintu poliumi.</w:t>
      </w:r>
    </w:p>
    <w:p>
      <w:pPr>
        <w:widowControl w:val="0"/>
        <w:tabs>
          <w:tab w:val="left" w:pos="-180"/>
          <w:tab w:val="left" w:pos="180"/>
          <w:tab w:val="left" w:pos="1440"/>
          <w:tab w:val="left" w:pos="9720"/>
          <w:tab w:val="left" w:pos="9900"/>
        </w:tabs>
        <w:ind w:firstLine="567"/>
        <w:jc w:val="both"/>
      </w:pPr>
      <w:r>
        <w:rPr>
          <w:b/>
        </w:rPr>
        <w:t>Apsauginis nulinis laidininkas</w:t>
      </w:r>
      <w:r>
        <w:t xml:space="preserve"> </w:t>
      </w:r>
      <w:r>
        <w:rPr>
          <w:b/>
        </w:rPr>
        <w:t xml:space="preserve">(PEN) </w:t>
      </w:r>
      <w:r>
        <w:t>– laidininkas (laidas, šyna), vienu metu atliekantis ir apsauginio laidininko (PE), ir nulinio laidininko (N) funkcijas.</w:t>
      </w:r>
    </w:p>
    <w:p>
      <w:pPr>
        <w:widowControl w:val="0"/>
        <w:tabs>
          <w:tab w:val="left" w:pos="-180"/>
          <w:tab w:val="left" w:pos="180"/>
          <w:tab w:val="left" w:pos="1440"/>
          <w:tab w:val="left" w:pos="9720"/>
          <w:tab w:val="left" w:pos="9900"/>
        </w:tabs>
        <w:ind w:firstLine="567"/>
        <w:jc w:val="both"/>
      </w:pPr>
      <w:r>
        <w:rPr>
          <w:b/>
        </w:rPr>
        <w:t>Apsaugos įtaisas</w:t>
      </w:r>
      <w:r>
        <w:t xml:space="preserve"> – įtaisas, automatiškai išjungiantis saugomą elektros grandinę, atsiradus trumpajam jungimui ar kitam nenormaliam režimui.</w:t>
      </w:r>
    </w:p>
    <w:p>
      <w:pPr>
        <w:widowControl w:val="0"/>
        <w:tabs>
          <w:tab w:val="left" w:pos="-180"/>
          <w:tab w:val="left" w:pos="180"/>
          <w:tab w:val="left" w:pos="1440"/>
          <w:tab w:val="left" w:pos="9720"/>
          <w:tab w:val="left" w:pos="9900"/>
        </w:tabs>
        <w:ind w:firstLine="567"/>
        <w:jc w:val="both"/>
        <w:rPr>
          <w:b/>
        </w:rPr>
      </w:pPr>
      <w:r>
        <w:rPr>
          <w:b/>
        </w:rPr>
        <w:t>Atitvara</w:t>
      </w:r>
      <w:r>
        <w:t xml:space="preserve"> – perdanga, išorinė ar vidaus siena, pertvara, skirianti statinio dalis arba besiribojanti su išorine aplinka.</w:t>
      </w:r>
    </w:p>
    <w:p>
      <w:pPr>
        <w:widowControl w:val="0"/>
        <w:tabs>
          <w:tab w:val="left" w:pos="-180"/>
          <w:tab w:val="left" w:pos="720"/>
          <w:tab w:val="left" w:pos="1440"/>
          <w:tab w:val="left" w:pos="9720"/>
        </w:tabs>
        <w:ind w:firstLine="567"/>
        <w:jc w:val="both"/>
      </w:pPr>
      <w:r>
        <w:rPr>
          <w:b/>
        </w:rPr>
        <w:t>Atvadas</w:t>
      </w:r>
      <w:r>
        <w:t xml:space="preserve"> – elektros inžinerinio tinklo dalis nuo laidų arba oro kabelio gnybtų elektros oro linijos atramoje ar kabelių gnybtų kabelių spintoje arba nuo kabelio atsišakojimo movos iki įvadinės apskaitos spintos (skydelio) arba įvadinės apskaitos skirstomosios spintos (skydo).</w:t>
      </w:r>
    </w:p>
    <w:p>
      <w:pPr>
        <w:widowControl w:val="0"/>
        <w:tabs>
          <w:tab w:val="left" w:pos="-180"/>
          <w:tab w:val="left" w:pos="1440"/>
          <w:tab w:val="left" w:pos="9720"/>
        </w:tabs>
        <w:ind w:firstLine="567"/>
        <w:jc w:val="both"/>
      </w:pPr>
      <w:r>
        <w:rPr>
          <w:b/>
        </w:rPr>
        <w:t>Atviroji instaliacija</w:t>
      </w:r>
      <w:r>
        <w:t xml:space="preserve"> – instaliacija ant statinių sienų, lubų, kitų statybinių konstrukcijų, atramų ir pan. Atviroji instaliacija naudojama stacionarioji ir nestacionarioji.</w:t>
      </w:r>
    </w:p>
    <w:p>
      <w:pPr>
        <w:widowControl w:val="0"/>
        <w:tabs>
          <w:tab w:val="left" w:pos="-180"/>
          <w:tab w:val="left" w:pos="1440"/>
          <w:tab w:val="left" w:pos="9720"/>
        </w:tabs>
        <w:ind w:firstLine="567"/>
        <w:jc w:val="both"/>
      </w:pPr>
      <w:r>
        <w:rPr>
          <w:b/>
        </w:rPr>
        <w:t>Aukštoji įtampa</w:t>
      </w:r>
      <w:r>
        <w:t xml:space="preserve"> – 110 kV ir aukštesnė kintamosios srovės įtampa.</w:t>
      </w:r>
    </w:p>
    <w:p>
      <w:pPr>
        <w:widowControl w:val="0"/>
        <w:tabs>
          <w:tab w:val="left" w:pos="-180"/>
          <w:tab w:val="left" w:pos="1440"/>
          <w:tab w:val="left" w:pos="9720"/>
        </w:tabs>
        <w:ind w:firstLine="567"/>
        <w:jc w:val="both"/>
      </w:pPr>
      <w:r>
        <w:rPr>
          <w:b/>
        </w:rPr>
        <w:t>Chemiškai arba organiškai aktyvios aplinkos patalpa</w:t>
      </w:r>
      <w:r>
        <w:t xml:space="preserve"> – patalpa, kurioje nuolat arba dažnai būna chemiškai aktyvių garų, dujų, skysčių arba susidaro nuosėdų ar pelėsių, ardančių elektros įrenginių izoliaciją ir srovines dalis.</w:t>
      </w:r>
    </w:p>
    <w:p>
      <w:pPr>
        <w:widowControl w:val="0"/>
        <w:tabs>
          <w:tab w:val="left" w:pos="-180"/>
          <w:tab w:val="left" w:pos="1440"/>
          <w:tab w:val="left" w:pos="9720"/>
        </w:tabs>
        <w:ind w:firstLine="567"/>
        <w:jc w:val="both"/>
      </w:pPr>
      <w:r>
        <w:rPr>
          <w:b/>
        </w:rPr>
        <w:t>Darbinis įžeminimas</w:t>
      </w:r>
      <w:r>
        <w:t xml:space="preserve"> – tam tikro elektros grandinės taško įžeminimas numatytam darbo režimui palaikyti.</w:t>
      </w:r>
    </w:p>
    <w:p>
      <w:pPr>
        <w:widowControl w:val="0"/>
        <w:tabs>
          <w:tab w:val="left" w:pos="-180"/>
          <w:tab w:val="left" w:pos="1440"/>
        </w:tabs>
        <w:ind w:firstLine="567"/>
        <w:jc w:val="both"/>
      </w:pPr>
      <w:r>
        <w:rPr>
          <w:b/>
        </w:rPr>
        <w:t>Degi zona</w:t>
      </w:r>
      <w:r>
        <w:t xml:space="preserve"> – erdvė patalpoje ar lauke, kurioje normalaus technologinio pr  oceso metu arba jam sutrikus nuolat arba periodiškai atsiranda degiųjų medžiagų.</w:t>
      </w:r>
    </w:p>
    <w:p>
      <w:pPr>
        <w:widowControl w:val="0"/>
        <w:tabs>
          <w:tab w:val="left" w:pos="-180"/>
          <w:tab w:val="left" w:pos="1440"/>
        </w:tabs>
        <w:ind w:firstLine="567"/>
        <w:jc w:val="both"/>
      </w:pPr>
      <w:r>
        <w:rPr>
          <w:b/>
        </w:rPr>
        <w:t>Drėgna patalpa</w:t>
      </w:r>
      <w:r>
        <w:t xml:space="preserve"> – patalpa, kurioje santykinis oro drėgnumas yra 60–75 proc.</w:t>
      </w:r>
    </w:p>
    <w:p>
      <w:pPr>
        <w:widowControl w:val="0"/>
        <w:tabs>
          <w:tab w:val="left" w:pos="-180"/>
          <w:tab w:val="left" w:pos="1440"/>
        </w:tabs>
        <w:ind w:firstLine="567"/>
        <w:jc w:val="both"/>
      </w:pPr>
      <w:r>
        <w:rPr>
          <w:b/>
        </w:rPr>
        <w:t>Dulkėta patalpa</w:t>
      </w:r>
      <w:r>
        <w:t xml:space="preserve"> – patalpa, kurioje gamybos proceso metu išsiskiria technologinių dulkių, nusėdančių ant laidų ir galinčių prasiskverbti į įrenginių ar mechanizmų vidų. Skiriamos patalpos, kuriose yra elektrai laidžių dulkių, ir patalpos, kuriose yra elektrai nelaidžių dulkių.</w:t>
      </w:r>
    </w:p>
    <w:p>
      <w:pPr>
        <w:widowControl w:val="0"/>
        <w:tabs>
          <w:tab w:val="left" w:pos="-180"/>
          <w:tab w:val="left" w:pos="1440"/>
        </w:tabs>
        <w:ind w:firstLine="567"/>
        <w:jc w:val="both"/>
      </w:pPr>
      <w:r>
        <w:rPr>
          <w:b/>
        </w:rPr>
        <w:t>Dvifazis trumpasis jungimas su žeme</w:t>
      </w:r>
      <w:r>
        <w:t xml:space="preserve"> – trumpasis jungimas tarp dviejų fazinių laidų ir žemės tiesiogiai įžemintos neutralės tinkle.</w:t>
      </w:r>
    </w:p>
    <w:p>
      <w:pPr>
        <w:widowControl w:val="0"/>
        <w:tabs>
          <w:tab w:val="left" w:pos="-180"/>
          <w:tab w:val="left" w:pos="1440"/>
        </w:tabs>
        <w:ind w:firstLine="567"/>
        <w:jc w:val="both"/>
      </w:pPr>
      <w:r>
        <w:rPr>
          <w:b/>
        </w:rPr>
        <w:t>Dvigubasis įžemėjimas</w:t>
      </w:r>
      <w:r>
        <w:t xml:space="preserve"> – trumpasis jungimas tarp dviejų fazinių laidų ir žemės dviejose skirtingose vietose izoliuotosios neutralės (arba įžemintos per kompensavimo ritę) tinkle.</w:t>
      </w:r>
    </w:p>
    <w:p>
      <w:pPr>
        <w:widowControl w:val="0"/>
        <w:tabs>
          <w:tab w:val="left" w:pos="-180"/>
          <w:tab w:val="left" w:pos="1440"/>
        </w:tabs>
        <w:ind w:firstLine="567"/>
        <w:jc w:val="both"/>
      </w:pPr>
      <w:r>
        <w:rPr>
          <w:b/>
        </w:rPr>
        <w:t>Dviguboji izoliacija</w:t>
      </w:r>
      <w:r>
        <w:t xml:space="preserve"> – pagrindinės ir papildomosios izoliacijos visuma.</w:t>
      </w:r>
    </w:p>
    <w:p>
      <w:pPr>
        <w:widowControl w:val="0"/>
        <w:tabs>
          <w:tab w:val="left" w:pos="-180"/>
          <w:tab w:val="left" w:pos="1440"/>
        </w:tabs>
        <w:ind w:firstLine="567"/>
        <w:jc w:val="both"/>
      </w:pPr>
      <w:r>
        <w:rPr>
          <w:b/>
        </w:rPr>
        <w:t>Elektrodinaminis (mechaninis) atsparumas trumpojo jungimo srovėms</w:t>
      </w:r>
      <w:r>
        <w:t xml:space="preserve"> – įrenginio geba išlikti nesugadintam (elektriškai, mechaniškai arba kitaip) ir nesideformuoti tiek, kad dėl jėgų, sukeliamų smūginių trumpojo jungimo srovių poveikio, sutriktų jo normalus veikimas.</w:t>
      </w:r>
    </w:p>
    <w:p>
      <w:pPr>
        <w:widowControl w:val="0"/>
        <w:tabs>
          <w:tab w:val="left" w:pos="-180"/>
          <w:tab w:val="left" w:pos="1440"/>
        </w:tabs>
        <w:ind w:firstLine="567"/>
        <w:jc w:val="both"/>
      </w:pPr>
      <w:r>
        <w:rPr>
          <w:b/>
        </w:rPr>
        <w:t xml:space="preserve">Elektros apskaitos prietaisas </w:t>
      </w:r>
      <w:r>
        <w:t>(toliau – skaitiklis) – elektros energijos kiekio apskaitos prietaisas su jį valdančiu laikrodžiu.</w:t>
      </w:r>
    </w:p>
    <w:p>
      <w:pPr>
        <w:widowControl w:val="0"/>
        <w:tabs>
          <w:tab w:val="left" w:pos="-180"/>
          <w:tab w:val="left" w:pos="0"/>
          <w:tab w:val="left" w:pos="1440"/>
        </w:tabs>
        <w:ind w:firstLine="567"/>
        <w:jc w:val="both"/>
        <w:rPr>
          <w:b/>
        </w:rPr>
      </w:pPr>
      <w:r>
        <w:rPr>
          <w:b/>
        </w:rPr>
        <w:t>Elektros energijos šaltinis</w:t>
      </w:r>
      <w:r>
        <w:t xml:space="preserve"> – elektrinė, transformatorių pastotė, skirstomasis punktas, transformatorinė ar atskiras elektros generatorius, iš kurių elektros energija persiunčiama vartotojų elektros imtuvams.</w:t>
      </w:r>
    </w:p>
    <w:p>
      <w:pPr>
        <w:widowControl w:val="0"/>
        <w:tabs>
          <w:tab w:val="left" w:pos="-180"/>
          <w:tab w:val="left" w:pos="1440"/>
        </w:tabs>
        <w:ind w:firstLine="567"/>
        <w:jc w:val="both"/>
      </w:pPr>
      <w:r>
        <w:rPr>
          <w:b/>
        </w:rPr>
        <w:t>Elektros imtuvas</w:t>
      </w:r>
      <w:r>
        <w:t xml:space="preserve"> – aparatas, mechanizmas arba prietaisas, kuriame elektra keičiama į kitos rūšies energiją.</w:t>
      </w:r>
    </w:p>
    <w:p>
      <w:pPr>
        <w:widowControl w:val="0"/>
        <w:tabs>
          <w:tab w:val="left" w:pos="-180"/>
          <w:tab w:val="left" w:pos="1440"/>
        </w:tabs>
        <w:ind w:firstLine="567"/>
        <w:jc w:val="both"/>
      </w:pPr>
      <w:r>
        <w:rPr>
          <w:b/>
        </w:rPr>
        <w:t xml:space="preserve">Elektros instaliacija </w:t>
      </w:r>
      <w:r>
        <w:t>(toliau – instaliacija) – elektros inžinerinis tinklas arba elektros inžinerinė sistema, kurią sudaro laidų, kabelių ir jų tvirtinimo elementų, laikančiųjų apsauginių konstrukcijų ir detalių visuma.</w:t>
      </w:r>
    </w:p>
    <w:p>
      <w:pPr>
        <w:widowControl w:val="0"/>
        <w:ind w:firstLine="567"/>
        <w:jc w:val="both"/>
      </w:pPr>
      <w:r>
        <w:rPr>
          <w:b/>
        </w:rPr>
        <w:t xml:space="preserve">Elektros inžinerinis tinklas (elektros tinklas) </w:t>
      </w:r>
      <w:r>
        <w:t>– tarpusavyje sujungtų oro ir kabelių elektros linijų, transformatorių pastočių, skirstyklų, skirstomųjų punktų ir transformatorinių, skirtų elektrai perduoti ir skirstyti, visuma.</w:t>
      </w:r>
    </w:p>
    <w:p>
      <w:pPr>
        <w:widowControl w:val="0"/>
        <w:ind w:firstLine="567"/>
        <w:jc w:val="both"/>
      </w:pPr>
      <w:r>
        <w:rPr>
          <w:b/>
        </w:rPr>
        <w:t>Elektros įrenginys</w:t>
      </w:r>
      <w:r>
        <w:t xml:space="preserve"> – techninė konstrukcija (mechanizmas, mašina, aparatas, elektros inžinerinis tinklas, statinio elektros inžinerinė sistema, jų pagalbiniai įtaisai ir pan.), skirta elektros energijai gaminti, perduoti, keisti (transformuoti), apskaičiuoti, skirstyti, akumuliuoti ir (arba) vartoti.</w:t>
      </w:r>
    </w:p>
    <w:p>
      <w:pPr>
        <w:widowControl w:val="0"/>
        <w:tabs>
          <w:tab w:val="left" w:pos="-180"/>
          <w:tab w:val="left" w:pos="1440"/>
        </w:tabs>
        <w:ind w:firstLine="567"/>
        <w:jc w:val="both"/>
      </w:pPr>
      <w:r>
        <w:rPr>
          <w:b/>
        </w:rPr>
        <w:t>Elektros įrenginio patikimo veikimo būklė</w:t>
      </w:r>
      <w:r>
        <w:t xml:space="preserve"> – elektros įrenginio būklė, kai jis gali atlikti visas jam paskirtas funkcijas, išlaikydamas norminiuose arba konstravimo (projektavimo) dokumentuose nurodytus naudojimo parametrus.</w:t>
      </w:r>
    </w:p>
    <w:p>
      <w:pPr>
        <w:widowControl w:val="0"/>
        <w:tabs>
          <w:tab w:val="left" w:pos="-180"/>
          <w:tab w:val="left" w:pos="1440"/>
        </w:tabs>
        <w:ind w:firstLine="567"/>
        <w:jc w:val="both"/>
      </w:pPr>
      <w:r>
        <w:rPr>
          <w:b/>
        </w:rPr>
        <w:t>Elektros įrenginys nesusilpninta izoliacija</w:t>
      </w:r>
      <w:r>
        <w:t xml:space="preserve"> – elektros įrenginys, kurio srovinių dalių izoliacija skirta pagrindinei apsaugai nuo elektros smūgio ir kurį gali veikti atmosferiniai viršįtampiai.</w:t>
      </w:r>
    </w:p>
    <w:p>
      <w:pPr>
        <w:widowControl w:val="0"/>
        <w:tabs>
          <w:tab w:val="left" w:pos="-180"/>
          <w:tab w:val="left" w:pos="0"/>
          <w:tab w:val="left" w:pos="1440"/>
        </w:tabs>
        <w:ind w:firstLine="567"/>
        <w:jc w:val="both"/>
      </w:pPr>
      <w:r>
        <w:rPr>
          <w:b/>
        </w:rPr>
        <w:t>Elektros įrenginys susilpninta izoliacija</w:t>
      </w:r>
      <w:r>
        <w:t xml:space="preserve"> – elektros įrenginys, kurio srovinių dalių izoliacija (atitinkanti konkrečiam įrenginiui keliamus reikalavimus) apsaugo nuo elektros smūgio ir kurio apsaugai nuo atmosferinių viršįtampių turi būti naudojamos specialios priemonės.</w:t>
      </w:r>
    </w:p>
    <w:p>
      <w:pPr>
        <w:widowControl w:val="0"/>
        <w:tabs>
          <w:tab w:val="left" w:pos="-180"/>
          <w:tab w:val="left" w:pos="0"/>
          <w:tab w:val="left" w:pos="1440"/>
        </w:tabs>
        <w:ind w:firstLine="567"/>
        <w:jc w:val="both"/>
      </w:pPr>
      <w:r>
        <w:rPr>
          <w:b/>
        </w:rPr>
        <w:t>Elektros įrenginių įrengtoji galia</w:t>
      </w:r>
      <w:r>
        <w:t xml:space="preserve"> – prie elektros tinklo prijungtų vartotojo galios transformatorių ir elektros imtuvų (variklių, elektrodinių katilų ir pan.) galia, kai vartotojo elektros įrenginiai prijungti prie 1000 V arba aukštesnės įtampos. Kai vartotojo elektros įrenginiai prijungti prie žemesnės negu 1000 V įtampos elektros tinklo, tai elektros įrenginių įrengtoji galia yra visų vartotojo elektros tinkle prijungtų elektros imtuvų galia.</w:t>
      </w:r>
    </w:p>
    <w:p>
      <w:pPr>
        <w:widowControl w:val="0"/>
        <w:tabs>
          <w:tab w:val="left" w:pos="-180"/>
          <w:tab w:val="left" w:pos="0"/>
          <w:tab w:val="left" w:pos="1440"/>
        </w:tabs>
        <w:ind w:firstLine="567"/>
        <w:jc w:val="both"/>
      </w:pPr>
      <w:r>
        <w:rPr>
          <w:b/>
        </w:rPr>
        <w:t>Elektros įrenginių įtampos klasė</w:t>
      </w:r>
      <w:r>
        <w:t xml:space="preserve"> – elektros įrenginių vardinė įtampa, kuriai esant elektros įrenginys skirtas eksploatuoti.</w:t>
      </w:r>
    </w:p>
    <w:p>
      <w:pPr>
        <w:widowControl w:val="0"/>
        <w:tabs>
          <w:tab w:val="left" w:pos="-180"/>
          <w:tab w:val="left" w:pos="0"/>
          <w:tab w:val="left" w:pos="1440"/>
        </w:tabs>
        <w:ind w:firstLine="567"/>
        <w:jc w:val="both"/>
      </w:pPr>
      <w:r>
        <w:rPr>
          <w:b/>
        </w:rPr>
        <w:t>Elektros skydinė</w:t>
      </w:r>
      <w:r>
        <w:t xml:space="preserve"> – patalpa su elektros įrenginių (skydų, spintų) su komutavimo ir apsaugos aparatais ir elektros matavimo prietaisais visuma, skirta elektrai paskirstyti.</w:t>
      </w:r>
    </w:p>
    <w:p>
      <w:pPr>
        <w:widowControl w:val="0"/>
        <w:tabs>
          <w:tab w:val="left" w:pos="-180"/>
          <w:tab w:val="left" w:pos="0"/>
          <w:tab w:val="left" w:pos="1440"/>
        </w:tabs>
        <w:ind w:firstLine="567"/>
        <w:jc w:val="both"/>
      </w:pPr>
      <w:r>
        <w:rPr>
          <w:b/>
          <w:szCs w:val="24"/>
        </w:rPr>
        <w:t>Elektros tiekimas nuo kranto</w:t>
      </w:r>
      <w:r>
        <w:rPr>
          <w:szCs w:val="24"/>
        </w:rPr>
        <w:t xml:space="preserve"> – prišvartuotų jūrų laivų arba vidaus vandenų laivų aprūpinimas elektros energija nuo kranto, naudojant standartizuotą sąsają.</w:t>
      </w:r>
    </w:p>
    <w:p>
      <w:pPr>
        <w:widowControl w:val="0"/>
        <w:tabs>
          <w:tab w:val="left" w:pos="-180"/>
          <w:tab w:val="left" w:pos="0"/>
          <w:tab w:val="left" w:pos="1440"/>
        </w:tabs>
        <w:ind w:firstLine="567"/>
        <w:jc w:val="both"/>
      </w:pPr>
      <w:r>
        <w:rPr>
          <w:b/>
        </w:rPr>
        <w:t>Įnulinimas</w:t>
      </w:r>
      <w:r>
        <w:t xml:space="preserve"> – iki 1000 V įtampos tinkluose – pasyviųjų įrenginio dalių tikslinis sujungimas su tiesiogiai įžeminta trifazio maitinimo šaltinio (transformatoriaus, generatoriaus) neutrale, vienfazio maitinimo šaltinio apvijos tiesiogiai įžemintu tašku arba įžemintu nuolatinės srovės šaltinio poliumi.</w:t>
      </w:r>
    </w:p>
    <w:p>
      <w:pPr>
        <w:widowControl w:val="0"/>
        <w:tabs>
          <w:tab w:val="left" w:pos="-180"/>
          <w:tab w:val="left" w:pos="0"/>
          <w:tab w:val="left" w:pos="1440"/>
        </w:tabs>
        <w:ind w:firstLine="567"/>
        <w:jc w:val="both"/>
      </w:pPr>
      <w:r>
        <w:rPr>
          <w:b/>
        </w:rPr>
        <w:t>Išlyginamasis tinklas</w:t>
      </w:r>
      <w:r>
        <w:t xml:space="preserve"> – tinklas iš laidininkų, prijungtų prie kitų įžemintuvo elementų, skirtas potencialui išlyginti.</w:t>
      </w:r>
    </w:p>
    <w:p>
      <w:pPr>
        <w:widowControl w:val="0"/>
        <w:tabs>
          <w:tab w:val="left" w:pos="-180"/>
          <w:tab w:val="left" w:pos="0"/>
          <w:tab w:val="left" w:pos="1440"/>
        </w:tabs>
        <w:ind w:firstLine="567"/>
        <w:jc w:val="both"/>
      </w:pPr>
      <w:r>
        <w:rPr>
          <w:b/>
        </w:rPr>
        <w:t>Išorinė temperatūra</w:t>
      </w:r>
      <w:r>
        <w:t xml:space="preserve"> – laidininką ar įrenginį supančios aplinkos temperatūra, kai per jį neteka darbo srovė.</w:t>
      </w:r>
    </w:p>
    <w:p>
      <w:pPr>
        <w:widowControl w:val="0"/>
        <w:tabs>
          <w:tab w:val="left" w:pos="-180"/>
          <w:tab w:val="left" w:pos="0"/>
          <w:tab w:val="left" w:pos="1440"/>
        </w:tabs>
        <w:ind w:firstLine="567"/>
        <w:jc w:val="both"/>
      </w:pPr>
      <w:r>
        <w:rPr>
          <w:b/>
        </w:rPr>
        <w:t>Izoliuotosios neutralės tinklas</w:t>
      </w:r>
      <w:r>
        <w:t xml:space="preserve"> – elektros tinklas, kurio neutralė neįžeminta.</w:t>
      </w:r>
    </w:p>
    <w:p>
      <w:pPr>
        <w:widowControl w:val="0"/>
        <w:tabs>
          <w:tab w:val="left" w:pos="-180"/>
          <w:tab w:val="left" w:pos="0"/>
          <w:tab w:val="left" w:pos="1440"/>
        </w:tabs>
        <w:ind w:firstLine="567"/>
        <w:jc w:val="both"/>
      </w:pPr>
      <w:r>
        <w:rPr>
          <w:b/>
        </w:rPr>
        <w:t>Jungiamieji laidininkai</w:t>
      </w:r>
      <w:r>
        <w:t xml:space="preserve"> – laidininkai, jungiantys elektrodus.</w:t>
      </w:r>
    </w:p>
    <w:p>
      <w:pPr>
        <w:widowControl w:val="0"/>
        <w:tabs>
          <w:tab w:val="left" w:pos="-180"/>
          <w:tab w:val="left" w:pos="0"/>
          <w:tab w:val="left" w:pos="1440"/>
        </w:tabs>
        <w:ind w:firstLine="567"/>
        <w:jc w:val="both"/>
      </w:pPr>
      <w:r>
        <w:rPr>
          <w:b/>
        </w:rPr>
        <w:t xml:space="preserve">Jungtis </w:t>
      </w:r>
      <w:r>
        <w:t>– dvi elektros sistemos savarankiškas dalis jungianti grandis.</w:t>
      </w:r>
    </w:p>
    <w:p>
      <w:pPr>
        <w:widowControl w:val="0"/>
        <w:tabs>
          <w:tab w:val="left" w:pos="-180"/>
          <w:tab w:val="left" w:pos="0"/>
          <w:tab w:val="left" w:pos="1440"/>
        </w:tabs>
        <w:ind w:firstLine="567"/>
        <w:jc w:val="both"/>
      </w:pPr>
      <w:r>
        <w:rPr>
          <w:b/>
        </w:rPr>
        <w:t>Įvadinė apskaitos spinta</w:t>
      </w:r>
      <w:r>
        <w:t xml:space="preserve"> – spinta (skydelis), skirta įrengti elektros apskaitos prietaisus ir elektros apskaitos schemos elementus.</w:t>
      </w:r>
    </w:p>
    <w:p>
      <w:pPr>
        <w:widowControl w:val="0"/>
        <w:tabs>
          <w:tab w:val="left" w:pos="-180"/>
          <w:tab w:val="left" w:pos="0"/>
          <w:tab w:val="left" w:pos="1440"/>
        </w:tabs>
        <w:ind w:firstLine="567"/>
        <w:jc w:val="both"/>
      </w:pPr>
      <w:r>
        <w:rPr>
          <w:b/>
        </w:rPr>
        <w:t>Įvadinė apskaitos skirstomoji spinta</w:t>
      </w:r>
      <w:r>
        <w:t xml:space="preserve"> – spinta (skydas), skirta įrengti elektros apskaitos prietaisus ir elektros apskaitos schemos elementus, vartotojo elektros įrenginius prijungti prie operatoriaus elektros tinklų, elektrai apskaityti ir jai paskirstyti vartotojų grupei arba jų elektros imtuvams. </w:t>
      </w:r>
    </w:p>
    <w:p>
      <w:pPr>
        <w:widowControl w:val="0"/>
        <w:tabs>
          <w:tab w:val="left" w:pos="-180"/>
          <w:tab w:val="left" w:pos="0"/>
          <w:tab w:val="left" w:pos="1440"/>
        </w:tabs>
        <w:ind w:firstLine="567"/>
        <w:jc w:val="both"/>
      </w:pPr>
      <w:r>
        <w:rPr>
          <w:b/>
        </w:rPr>
        <w:t xml:space="preserve">Įžemėjimas </w:t>
      </w:r>
      <w:r>
        <w:t>– izoliuotosios arba kompensuotosios neutralės tinklų elektros įrenginio aktyviųjų dalių atsitiktinis susijungimas su įžemintomis įrenginio dalimis arba su žeme.</w:t>
      </w:r>
    </w:p>
    <w:p>
      <w:pPr>
        <w:widowControl w:val="0"/>
        <w:tabs>
          <w:tab w:val="left" w:pos="-180"/>
          <w:tab w:val="left" w:pos="0"/>
          <w:tab w:val="left" w:pos="1440"/>
        </w:tabs>
        <w:ind w:firstLine="567"/>
        <w:jc w:val="both"/>
      </w:pPr>
      <w:r>
        <w:rPr>
          <w:b/>
        </w:rPr>
        <w:t>Įžemėjimo srovė</w:t>
      </w:r>
      <w:r>
        <w:t xml:space="preserve"> – įžemėjimo vietoje į žemę tekanti srovė.</w:t>
      </w:r>
    </w:p>
    <w:p>
      <w:pPr>
        <w:widowControl w:val="0"/>
        <w:tabs>
          <w:tab w:val="left" w:pos="-180"/>
          <w:tab w:val="left" w:pos="0"/>
          <w:tab w:val="left" w:pos="1440"/>
        </w:tabs>
        <w:ind w:firstLine="567"/>
        <w:jc w:val="both"/>
      </w:pPr>
      <w:r>
        <w:rPr>
          <w:b/>
        </w:rPr>
        <w:t xml:space="preserve">Įžemiklis </w:t>
      </w:r>
      <w:r>
        <w:t>(įžeminimo elektrodas) – grunte esantis laidininkas, per kurį, įvykus gedimui, teka didžiausia įžemėjimo srovės dalis.</w:t>
      </w:r>
    </w:p>
    <w:p>
      <w:pPr>
        <w:widowControl w:val="0"/>
        <w:tabs>
          <w:tab w:val="left" w:pos="-180"/>
          <w:tab w:val="left" w:pos="0"/>
          <w:tab w:val="left" w:pos="1440"/>
        </w:tabs>
        <w:ind w:firstLine="567"/>
        <w:jc w:val="both"/>
      </w:pPr>
      <w:r>
        <w:rPr>
          <w:b/>
        </w:rPr>
        <w:t>Įžeminimas</w:t>
      </w:r>
      <w:r>
        <w:t xml:space="preserve"> – elektros įrenginio pasyviųjų dalių sujungimas su įžeminimo įrenginiu.</w:t>
      </w:r>
    </w:p>
    <w:p>
      <w:pPr>
        <w:widowControl w:val="0"/>
        <w:tabs>
          <w:tab w:val="left" w:pos="-180"/>
          <w:tab w:val="left" w:pos="0"/>
          <w:tab w:val="left" w:pos="1440"/>
        </w:tabs>
        <w:ind w:firstLine="567"/>
        <w:jc w:val="both"/>
      </w:pPr>
      <w:r>
        <w:rPr>
          <w:b/>
        </w:rPr>
        <w:t>Įžeminimo (įnulinimo) magistralė</w:t>
      </w:r>
      <w:r>
        <w:t xml:space="preserve"> – laidininkas, jungiantis du ar daugiau įrenginių su įžemintuvu arba neutraliuoju šaltinio tašku.</w:t>
      </w:r>
    </w:p>
    <w:p>
      <w:pPr>
        <w:widowControl w:val="0"/>
        <w:tabs>
          <w:tab w:val="left" w:pos="-180"/>
          <w:tab w:val="left" w:pos="0"/>
          <w:tab w:val="left" w:pos="1440"/>
        </w:tabs>
        <w:ind w:firstLine="567"/>
        <w:jc w:val="both"/>
      </w:pPr>
      <w:r>
        <w:rPr>
          <w:b/>
        </w:rPr>
        <w:t>Įžeminimo įrenginio įtamp</w:t>
      </w:r>
      <w:r>
        <w:rPr>
          <w:b/>
          <w:bCs/>
        </w:rPr>
        <w:t>a</w:t>
      </w:r>
      <w:r>
        <w:t xml:space="preserve"> – įtampa tarp srovės įtekėjimo į įžeminimo įrenginį vietos ir neutralios žemės, kai juo teka srovė.</w:t>
      </w:r>
    </w:p>
    <w:p>
      <w:pPr>
        <w:widowControl w:val="0"/>
        <w:tabs>
          <w:tab w:val="left" w:pos="-180"/>
          <w:tab w:val="left" w:pos="0"/>
          <w:tab w:val="left" w:pos="1440"/>
        </w:tabs>
        <w:ind w:firstLine="567"/>
        <w:jc w:val="both"/>
      </w:pPr>
      <w:r>
        <w:rPr>
          <w:b/>
        </w:rPr>
        <w:t>Įžeminimo įrenginys</w:t>
      </w:r>
      <w:r>
        <w:t xml:space="preserve"> – įžemintuvo ir įžeminimo laidininkų visuma.</w:t>
      </w:r>
    </w:p>
    <w:p>
      <w:pPr>
        <w:widowControl w:val="0"/>
        <w:tabs>
          <w:tab w:val="left" w:pos="-180"/>
          <w:tab w:val="left" w:pos="0"/>
          <w:tab w:val="left" w:pos="1440"/>
        </w:tabs>
        <w:ind w:firstLine="567"/>
        <w:jc w:val="both"/>
      </w:pPr>
      <w:r>
        <w:rPr>
          <w:b/>
        </w:rPr>
        <w:t>Įžeminimo laidininka</w:t>
      </w:r>
      <w:r>
        <w:rPr>
          <w:b/>
          <w:bCs/>
        </w:rPr>
        <w:t>s</w:t>
      </w:r>
      <w:r>
        <w:t xml:space="preserve"> – laidininkas, jungiantis įžeminamą įrenginį su įžemintuvu arba įžeminimo magistrale.</w:t>
      </w:r>
    </w:p>
    <w:p>
      <w:pPr>
        <w:widowControl w:val="0"/>
        <w:tabs>
          <w:tab w:val="left" w:pos="-180"/>
          <w:tab w:val="left" w:pos="0"/>
          <w:tab w:val="left" w:pos="1440"/>
        </w:tabs>
        <w:ind w:firstLine="567"/>
        <w:jc w:val="both"/>
      </w:pPr>
      <w:r>
        <w:rPr>
          <w:b/>
        </w:rPr>
        <w:t>Įžeminimo varža</w:t>
      </w:r>
      <w:r>
        <w:t xml:space="preserve"> – varža tarp įžeminimo įrenginio ir neutralios žemės.</w:t>
      </w:r>
    </w:p>
    <w:p>
      <w:pPr>
        <w:widowControl w:val="0"/>
        <w:tabs>
          <w:tab w:val="left" w:pos="-180"/>
          <w:tab w:val="left" w:pos="0"/>
          <w:tab w:val="left" w:pos="1440"/>
        </w:tabs>
        <w:ind w:firstLine="567"/>
        <w:jc w:val="both"/>
      </w:pPr>
      <w:r>
        <w:rPr>
          <w:b/>
        </w:rPr>
        <w:t>Įžemintuvas</w:t>
      </w:r>
      <w:r>
        <w:t xml:space="preserve"> – grunte esančių elektrodų, jungiamųjų laidininkų ir išlyginamojo tinklo visuma.</w:t>
      </w:r>
    </w:p>
    <w:p>
      <w:pPr>
        <w:widowControl w:val="0"/>
        <w:tabs>
          <w:tab w:val="left" w:pos="-180"/>
          <w:tab w:val="left" w:pos="0"/>
          <w:tab w:val="left" w:pos="1440"/>
        </w:tabs>
        <w:ind w:firstLine="567"/>
        <w:jc w:val="both"/>
      </w:pPr>
      <w:r>
        <w:rPr>
          <w:b/>
        </w:rPr>
        <w:t>Karšta aplinka</w:t>
      </w:r>
      <w:r>
        <w:t xml:space="preserve"> – patalpų aplinka, kurioje oro temperatūra nuolatos arba periodiškai (daugiau kaip 1 parą) yra aukštesnė nei +35 oc.</w:t>
      </w:r>
    </w:p>
    <w:p>
      <w:pPr>
        <w:widowControl w:val="0"/>
        <w:tabs>
          <w:tab w:val="left" w:pos="-180"/>
          <w:tab w:val="left" w:pos="0"/>
          <w:tab w:val="left" w:pos="1440"/>
        </w:tabs>
        <w:ind w:firstLine="567"/>
        <w:jc w:val="both"/>
      </w:pPr>
      <w:r>
        <w:rPr>
          <w:b/>
        </w:rPr>
        <w:t>Keitiklinis agregatas</w:t>
      </w:r>
      <w:r>
        <w:t xml:space="preserve"> – įrenginių komplektas, susidedantis iš vieno ar kelių puslaidininkinių keitiklių, transformatoriaus ir turintis agregatui įjungti ir veikti reikalingus aparatus ir prietaisus.</w:t>
      </w:r>
    </w:p>
    <w:p>
      <w:pPr>
        <w:widowControl w:val="0"/>
        <w:tabs>
          <w:tab w:val="left" w:pos="-180"/>
          <w:tab w:val="left" w:pos="0"/>
          <w:tab w:val="left" w:pos="1440"/>
        </w:tabs>
        <w:ind w:firstLine="567"/>
        <w:jc w:val="both"/>
      </w:pPr>
      <w:r>
        <w:rPr>
          <w:b/>
        </w:rPr>
        <w:t>Kilnojamasis elektros imtuvas</w:t>
      </w:r>
      <w:r>
        <w:t xml:space="preserve"> – elektros imtuvas, kurį veikiantį galima perkelti iš vienos vietos į kitą.</w:t>
      </w:r>
    </w:p>
    <w:p>
      <w:pPr>
        <w:widowControl w:val="0"/>
        <w:tabs>
          <w:tab w:val="left" w:pos="720"/>
        </w:tabs>
        <w:ind w:firstLine="567"/>
        <w:jc w:val="both"/>
      </w:pPr>
      <w:r>
        <w:rPr>
          <w:b/>
        </w:rPr>
        <w:t>Komercinė apskaitos spinta</w:t>
      </w:r>
      <w:r>
        <w:t xml:space="preserve"> – spinta (skydas) su įrengtais joje įvadiniais komutavimo ir apsaugos aparatais elektros energijos apskaitos prietaisais ir pagalbiniais įrenginiais bei įtaisais, naudojama elektros energijos (pagamintos ar tiekiamos) komerciniam skaičiavimui.</w:t>
      </w:r>
    </w:p>
    <w:p>
      <w:pPr>
        <w:widowControl w:val="0"/>
        <w:tabs>
          <w:tab w:val="left" w:pos="720"/>
        </w:tabs>
        <w:ind w:firstLine="567"/>
        <w:jc w:val="both"/>
      </w:pPr>
      <w:r>
        <w:rPr>
          <w:b/>
        </w:rPr>
        <w:t>Komercinė elektros apskaita</w:t>
      </w:r>
      <w:r>
        <w:t xml:space="preserve"> – elektros energijos apskaitos prietaisų ir jų schemose naudojamų pagalbinių įrenginių ir įtaisų visuma, naudojama elektros energijos (pagamintos, tiekiamos ar vartojamos) komerciniam skaičiavimui.</w:t>
      </w:r>
    </w:p>
    <w:p>
      <w:pPr>
        <w:widowControl w:val="0"/>
        <w:tabs>
          <w:tab w:val="left" w:pos="-180"/>
          <w:tab w:val="left" w:pos="0"/>
          <w:tab w:val="left" w:pos="1440"/>
        </w:tabs>
        <w:ind w:firstLine="567"/>
        <w:jc w:val="both"/>
      </w:pPr>
      <w:r>
        <w:rPr>
          <w:b/>
        </w:rPr>
        <w:t>Kompensuotosios neutralės tinklas</w:t>
      </w:r>
      <w:r>
        <w:t xml:space="preserve"> – elektros tinklas, kurio vienas arba keletas neutralės taškų įžeminti induktyviosiomis varžomis.</w:t>
      </w:r>
    </w:p>
    <w:p>
      <w:pPr>
        <w:widowControl w:val="0"/>
        <w:tabs>
          <w:tab w:val="left" w:pos="-180"/>
          <w:tab w:val="left" w:pos="0"/>
          <w:tab w:val="left" w:pos="1440"/>
        </w:tabs>
        <w:ind w:firstLine="567"/>
        <w:jc w:val="both"/>
      </w:pPr>
      <w:r>
        <w:rPr>
          <w:b/>
        </w:rPr>
        <w:t>Kompleksiniai bandymai</w:t>
      </w:r>
      <w:r>
        <w:t xml:space="preserve"> – elektros įrenginio bandymų ir matavimų apimtis nustatoma specializuotose programose.</w:t>
      </w:r>
    </w:p>
    <w:p>
      <w:pPr>
        <w:widowControl w:val="0"/>
        <w:tabs>
          <w:tab w:val="left" w:pos="720"/>
        </w:tabs>
        <w:ind w:firstLine="567"/>
        <w:jc w:val="both"/>
      </w:pPr>
      <w:r>
        <w:rPr>
          <w:b/>
        </w:rPr>
        <w:t>Kontrolinė elektros apskaita</w:t>
      </w:r>
      <w:r>
        <w:t xml:space="preserve"> – elektros energijos apskaitos prietaisų ir jų schemose naudojamų įrenginių ir įtaisų visuma, naudojama elektros energijos (pagamintos, tiekiamos ar vartojamos) kontroliniam skaičiavimui.</w:t>
      </w:r>
    </w:p>
    <w:p>
      <w:pPr>
        <w:widowControl w:val="0"/>
        <w:tabs>
          <w:tab w:val="left" w:pos="-180"/>
          <w:tab w:val="left" w:pos="0"/>
          <w:tab w:val="left" w:pos="1440"/>
        </w:tabs>
        <w:ind w:firstLine="567"/>
        <w:jc w:val="both"/>
      </w:pPr>
      <w:r>
        <w:rPr>
          <w:b/>
        </w:rPr>
        <w:t>Labai drėgna patalpa</w:t>
      </w:r>
      <w:r>
        <w:t xml:space="preserve"> – patalpa, kurios santykinis oro drėgnumas 75–90 proc.</w:t>
      </w:r>
    </w:p>
    <w:p>
      <w:pPr>
        <w:widowControl w:val="0"/>
        <w:tabs>
          <w:tab w:val="left" w:pos="-180"/>
          <w:tab w:val="left" w:pos="0"/>
          <w:tab w:val="left" w:pos="1440"/>
        </w:tabs>
        <w:ind w:firstLine="567"/>
        <w:jc w:val="both"/>
      </w:pPr>
      <w:r>
        <w:rPr>
          <w:b/>
        </w:rPr>
        <w:t>Labai pavojinga patalpa</w:t>
      </w:r>
      <w:r>
        <w:t xml:space="preserve"> – šlapia patalpa ar patalpa, kurioje chemiškai ir organiškai aktyvi aplinka arba kuri pasižymi dviem ar daugiau pavojingoms patalpoms būdingais požymiais.</w:t>
      </w:r>
    </w:p>
    <w:p>
      <w:pPr>
        <w:widowControl w:val="0"/>
        <w:tabs>
          <w:tab w:val="left" w:pos="-180"/>
          <w:tab w:val="left" w:pos="0"/>
          <w:tab w:val="left" w:pos="1440"/>
        </w:tabs>
        <w:ind w:firstLine="567"/>
        <w:jc w:val="both"/>
      </w:pPr>
      <w:r>
        <w:rPr>
          <w:b/>
        </w:rPr>
        <w:t>Leistinoji ilgalaikė srovė</w:t>
      </w:r>
      <w:r>
        <w:t xml:space="preserve"> – didžiausia per laidininką tekančios ilgalaikės srovės vertė, kuriai tekant laidininkas įšyla iki didžiausios (esamomis aušinimo sąlygomis) jo izoliacijai arba laidininkui ir laidininko sujungimo vietai leistinos temperatūros.</w:t>
      </w:r>
    </w:p>
    <w:p>
      <w:pPr>
        <w:widowControl w:val="0"/>
        <w:tabs>
          <w:tab w:val="left" w:pos="-180"/>
          <w:tab w:val="left" w:pos="0"/>
          <w:tab w:val="left" w:pos="1440"/>
        </w:tabs>
        <w:ind w:firstLine="567"/>
        <w:jc w:val="both"/>
      </w:pPr>
      <w:r>
        <w:rPr>
          <w:b/>
        </w:rPr>
        <w:t>Lentyna</w:t>
      </w:r>
      <w:r>
        <w:t xml:space="preserve"> – atvira konstrukcija laidams ir kabeliams tiesti, neapsauganti jų nuo mechaninių pažeidimų. Lentynos gaminamos iš ne žemesnės kaip A1, A2 degumo klasės statybos produktų vientisos, perforuotos ar grotelių pavidalo; naudojamos ir patalpose, ir lauko įrenginiuose.</w:t>
      </w:r>
    </w:p>
    <w:p>
      <w:pPr>
        <w:widowControl w:val="0"/>
        <w:tabs>
          <w:tab w:val="left" w:pos="-180"/>
          <w:tab w:val="left" w:pos="0"/>
          <w:tab w:val="left" w:pos="1440"/>
        </w:tabs>
        <w:ind w:firstLine="567"/>
        <w:jc w:val="both"/>
      </w:pPr>
      <w:r>
        <w:rPr>
          <w:b/>
        </w:rPr>
        <w:t>Lynas</w:t>
      </w:r>
      <w:r>
        <w:t xml:space="preserve"> – daugiavielis plieninis laikantysis instaliacijos elementas, ištemptas ore ir skirtas laidams ir kabeliams tvirtinti.</w:t>
      </w:r>
    </w:p>
    <w:p>
      <w:pPr>
        <w:widowControl w:val="0"/>
        <w:tabs>
          <w:tab w:val="left" w:pos="-180"/>
          <w:tab w:val="left" w:pos="0"/>
          <w:tab w:val="left" w:pos="1440"/>
        </w:tabs>
        <w:ind w:firstLine="567"/>
        <w:jc w:val="both"/>
      </w:pPr>
      <w:r>
        <w:rPr>
          <w:b/>
        </w:rPr>
        <w:t>Lovys</w:t>
      </w:r>
      <w:r>
        <w:t xml:space="preserve"> – uždara stačiakampio ar kitokio skerspjūvio tuščiavidurė konstrukcija laidams ir kabeliams tiesti, turinti apsaugoti juos nuo mechaninių pažeidimų. Loviai gaminami uždari arba su nuimamaisiais dangčiais. Lovių su nuimamaisiais dangčiais sienelės ir dangčiai gaminami vientiso metalo ar perforuoti. Uždarų lovių sienelės turi būti vientisos. Loviai naudojami ir patalpoje, ir lauke.</w:t>
      </w:r>
    </w:p>
    <w:p>
      <w:pPr>
        <w:widowControl w:val="0"/>
        <w:tabs>
          <w:tab w:val="left" w:pos="-180"/>
          <w:tab w:val="left" w:pos="0"/>
          <w:tab w:val="left" w:pos="1440"/>
        </w:tabs>
        <w:ind w:firstLine="567"/>
        <w:jc w:val="both"/>
      </w:pPr>
      <w:r>
        <w:rPr>
          <w:b/>
        </w:rPr>
        <w:t>Natūralusis įžemintuvas</w:t>
      </w:r>
      <w:r>
        <w:t xml:space="preserve"> – grunte esantys įvairios paskirties metaliniai laidininkai, kurie panaudojami elektros įrenginiams įžeminti.</w:t>
      </w:r>
    </w:p>
    <w:p>
      <w:pPr>
        <w:widowControl w:val="0"/>
        <w:tabs>
          <w:tab w:val="left" w:pos="-180"/>
          <w:tab w:val="left" w:pos="0"/>
          <w:tab w:val="left" w:pos="1440"/>
        </w:tabs>
        <w:ind w:firstLine="567"/>
        <w:jc w:val="both"/>
      </w:pPr>
      <w:r>
        <w:rPr>
          <w:b/>
        </w:rPr>
        <w:t>Nenormalus režimas</w:t>
      </w:r>
      <w:r>
        <w:t xml:space="preserve"> – įrenginio darbinio režimo pagrindinių dydžių nukrypimas už nustatytų ribų, pavyzdžiui, perkrova (srovės padidėjimas), įtampos sumažėjimas ar padidėjimas ir t. t.</w:t>
      </w:r>
    </w:p>
    <w:p>
      <w:pPr>
        <w:widowControl w:val="0"/>
        <w:tabs>
          <w:tab w:val="left" w:pos="-180"/>
          <w:tab w:val="left" w:pos="0"/>
          <w:tab w:val="left" w:pos="1440"/>
        </w:tabs>
        <w:ind w:firstLine="567"/>
        <w:jc w:val="both"/>
      </w:pPr>
      <w:r>
        <w:rPr>
          <w:b/>
        </w:rPr>
        <w:t>Nestacionarusis įrenginys</w:t>
      </w:r>
      <w:r>
        <w:t xml:space="preserve"> – elektros įrenginys, įrengtas ant judamųjų aikštelių, platformų arba transporto priemonių.</w:t>
      </w:r>
    </w:p>
    <w:p>
      <w:pPr>
        <w:widowControl w:val="0"/>
        <w:tabs>
          <w:tab w:val="left" w:pos="-180"/>
          <w:tab w:val="left" w:pos="0"/>
          <w:tab w:val="left" w:pos="1440"/>
        </w:tabs>
        <w:ind w:firstLine="567"/>
        <w:jc w:val="both"/>
      </w:pPr>
      <w:r>
        <w:rPr>
          <w:b/>
        </w:rPr>
        <w:t>Neutrali žemė</w:t>
      </w:r>
      <w:r>
        <w:t xml:space="preserve"> – grunto nulinio potencialo zona.</w:t>
      </w:r>
    </w:p>
    <w:p>
      <w:pPr>
        <w:widowControl w:val="0"/>
        <w:tabs>
          <w:tab w:val="left" w:pos="-180"/>
          <w:tab w:val="left" w:pos="0"/>
          <w:tab w:val="left" w:pos="1440"/>
        </w:tabs>
        <w:ind w:firstLine="567"/>
        <w:jc w:val="both"/>
      </w:pPr>
      <w:r>
        <w:rPr>
          <w:b/>
        </w:rPr>
        <w:t>Normali (nepavojinga) patalpa</w:t>
      </w:r>
      <w:r>
        <w:t xml:space="preserve"> – sausa, nedulkėta, chemiškai ir organiškai neaktyvi patalpa, kurioje temperatūra ne aukštesnė kaip +35 oc.</w:t>
      </w:r>
    </w:p>
    <w:p>
      <w:pPr>
        <w:widowControl w:val="0"/>
        <w:tabs>
          <w:tab w:val="left" w:pos="-180"/>
          <w:tab w:val="left" w:pos="0"/>
          <w:tab w:val="left" w:pos="1440"/>
        </w:tabs>
        <w:ind w:firstLine="567"/>
        <w:jc w:val="both"/>
      </w:pPr>
      <w:r>
        <w:rPr>
          <w:b/>
        </w:rPr>
        <w:t>Nulinis laidininkas N</w:t>
      </w:r>
      <w:r>
        <w:t xml:space="preserve"> – laidininkas (laidas, šyna), iki 1000 V įtampos elektros trifaziuose tinkluose sujungtas su generatoriaus ar transformatoriaus tiesiogiai įžeminta neutrale, vienfaziuose tinkluose – su įžemintu apvijos tašku, o nuolatinės srovės tinkluose – su įžemintu viduriniu šaltinio poliumi.</w:t>
      </w:r>
    </w:p>
    <w:p>
      <w:pPr>
        <w:widowControl w:val="0"/>
        <w:tabs>
          <w:tab w:val="left" w:pos="-180"/>
          <w:tab w:val="left" w:pos="0"/>
          <w:tab w:val="left" w:pos="1440"/>
        </w:tabs>
        <w:ind w:firstLine="567"/>
        <w:jc w:val="both"/>
      </w:pPr>
      <w:r>
        <w:rPr>
          <w:b/>
        </w:rPr>
        <w:t>Objektas (elektros sistemos)</w:t>
      </w:r>
      <w:r>
        <w:t xml:space="preserve"> – pastotė, linija, transformatorinė ir t. t.</w:t>
      </w:r>
    </w:p>
    <w:p>
      <w:pPr>
        <w:widowControl w:val="0"/>
        <w:tabs>
          <w:tab w:val="left" w:pos="-180"/>
          <w:tab w:val="left" w:pos="0"/>
          <w:tab w:val="left" w:pos="1440"/>
        </w:tabs>
        <w:ind w:firstLine="567"/>
        <w:jc w:val="both"/>
      </w:pPr>
      <w:r>
        <w:rPr>
          <w:b/>
        </w:rPr>
        <w:t>Operatorius</w:t>
      </w:r>
      <w:r>
        <w:t xml:space="preserve"> – perdavimo sistemos ir (ar) skirstomųjų tinklų operatorius.</w:t>
      </w:r>
    </w:p>
    <w:p>
      <w:pPr>
        <w:widowControl w:val="0"/>
        <w:tabs>
          <w:tab w:val="left" w:pos="-180"/>
          <w:tab w:val="left" w:pos="0"/>
          <w:tab w:val="left" w:pos="1440"/>
        </w:tabs>
        <w:ind w:firstLine="567"/>
        <w:jc w:val="both"/>
      </w:pPr>
      <w:r>
        <w:rPr>
          <w:b/>
        </w:rPr>
        <w:t>Pagrindinė izoliacija</w:t>
      </w:r>
      <w:r>
        <w:t xml:space="preserve"> – srovinių dalių izoliacija, skirta pagrindinei apsaugai nuo tiesioginio prisilietimo prie srovinių dalių.</w:t>
      </w:r>
    </w:p>
    <w:p>
      <w:pPr>
        <w:widowControl w:val="0"/>
        <w:tabs>
          <w:tab w:val="left" w:pos="-180"/>
          <w:tab w:val="left" w:pos="0"/>
          <w:tab w:val="left" w:pos="1440"/>
        </w:tabs>
        <w:ind w:firstLine="567"/>
        <w:jc w:val="both"/>
      </w:pPr>
      <w:r>
        <w:rPr>
          <w:b/>
        </w:rPr>
        <w:t>Papildomoji izoliacija</w:t>
      </w:r>
      <w:r>
        <w:t xml:space="preserve"> – nepriklausoma izoliacija, skirta apsaugai nuo tiesioginio prisilietimo prie srovinių dalių ir apsauganti nuo pavojingo elektros srovės poveikio, kai pažeidžiama pagrindinė izoliacija.</w:t>
      </w:r>
    </w:p>
    <w:p>
      <w:pPr>
        <w:widowControl w:val="0"/>
        <w:tabs>
          <w:tab w:val="left" w:pos="-180"/>
          <w:tab w:val="left" w:pos="0"/>
          <w:tab w:val="left" w:pos="1440"/>
        </w:tabs>
        <w:ind w:firstLine="567"/>
        <w:jc w:val="both"/>
      </w:pPr>
      <w:r>
        <w:rPr>
          <w:b/>
        </w:rPr>
        <w:t>Pasyvioji dalis</w:t>
      </w:r>
      <w:r>
        <w:t xml:space="preserve"> – laidi elektros įrenginio dalis, normaliomis veikimo sąlygomis neturinti įtampos, tačiau įtampa joje gali atsirasti pablogėjus izoliacijai.</w:t>
      </w:r>
    </w:p>
    <w:p>
      <w:pPr>
        <w:widowControl w:val="0"/>
        <w:tabs>
          <w:tab w:val="left" w:pos="-180"/>
          <w:tab w:val="left" w:pos="0"/>
          <w:tab w:val="left" w:pos="1440"/>
        </w:tabs>
        <w:ind w:firstLine="567"/>
        <w:jc w:val="both"/>
      </w:pPr>
      <w:r>
        <w:rPr>
          <w:b/>
        </w:rPr>
        <w:t>Paslėptoji instaliacija</w:t>
      </w:r>
      <w:r>
        <w:t xml:space="preserve"> – instaliacija sienose, pertvarose, grindyse, perdangose ir kitų statybinių konstrukcijų viduje.</w:t>
      </w:r>
    </w:p>
    <w:p>
      <w:pPr>
        <w:widowControl w:val="0"/>
        <w:tabs>
          <w:tab w:val="left" w:pos="-180"/>
          <w:tab w:val="left" w:pos="0"/>
          <w:tab w:val="left" w:pos="1440"/>
        </w:tabs>
        <w:ind w:firstLine="567"/>
        <w:jc w:val="both"/>
      </w:pPr>
      <w:r>
        <w:rPr>
          <w:b/>
        </w:rPr>
        <w:t>Pašalinės laidžiosios dalys</w:t>
      </w:r>
      <w:r>
        <w:t xml:space="preserve"> – ne elektros įrenginio laidžiosios dalys, kurios gali gauti potencialą atitinkamomis sąlygomis.</w:t>
      </w:r>
    </w:p>
    <w:p>
      <w:pPr>
        <w:widowControl w:val="0"/>
        <w:tabs>
          <w:tab w:val="left" w:pos="-180"/>
          <w:tab w:val="left" w:pos="0"/>
          <w:tab w:val="left" w:pos="1440"/>
        </w:tabs>
        <w:ind w:firstLine="567"/>
        <w:jc w:val="both"/>
      </w:pPr>
      <w:r>
        <w:rPr>
          <w:b/>
        </w:rPr>
        <w:t>Patalpa</w:t>
      </w:r>
      <w:r>
        <w:t xml:space="preserve"> – </w:t>
      </w:r>
      <w:r>
        <w:rPr>
          <w:color w:val="000000"/>
        </w:rPr>
        <w:t>sienomis ir kitomis atitvaromis apribota nustatytos paskirties pastato erdvė.</w:t>
      </w:r>
      <w:r>
        <w:t xml:space="preserve"> Elektros srovės pavojingumo atžvilgiu patalpos skirstomos į normalias, pavojingas ir labai pavojingas.</w:t>
      </w:r>
    </w:p>
    <w:p>
      <w:pPr>
        <w:widowControl w:val="0"/>
        <w:tabs>
          <w:tab w:val="left" w:pos="-180"/>
          <w:tab w:val="left" w:pos="0"/>
          <w:tab w:val="left" w:pos="1440"/>
        </w:tabs>
        <w:ind w:firstLine="567"/>
        <w:jc w:val="both"/>
      </w:pPr>
      <w:r>
        <w:rPr>
          <w:b/>
        </w:rPr>
        <w:t>Pavojinga elektros patalpa</w:t>
      </w:r>
      <w:r>
        <w:t xml:space="preserve"> – patalpa, kurioje santykinis oro drėgnumas viršija 75 proc. arba yra elektrai laidžių dulkių; arba yra laidžios grindys (metalinės, gelžbetoninės, plytų, žemės ir pan.); arba vidutinė paros temperatūra yra aukštesnė nei +35 </w:t>
      </w:r>
      <w:r>
        <w:rPr>
          <w:vertAlign w:val="superscript"/>
        </w:rPr>
        <w:t>o</w:t>
      </w:r>
      <w:r>
        <w:t>C; arba yra galimybė vienu metu prisiliesti prie srovei laidžių neįžemintų elektros įrenginių korpusų ir prie srovei laidžių konstrukcijų, turinčių kontaktą su žeme.</w:t>
      </w:r>
    </w:p>
    <w:p>
      <w:pPr>
        <w:widowControl w:val="0"/>
        <w:tabs>
          <w:tab w:val="left" w:pos="-180"/>
          <w:tab w:val="left" w:pos="0"/>
          <w:tab w:val="left" w:pos="1440"/>
        </w:tabs>
        <w:ind w:firstLine="567"/>
        <w:jc w:val="both"/>
      </w:pPr>
      <w:r>
        <w:rPr>
          <w:b/>
        </w:rPr>
        <w:t>Potencialo išlyginimas</w:t>
      </w:r>
      <w:r>
        <w:t xml:space="preserve"> – žemės paviršiaus potencialo keitimas srovės nuotėkio į neutralią žemę zonoje specialiais elektrodais arba išlyginamuoju tinklu.</w:t>
      </w:r>
    </w:p>
    <w:p>
      <w:pPr>
        <w:widowControl w:val="0"/>
        <w:tabs>
          <w:tab w:val="left" w:pos="-180"/>
          <w:tab w:val="left" w:pos="0"/>
          <w:tab w:val="left" w:pos="1440"/>
        </w:tabs>
        <w:ind w:firstLine="567"/>
        <w:jc w:val="both"/>
      </w:pPr>
      <w:r>
        <w:rPr>
          <w:b/>
        </w:rPr>
        <w:t>Potencialų suvienodinimas</w:t>
      </w:r>
      <w:r>
        <w:t xml:space="preserve"> – potencialų skirtumo tarp pasyviosios dalies, pašalinių laidžiųjų dalių, įžeminimo ir apsauginių laidininkų (PE), taip pat apsauginių nulinių laidininkų (PEN), prie kurių įmanoma vienu metu prisiliesti, sumažinimas, šias dalis elektriškai sujungiant tarpusavyje.</w:t>
      </w:r>
    </w:p>
    <w:p>
      <w:pPr>
        <w:widowControl w:val="0"/>
        <w:tabs>
          <w:tab w:val="left" w:pos="-180"/>
          <w:tab w:val="left" w:pos="0"/>
          <w:tab w:val="left" w:pos="1440"/>
        </w:tabs>
        <w:ind w:firstLine="567"/>
        <w:jc w:val="both"/>
      </w:pPr>
      <w:r>
        <w:rPr>
          <w:b/>
        </w:rPr>
        <w:t>Prisilietimo įtampa</w:t>
      </w:r>
      <w:r>
        <w:t xml:space="preserve"> – žmogui tenkanti įžeminimo įrenginio įtampos dalis, kai srovė žmogaus kūnu teka iš rankos į ranką arba iš rankos į kojas, prisilietus prie dviejų grandinės taškų (horizontalusis atstumas tarp liečiamų vietų – 1 m).</w:t>
      </w:r>
    </w:p>
    <w:p>
      <w:pPr>
        <w:widowControl w:val="0"/>
        <w:tabs>
          <w:tab w:val="left" w:pos="-180"/>
          <w:tab w:val="left" w:pos="1440"/>
        </w:tabs>
        <w:ind w:firstLine="567"/>
        <w:jc w:val="both"/>
      </w:pPr>
      <w:r>
        <w:rPr>
          <w:b/>
        </w:rPr>
        <w:t>Rezervavimas</w:t>
      </w:r>
      <w:r>
        <w:t xml:space="preserve"> – objekto patikimumo laidavimas, naudojant papildomus elementus ir ryšius.</w:t>
      </w:r>
    </w:p>
    <w:p>
      <w:pPr>
        <w:widowControl w:val="0"/>
        <w:tabs>
          <w:tab w:val="left" w:pos="-180"/>
          <w:tab w:val="left" w:pos="1440"/>
        </w:tabs>
        <w:ind w:firstLine="567"/>
        <w:jc w:val="both"/>
      </w:pPr>
      <w:r>
        <w:rPr>
          <w:b/>
        </w:rPr>
        <w:t>Rezervinė linija</w:t>
      </w:r>
      <w:r>
        <w:t xml:space="preserve"> – linija, skirta pagrindinėms linijos funkcijoms atlikti, sugedus pastarajai.</w:t>
      </w:r>
    </w:p>
    <w:p>
      <w:pPr>
        <w:widowControl w:val="0"/>
        <w:tabs>
          <w:tab w:val="left" w:pos="-180"/>
          <w:tab w:val="left" w:pos="0"/>
          <w:tab w:val="left" w:pos="1440"/>
        </w:tabs>
        <w:ind w:firstLine="567"/>
        <w:jc w:val="both"/>
      </w:pPr>
      <w:r>
        <w:rPr>
          <w:b/>
        </w:rPr>
        <w:t>Ribinė leistinoji parametro vertė</w:t>
      </w:r>
      <w:r>
        <w:t xml:space="preserve"> – didžiausia ar mažiausia parametro vertė, kuriai esant leidžiama eksploatuoti elektros įrenginius.</w:t>
      </w:r>
    </w:p>
    <w:p>
      <w:pPr>
        <w:widowControl w:val="0"/>
        <w:tabs>
          <w:tab w:val="left" w:pos="-180"/>
          <w:tab w:val="left" w:pos="0"/>
          <w:tab w:val="left" w:pos="1440"/>
        </w:tabs>
        <w:ind w:firstLine="567"/>
        <w:jc w:val="both"/>
      </w:pPr>
      <w:r>
        <w:rPr>
          <w:b/>
        </w:rPr>
        <w:t>Sausa patalpa</w:t>
      </w:r>
      <w:r>
        <w:t xml:space="preserve"> – patalpa, kurioje santykinis oro drėgnumas ne didesnis kaip 60 proc.</w:t>
      </w:r>
    </w:p>
    <w:p>
      <w:pPr>
        <w:widowControl w:val="0"/>
        <w:tabs>
          <w:tab w:val="left" w:pos="-180"/>
          <w:tab w:val="left" w:pos="0"/>
          <w:tab w:val="left" w:pos="1440"/>
        </w:tabs>
        <w:ind w:firstLine="567"/>
        <w:jc w:val="both"/>
      </w:pPr>
      <w:r>
        <w:rPr>
          <w:b/>
        </w:rPr>
        <w:t>Savitoji grunto varža</w:t>
      </w:r>
      <w:r>
        <w:t xml:space="preserve"> – vieno kubinio metro grunto varža, matuojama tarp dviejų viena prieš kitą esančių kubo sienelių.</w:t>
      </w:r>
    </w:p>
    <w:p>
      <w:pPr>
        <w:widowControl w:val="0"/>
        <w:tabs>
          <w:tab w:val="left" w:pos="-180"/>
          <w:tab w:val="left" w:pos="0"/>
          <w:tab w:val="left" w:pos="1440"/>
        </w:tabs>
        <w:ind w:firstLine="567"/>
        <w:jc w:val="both"/>
      </w:pPr>
      <w:r>
        <w:rPr>
          <w:b/>
        </w:rPr>
        <w:t>Skaičiuojamoji trumpojo jungimo srovė</w:t>
      </w:r>
      <w:r>
        <w:t xml:space="preserve"> – trumpojo jungimo srovės, kuriai tikrinamas terminis arba mechaninis elektros įrenginio atsparumas, vertė.</w:t>
      </w:r>
    </w:p>
    <w:p>
      <w:pPr>
        <w:widowControl w:val="0"/>
        <w:tabs>
          <w:tab w:val="left" w:pos="-180"/>
          <w:tab w:val="left" w:pos="0"/>
          <w:tab w:val="left" w:pos="1440"/>
        </w:tabs>
        <w:ind w:firstLine="567"/>
        <w:jc w:val="both"/>
      </w:pPr>
      <w:r>
        <w:rPr>
          <w:b/>
        </w:rPr>
        <w:t>Skiriamasis saugos transformatorius</w:t>
      </w:r>
      <w:r>
        <w:t xml:space="preserve"> – specialus transformatorius, kurio įėjimo apvija atskirta elektriškai nuo išėjimo apvijos izoliacija, lygiaverte mažiausiai dvigubai izoliacijai arba sustiprintajai izoliacijai, ir kuris skirtas prietaisui arba grandinei saugia žemiausiąja įtampa maitinti.</w:t>
      </w:r>
    </w:p>
    <w:p>
      <w:pPr>
        <w:widowControl w:val="0"/>
        <w:tabs>
          <w:tab w:val="left" w:pos="-180"/>
          <w:tab w:val="left" w:pos="0"/>
          <w:tab w:val="left" w:pos="1440"/>
        </w:tabs>
        <w:ind w:firstLine="567"/>
        <w:jc w:val="both"/>
      </w:pPr>
      <w:r>
        <w:rPr>
          <w:b/>
        </w:rPr>
        <w:t>Skirstykla</w:t>
      </w:r>
      <w:r>
        <w:t xml:space="preserve"> – elektros įrenginys, skirtas elektrai priimti ir skirstyti, turintis komutavimo aparatus, magistralines ir jungiamąsias šynas, pagalbinius įrenginius (kompresorius, akumuliatorius ir kt.), taip pat apsaugos ir automatikos įtaisus ir matavimo prietaisus.</w:t>
      </w:r>
    </w:p>
    <w:p>
      <w:pPr>
        <w:widowControl w:val="0"/>
        <w:tabs>
          <w:tab w:val="left" w:pos="567"/>
          <w:tab w:val="left" w:pos="748"/>
          <w:tab w:val="left" w:pos="935"/>
          <w:tab w:val="left" w:pos="1122"/>
        </w:tabs>
        <w:ind w:firstLine="567"/>
        <w:jc w:val="both"/>
        <w:rPr>
          <w:bCs/>
          <w:iCs/>
        </w:rPr>
      </w:pPr>
      <w:r>
        <w:rPr>
          <w:b/>
        </w:rPr>
        <w:t>Skirstomasis punktas (6–10 kV)</w:t>
      </w:r>
      <w:r>
        <w:t xml:space="preserve"> – statinyje</w:t>
      </w:r>
      <w:r>
        <w:rPr>
          <w:bCs/>
          <w:iCs/>
        </w:rPr>
        <w:t xml:space="preserve"> įrengti pirminės ir antrinės komutacijos įrenginiai, skirti 6</w:t>
      </w:r>
      <w:r>
        <w:rPr>
          <w:iCs/>
        </w:rPr>
        <w:t>–</w:t>
      </w:r>
      <w:r>
        <w:rPr>
          <w:bCs/>
          <w:iCs/>
        </w:rPr>
        <w:t>10 kV įtampos elektrai skirstyti tam tikroje teritorijoje su dviem ar daugiau šynų sekcijomis, dviem ar daugiau įvadinėmis linijomis, relinės apsaugos ir automatikos įtaisais, savųjų reikmių arba 6</w:t>
      </w:r>
      <w:r>
        <w:rPr>
          <w:iCs/>
        </w:rPr>
        <w:t>–</w:t>
      </w:r>
      <w:r>
        <w:rPr>
          <w:bCs/>
          <w:iCs/>
        </w:rPr>
        <w:t>10 kV galios transformatoriais. Bent viena iš įvadinių linijų yra iš 35</w:t>
      </w:r>
      <w:r>
        <w:rPr>
          <w:iCs/>
        </w:rPr>
        <w:t>–</w:t>
      </w:r>
      <w:r>
        <w:rPr>
          <w:bCs/>
          <w:iCs/>
        </w:rPr>
        <w:t>110 kV transformatorių pastočių ar skirstomųjų punktų. Įvadinėms ir išeinančioms linijoms komutuoti naudojami 6</w:t>
      </w:r>
      <w:r>
        <w:rPr>
          <w:iCs/>
        </w:rPr>
        <w:t>–1</w:t>
      </w:r>
      <w:r>
        <w:rPr>
          <w:bCs/>
          <w:iCs/>
        </w:rPr>
        <w:t>0 kV jungtuvai.</w:t>
      </w:r>
    </w:p>
    <w:p>
      <w:pPr>
        <w:widowControl w:val="0"/>
        <w:tabs>
          <w:tab w:val="left" w:pos="-180"/>
          <w:tab w:val="left" w:pos="0"/>
          <w:tab w:val="left" w:pos="1440"/>
        </w:tabs>
        <w:ind w:firstLine="567"/>
        <w:jc w:val="both"/>
      </w:pPr>
      <w:r>
        <w:rPr>
          <w:b/>
        </w:rPr>
        <w:t>Skirstomasis tinklas</w:t>
      </w:r>
      <w:r>
        <w:t xml:space="preserve"> – elektros energetikos sistemos dalis, kuria elektra persiunčiama vartotojų elektros įrenginiams.</w:t>
      </w:r>
    </w:p>
    <w:p>
      <w:pPr>
        <w:widowControl w:val="0"/>
        <w:tabs>
          <w:tab w:val="left" w:pos="-180"/>
          <w:tab w:val="left" w:pos="0"/>
          <w:tab w:val="left" w:pos="1440"/>
        </w:tabs>
        <w:ind w:firstLine="567"/>
        <w:jc w:val="both"/>
      </w:pPr>
      <w:r>
        <w:rPr>
          <w:b/>
        </w:rPr>
        <w:t>Skirstomoji spinta</w:t>
      </w:r>
      <w:r>
        <w:t xml:space="preserve"> – spinta su joje įrengtais komutavimo ir apsaugos aparatais, skirta elektros imtuvams prijungti.</w:t>
      </w:r>
    </w:p>
    <w:p>
      <w:pPr>
        <w:widowControl w:val="0"/>
        <w:tabs>
          <w:tab w:val="left" w:pos="-180"/>
          <w:tab w:val="left" w:pos="1440"/>
        </w:tabs>
        <w:ind w:firstLine="567"/>
        <w:jc w:val="both"/>
      </w:pPr>
      <w:r>
        <w:rPr>
          <w:b/>
        </w:rPr>
        <w:t>Smūginė trumpojo jungimo srovė</w:t>
      </w:r>
      <w:r>
        <w:t xml:space="preserve"> – maksimalios trumpojo jungimo srovės, sukeliančios didžiausias mechanines jėgas tarp srovinių įrenginių dalių, vertė.</w:t>
      </w:r>
    </w:p>
    <w:p>
      <w:pPr>
        <w:widowControl w:val="0"/>
        <w:tabs>
          <w:tab w:val="left" w:pos="-180"/>
          <w:tab w:val="left" w:pos="0"/>
          <w:tab w:val="left" w:pos="1440"/>
        </w:tabs>
        <w:ind w:firstLine="567"/>
        <w:jc w:val="both"/>
      </w:pPr>
      <w:r>
        <w:rPr>
          <w:b/>
        </w:rPr>
        <w:t>Sprogi zona</w:t>
      </w:r>
      <w:r>
        <w:t xml:space="preserve"> – erdvė, kurioje sprogi aplinka yra arba tikėtina tokiu laipsniu, kad reikia imtis ypatingo atsargumo gaminant, įrengiant ir naudojant elektros įrenginius. </w:t>
      </w:r>
    </w:p>
    <w:p>
      <w:pPr>
        <w:widowControl w:val="0"/>
        <w:tabs>
          <w:tab w:val="left" w:pos="-180"/>
          <w:tab w:val="left" w:pos="0"/>
          <w:tab w:val="left" w:pos="1440"/>
        </w:tabs>
        <w:ind w:firstLine="567"/>
        <w:jc w:val="both"/>
      </w:pPr>
      <w:r>
        <w:rPr>
          <w:b/>
        </w:rPr>
        <w:t>Srovės nuotėkio zona</w:t>
      </w:r>
      <w:r>
        <w:t xml:space="preserve"> – žemės plotas, kuriame, įžemintuvu tekant srovei, atsiranda potencialas.</w:t>
      </w:r>
    </w:p>
    <w:p>
      <w:pPr>
        <w:widowControl w:val="0"/>
        <w:tabs>
          <w:tab w:val="left" w:pos="-180"/>
          <w:tab w:val="left" w:pos="0"/>
          <w:tab w:val="left" w:pos="1440"/>
        </w:tabs>
        <w:ind w:firstLine="567"/>
        <w:jc w:val="both"/>
      </w:pPr>
      <w:r>
        <w:rPr>
          <w:b/>
        </w:rPr>
        <w:t>Srovės skirtuminė apsauga</w:t>
      </w:r>
      <w:r>
        <w:t xml:space="preserve"> – įrenginys, atjungiantis elektros srovės grandinę, kai skirtuminė srovė, tekanti per diferencialinį jo elementą, pasiekia srovės nuostatos vertę.</w:t>
      </w:r>
    </w:p>
    <w:p>
      <w:pPr>
        <w:widowControl w:val="0"/>
        <w:tabs>
          <w:tab w:val="left" w:pos="-180"/>
          <w:tab w:val="left" w:pos="0"/>
          <w:tab w:val="left" w:pos="1440"/>
        </w:tabs>
        <w:ind w:firstLine="567"/>
        <w:jc w:val="both"/>
      </w:pPr>
      <w:r>
        <w:rPr>
          <w:b/>
        </w:rPr>
        <w:t>Sunkiai prieinama vietovė</w:t>
      </w:r>
      <w:r>
        <w:t xml:space="preserve"> – vietovė, į kurią negali įvažiuoti transporto priemonės ir žemės ūkio mašinos.</w:t>
      </w:r>
    </w:p>
    <w:p>
      <w:pPr>
        <w:widowControl w:val="0"/>
        <w:tabs>
          <w:tab w:val="left" w:pos="-180"/>
          <w:tab w:val="left" w:pos="0"/>
          <w:tab w:val="left" w:pos="1440"/>
        </w:tabs>
        <w:ind w:firstLine="567"/>
        <w:jc w:val="both"/>
      </w:pPr>
      <w:r>
        <w:rPr>
          <w:b/>
        </w:rPr>
        <w:t>Sustiprintoji izoliacija</w:t>
      </w:r>
      <w:r>
        <w:t xml:space="preserve"> – srovinių dalių izoliacija, užtikrinanti tokią pat kaip ir dviguba izoliacija apsaugą nuo tiesioginio prisilietimo prie srovinių dalių.</w:t>
      </w:r>
    </w:p>
    <w:p>
      <w:pPr>
        <w:widowControl w:val="0"/>
        <w:tabs>
          <w:tab w:val="left" w:pos="-180"/>
          <w:tab w:val="left" w:pos="0"/>
          <w:tab w:val="left" w:pos="1440"/>
        </w:tabs>
        <w:ind w:firstLine="567"/>
        <w:jc w:val="both"/>
      </w:pPr>
      <w:r>
        <w:rPr>
          <w:b/>
        </w:rPr>
        <w:t>Šlapia patalpa</w:t>
      </w:r>
      <w:r>
        <w:t xml:space="preserve"> – patalpa, kurioje santykinis oro drėgnumas yra 90–100 proc., lubos, sienos, grindys ir daiktai aprasoja.</w:t>
      </w:r>
    </w:p>
    <w:p>
      <w:pPr>
        <w:widowControl w:val="0"/>
        <w:tabs>
          <w:tab w:val="left" w:pos="-180"/>
          <w:tab w:val="left" w:pos="0"/>
          <w:tab w:val="left" w:pos="1440"/>
        </w:tabs>
        <w:ind w:firstLine="567"/>
        <w:jc w:val="both"/>
      </w:pPr>
      <w:r>
        <w:rPr>
          <w:b/>
        </w:rPr>
        <w:t>Tarpfazis trumpasis jungimas</w:t>
      </w:r>
      <w:r>
        <w:t xml:space="preserve"> – trumpasis jungimas tarp dviejų ar trijų fazių.</w:t>
      </w:r>
    </w:p>
    <w:p>
      <w:pPr>
        <w:widowControl w:val="0"/>
        <w:tabs>
          <w:tab w:val="left" w:pos="-180"/>
          <w:tab w:val="left" w:pos="0"/>
          <w:tab w:val="left" w:pos="1440"/>
        </w:tabs>
        <w:ind w:firstLine="567"/>
        <w:jc w:val="both"/>
      </w:pPr>
      <w:r>
        <w:rPr>
          <w:b/>
        </w:rPr>
        <w:t>Terminis atsparumas trumpojo jungimo srovėms</w:t>
      </w:r>
      <w:r>
        <w:t xml:space="preserve"> – įrenginio srovinių dalių geba neįkaisti aukščiau nei numatyta temperatūra, per srovines dalis tekant nustatytos vertės trumpojo jungimo srovei.</w:t>
      </w:r>
    </w:p>
    <w:p>
      <w:pPr>
        <w:widowControl w:val="0"/>
        <w:tabs>
          <w:tab w:val="left" w:pos="-180"/>
          <w:tab w:val="left" w:pos="0"/>
          <w:tab w:val="left" w:pos="1440"/>
        </w:tabs>
        <w:ind w:firstLine="567"/>
        <w:jc w:val="both"/>
      </w:pPr>
      <w:r>
        <w:rPr>
          <w:b/>
        </w:rPr>
        <w:t>Tiesiogiai įžemintos neutralės tinklas</w:t>
      </w:r>
      <w:r>
        <w:t xml:space="preserve"> – elektros tinklas, kuriame neutralė tiesiogiai sujungta su įžemintuvu.</w:t>
      </w:r>
    </w:p>
    <w:p>
      <w:pPr>
        <w:widowControl w:val="0"/>
        <w:ind w:firstLine="567"/>
        <w:jc w:val="both"/>
      </w:pPr>
      <w:r>
        <w:rPr>
          <w:b/>
        </w:rPr>
        <w:t xml:space="preserve">Transformatorių pastotė </w:t>
      </w:r>
      <w:r>
        <w:t>(toliau – pastotė) – 35 kV ir aukštesnės įtampos elektros tinklo dalis, užimanti tam tikrą teritoriją arba patalpą, apimanti transformatorius, skirstyklą ir kitus įrenginius ir statinius.</w:t>
      </w:r>
    </w:p>
    <w:p>
      <w:pPr>
        <w:widowControl w:val="0"/>
        <w:tabs>
          <w:tab w:val="left" w:pos="567"/>
          <w:tab w:val="left" w:pos="748"/>
          <w:tab w:val="left" w:pos="935"/>
          <w:tab w:val="left" w:pos="1122"/>
        </w:tabs>
        <w:ind w:firstLine="567"/>
        <w:jc w:val="both"/>
        <w:rPr>
          <w:bCs/>
          <w:iCs/>
        </w:rPr>
      </w:pPr>
      <w:r>
        <w:rPr>
          <w:b/>
          <w:iCs/>
        </w:rPr>
        <w:t>Transformatorinė</w:t>
      </w:r>
      <w:r>
        <w:rPr>
          <w:iCs/>
        </w:rPr>
        <w:t xml:space="preserve"> </w:t>
      </w:r>
      <w:r>
        <w:t>–</w:t>
      </w:r>
      <w:r>
        <w:rPr>
          <w:bCs/>
          <w:iCs/>
        </w:rPr>
        <w:t xml:space="preserve"> 6–10 kV įtampos stacionarioji, betoninė, modulinė, komplektinė, požeminė ar stulpinė transformatorinė, jų 6</w:t>
      </w:r>
      <w:r>
        <w:rPr>
          <w:iCs/>
        </w:rPr>
        <w:t>–</w:t>
      </w:r>
      <w:r>
        <w:rPr>
          <w:bCs/>
          <w:iCs/>
        </w:rPr>
        <w:t>10 kV įtampos elektros įrenginiai, 6</w:t>
      </w:r>
      <w:r>
        <w:rPr>
          <w:iCs/>
        </w:rPr>
        <w:t>–</w:t>
      </w:r>
      <w:r>
        <w:rPr>
          <w:bCs/>
          <w:iCs/>
        </w:rPr>
        <w:t>10 kV galios transformatoriai ir žemosios įtampos elektros įrenginiai.</w:t>
      </w:r>
    </w:p>
    <w:p>
      <w:pPr>
        <w:widowControl w:val="0"/>
        <w:ind w:firstLine="567"/>
        <w:jc w:val="both"/>
      </w:pPr>
      <w:r>
        <w:rPr>
          <w:b/>
        </w:rPr>
        <w:t>Trosas (žaibosaugos lynas)</w:t>
      </w:r>
      <w:r>
        <w:t xml:space="preserve"> </w:t>
      </w:r>
      <w:r>
        <w:rPr>
          <w:bCs/>
        </w:rPr>
        <w:t>–</w:t>
      </w:r>
      <w:r>
        <w:t xml:space="preserve"> daugiavielis laidas su jame sumontuotu optiniu kabeliu arba be jo oro linijai nuo tiesioginio žaibo smūgio apsaugoti. Trosu taip pat perduodami ir ryšio signalai.</w:t>
      </w:r>
    </w:p>
    <w:p>
      <w:pPr>
        <w:widowControl w:val="0"/>
        <w:tabs>
          <w:tab w:val="left" w:pos="-180"/>
          <w:tab w:val="left" w:pos="0"/>
          <w:tab w:val="left" w:pos="1440"/>
        </w:tabs>
        <w:ind w:firstLine="567"/>
        <w:jc w:val="both"/>
      </w:pPr>
      <w:r>
        <w:rPr>
          <w:b/>
        </w:rPr>
        <w:t>Trumpasis jungimas</w:t>
      </w:r>
      <w:r>
        <w:t xml:space="preserve"> – įtampą turinčios elektros grandinės fazių (polių) susijungimas tarpusavyje, tarpusavyje ir su žeme arba tik su žeme tiesiogiai įžemintos neutralės (įžeminto vidurinio taško) tinkle.</w:t>
      </w:r>
    </w:p>
    <w:p>
      <w:pPr>
        <w:widowControl w:val="0"/>
        <w:tabs>
          <w:tab w:val="left" w:pos="-180"/>
          <w:tab w:val="left" w:pos="0"/>
          <w:tab w:val="left" w:pos="1440"/>
        </w:tabs>
        <w:ind w:firstLine="567"/>
        <w:jc w:val="both"/>
      </w:pPr>
      <w:r>
        <w:rPr>
          <w:b/>
        </w:rPr>
        <w:t>Trumpojo jungimo srovė</w:t>
      </w:r>
      <w:r>
        <w:t xml:space="preserve"> – srovė, tekanti trumpojo jungimo metu.</w:t>
      </w:r>
    </w:p>
    <w:p>
      <w:pPr>
        <w:widowControl w:val="0"/>
        <w:tabs>
          <w:tab w:val="left" w:pos="-180"/>
          <w:tab w:val="left" w:pos="0"/>
          <w:tab w:val="left" w:pos="1440"/>
        </w:tabs>
        <w:ind w:firstLine="567"/>
        <w:jc w:val="both"/>
      </w:pPr>
      <w:r>
        <w:rPr>
          <w:b/>
        </w:rPr>
        <w:t>Vardinis parametras</w:t>
      </w:r>
      <w:r>
        <w:t xml:space="preserve"> – gamintojo nurodyta elektrotechninio įrenginio parametro vertė.</w:t>
      </w:r>
    </w:p>
    <w:p>
      <w:pPr>
        <w:widowControl w:val="0"/>
        <w:tabs>
          <w:tab w:val="left" w:pos="-180"/>
          <w:tab w:val="left" w:pos="0"/>
          <w:tab w:val="left" w:pos="1440"/>
        </w:tabs>
        <w:ind w:firstLine="567"/>
        <w:jc w:val="both"/>
      </w:pPr>
      <w:r>
        <w:rPr>
          <w:b/>
        </w:rPr>
        <w:t>Varža įžemintos neutralės tinklas</w:t>
      </w:r>
      <w:r>
        <w:t xml:space="preserve"> – elektros tinklas, kurio neutralė įžeminta didele varža.</w:t>
      </w:r>
    </w:p>
    <w:p>
      <w:pPr>
        <w:widowControl w:val="0"/>
        <w:tabs>
          <w:tab w:val="left" w:pos="-180"/>
          <w:tab w:val="left" w:pos="0"/>
          <w:tab w:val="left" w:pos="1440"/>
        </w:tabs>
        <w:ind w:firstLine="567"/>
        <w:jc w:val="both"/>
        <w:rPr>
          <w:b/>
        </w:rPr>
      </w:pPr>
      <w:r>
        <w:rPr>
          <w:b/>
        </w:rPr>
        <w:t xml:space="preserve">Ventilinis iškroviklis </w:t>
      </w:r>
      <w:r>
        <w:t>(toliau – iškroviklis) – elektros aparatas su nuosekliai sujungtais nelinijiniais rezistoriais ir kibirkštiniais tarpais, saugantis įrenginius nuo atmosferos viršįtampių.</w:t>
      </w:r>
      <w:r>
        <w:rPr>
          <w:b/>
        </w:rPr>
        <w:t xml:space="preserve"> </w:t>
      </w:r>
    </w:p>
    <w:p>
      <w:pPr>
        <w:widowControl w:val="0"/>
        <w:tabs>
          <w:tab w:val="left" w:pos="-180"/>
          <w:tab w:val="left" w:pos="0"/>
          <w:tab w:val="left" w:pos="1440"/>
        </w:tabs>
        <w:ind w:firstLine="567"/>
        <w:jc w:val="both"/>
      </w:pPr>
      <w:r>
        <w:rPr>
          <w:b/>
        </w:rPr>
        <w:t>Vidaus pastotė</w:t>
      </w:r>
      <w:r>
        <w:t xml:space="preserve"> – pastato viduje esanti pastotė.</w:t>
      </w:r>
    </w:p>
    <w:p>
      <w:pPr>
        <w:widowControl w:val="0"/>
        <w:tabs>
          <w:tab w:val="left" w:pos="-180"/>
          <w:tab w:val="left" w:pos="0"/>
          <w:tab w:val="left" w:pos="1440"/>
        </w:tabs>
        <w:ind w:firstLine="567"/>
        <w:jc w:val="both"/>
        <w:rPr>
          <w:b/>
        </w:rPr>
      </w:pPr>
      <w:r>
        <w:rPr>
          <w:b/>
        </w:rPr>
        <w:t>Vidutinė įtampa</w:t>
      </w:r>
      <w:r>
        <w:t xml:space="preserve"> – nuo 1000 V iki 35 kV imtinai kintamosios srovės įtampa.</w:t>
      </w:r>
    </w:p>
    <w:p>
      <w:pPr>
        <w:widowControl w:val="0"/>
        <w:tabs>
          <w:tab w:val="left" w:pos="-180"/>
          <w:tab w:val="left" w:pos="0"/>
          <w:tab w:val="left" w:pos="1440"/>
        </w:tabs>
        <w:ind w:firstLine="567"/>
        <w:jc w:val="both"/>
      </w:pPr>
      <w:r>
        <w:rPr>
          <w:b/>
        </w:rPr>
        <w:t>Vienfazis įžemėjimas</w:t>
      </w:r>
      <w:r>
        <w:t xml:space="preserve"> – nesukeliantis didelių srovių trumpasis jungimas tarp fazinio laido ir žemės izoliuotosios (arba įžemintos per kompensacinę ritę) neutralės tinkle.</w:t>
      </w:r>
    </w:p>
    <w:p>
      <w:pPr>
        <w:widowControl w:val="0"/>
        <w:tabs>
          <w:tab w:val="left" w:pos="-180"/>
          <w:tab w:val="left" w:pos="0"/>
          <w:tab w:val="left" w:pos="1440"/>
        </w:tabs>
        <w:ind w:firstLine="567"/>
        <w:jc w:val="both"/>
      </w:pPr>
      <w:r>
        <w:rPr>
          <w:b/>
        </w:rPr>
        <w:t>Vienfazis trumpasis jungimas</w:t>
      </w:r>
      <w:r>
        <w:t xml:space="preserve"> – trumpasis jungimas tarp fazinio laido ir žemės tiesiogiai įžemintos neutralės tinkle.</w:t>
      </w:r>
    </w:p>
    <w:p>
      <w:pPr>
        <w:widowControl w:val="0"/>
        <w:tabs>
          <w:tab w:val="left" w:pos="-180"/>
          <w:tab w:val="left" w:pos="0"/>
          <w:tab w:val="left" w:pos="1440"/>
        </w:tabs>
        <w:ind w:firstLine="567"/>
        <w:jc w:val="both"/>
      </w:pPr>
      <w:r>
        <w:rPr>
          <w:b/>
        </w:rPr>
        <w:t>Viršįtampių ribotuvas</w:t>
      </w:r>
      <w:r>
        <w:t xml:space="preserve"> – elektros aparatas su nuosekliai sujungtais nelinijiniais metalo oksido rezistoriais be kibirkštinių tarpų, saugantis įrenginius nuo atmosferos ir vidinių viršįtampių.</w:t>
      </w:r>
    </w:p>
    <w:p>
      <w:pPr>
        <w:widowControl w:val="0"/>
        <w:tabs>
          <w:tab w:val="left" w:pos="-180"/>
          <w:tab w:val="left" w:pos="0"/>
          <w:tab w:val="left" w:pos="1440"/>
        </w:tabs>
        <w:ind w:firstLine="567"/>
        <w:jc w:val="both"/>
      </w:pPr>
      <w:r>
        <w:rPr>
          <w:b/>
        </w:rPr>
        <w:t>Žemės paviršiaus potencialas</w:t>
      </w:r>
      <w:r>
        <w:t xml:space="preserve"> – žemės paviršiaus taško potencialas neutralios žemės atžvilgiu.</w:t>
      </w:r>
    </w:p>
    <w:p>
      <w:pPr>
        <w:widowControl w:val="0"/>
        <w:tabs>
          <w:tab w:val="left" w:pos="-180"/>
          <w:tab w:val="left" w:pos="0"/>
          <w:tab w:val="left" w:pos="1440"/>
        </w:tabs>
        <w:ind w:firstLine="567"/>
        <w:jc w:val="both"/>
      </w:pPr>
      <w:r>
        <w:rPr>
          <w:b/>
        </w:rPr>
        <w:t>Žemoji įtampa</w:t>
      </w:r>
      <w:r>
        <w:t xml:space="preserve"> – nuo 50 V iki 1000 V kintamosios srovės ir nuo 75 V iki 1500 V nuolatinės srovės įtampa.</w:t>
      </w:r>
    </w:p>
    <w:p>
      <w:pPr>
        <w:widowControl w:val="0"/>
        <w:ind w:firstLine="567"/>
        <w:jc w:val="both"/>
      </w:pPr>
      <w:r>
        <w:rPr>
          <w:szCs w:val="24"/>
        </w:rPr>
        <w:t>Kitos Taisyklėse vartojamos sąvokos suprantamos taip, kaip jos apibrėžtos Lietuvos Respublikos energetikos įstatyme (toliau - Energetikos įstatymas), Elektros energetikos įstatyme ir kituose teisės aktuose, reglamentuojančiuose elektros įrenginių įrengimo, projektavimo reikalavimus</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jc w:val="center"/>
        <w:rPr>
          <w:b/>
        </w:rPr>
      </w:pPr>
      <w:r>
        <w:rPr>
          <w:b/>
        </w:rPr>
        <w:t>II</w:t>
      </w:r>
      <w:r>
        <w:rPr>
          <w:b/>
        </w:rPr>
        <w:t xml:space="preserve"> SKYRIUS</w:t>
      </w:r>
    </w:p>
    <w:p>
      <w:pPr>
        <w:widowControl w:val="0"/>
        <w:jc w:val="center"/>
        <w:rPr>
          <w:b/>
        </w:rPr>
      </w:pPr>
      <w:r>
        <w:rPr>
          <w:b/>
        </w:rPr>
        <w:t xml:space="preserve">ELEKTROS ĮRENGINIŲ ĮRENGIMO BENDRIEJI REIKALAVIMAI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5</w:t>
      </w:r>
      <w:r>
        <w:t>. Naudojami elektros įrenginiai ir statybos produktai turi atitikti jiems taikomų techninių reglamentų, norminių teisės aktų ir Lietuvoje galiojančių standartų reikalavimus.</w:t>
      </w:r>
    </w:p>
    <w:p>
      <w:pPr>
        <w:widowControl w:val="0"/>
        <w:ind w:firstLine="567"/>
        <w:jc w:val="both"/>
      </w:pPr>
      <w:r>
        <w:t>6</w:t>
      </w:r>
      <w:r>
        <w:t xml:space="preserve">. Naudojamų kabelių, laidų, mašinų, aparatų, prietaisų ir kitų elektros įrenginių konstrukcija, įrengimo būdas ir izoliacijos klasė turi atitikti elektros tinklo arba elektros įrenginio parametrus, aplinkos sąlygas ir teisės aktų reikalavimus. </w:t>
      </w:r>
    </w:p>
    <w:p>
      <w:pPr>
        <w:widowControl w:val="0"/>
        <w:ind w:firstLine="720"/>
        <w:jc w:val="both"/>
      </w:pPr>
      <w:r>
        <w:t>7</w:t>
      </w:r>
      <w:r>
        <w:t xml:space="preserve">. Elektros instaliacijai turi būti naudojami elektrotechnikos gaminiai, pagaminti pagal Elektrotechninių gaminių saugos techninį reglamentą, patvirtintą Lietuvos Respublikos ūkio ministro ir Lietuvos standartizacijos departamento direktoriaus 1999 m. spalio 19 d. įsakymu Nr. 351 / 61 (Žin., 1999, Nr. </w:t>
      </w:r>
      <w:hyperlink r:id="rId17" w:tgtFrame="_blank" w:history="1">
        <w:r>
          <w:rPr>
            <w:color w:val="0000FF" w:themeColor="hyperlink"/>
            <w:u w:val="single"/>
          </w:rPr>
          <w:t>90-2663</w:t>
        </w:r>
      </w:hyperlink>
      <w:r>
        <w:t xml:space="preserve">; 2001, Nr. </w:t>
      </w:r>
      <w:hyperlink r:id="rId18" w:tgtFrame="_blank" w:history="1">
        <w:r>
          <w:rPr>
            <w:color w:val="0000FF" w:themeColor="hyperlink"/>
            <w:u w:val="single"/>
          </w:rPr>
          <w:t>54-1932</w:t>
        </w:r>
      </w:hyperlink>
      <w:r>
        <w:t>) kintamosios srovės įtampai nuo 50 V iki 1000 V ir nuolatinės srovės įtampai nuo 75 V iki 1500 V.</w:t>
      </w:r>
    </w:p>
    <w:p>
      <w:pPr>
        <w:widowControl w:val="0"/>
        <w:tabs>
          <w:tab w:val="left" w:pos="-180"/>
          <w:tab w:val="left" w:pos="0"/>
          <w:tab w:val="left" w:pos="1440"/>
        </w:tabs>
        <w:ind w:firstLine="567"/>
        <w:jc w:val="both"/>
      </w:pPr>
      <w:r>
        <w:t>8</w:t>
      </w:r>
      <w:r>
        <w:t>. Naudojamų elektros įrenginių ir statybos produktų charakteristikos turi atitikti nustatytas darbo sąlygas. Elektros įrenginiai ir konstrukcijos turi būti atsparūs aplinkos poveikiui (arba turi būti apsaugoti nuo šio poveikio).</w:t>
      </w:r>
    </w:p>
    <w:p>
      <w:pPr>
        <w:widowControl w:val="0"/>
        <w:tabs>
          <w:tab w:val="left" w:pos="-180"/>
          <w:tab w:val="left" w:pos="0"/>
          <w:tab w:val="left" w:pos="1440"/>
        </w:tabs>
        <w:ind w:firstLine="567"/>
        <w:jc w:val="both"/>
      </w:pPr>
      <w:r>
        <w:t>9</w:t>
      </w:r>
      <w:r>
        <w:t>. Elektros įrenginių statybinė ir techninė dalis turi atitikti normatyvinių statybos techninių dokumentų ir šių Taisyklių reikalavimus.</w:t>
      </w:r>
    </w:p>
    <w:p>
      <w:pPr>
        <w:widowControl w:val="0"/>
        <w:tabs>
          <w:tab w:val="left" w:pos="-180"/>
          <w:tab w:val="left" w:pos="0"/>
          <w:tab w:val="left" w:pos="1440"/>
        </w:tabs>
        <w:ind w:firstLine="567"/>
        <w:jc w:val="both"/>
      </w:pPr>
      <w:r>
        <w:t>10</w:t>
      </w:r>
      <w:r>
        <w:t>. Įrengiant elektros įrenginius, būtina atsižvelgti į teisės aktų, reglamentuojančių aplinkos taršos, triukšmo, vibracijos, elektros laukų ir kt. kenksmingą poveikį turinčių veiksnių, reikalavimus.</w:t>
      </w:r>
    </w:p>
    <w:p>
      <w:pPr>
        <w:widowControl w:val="0"/>
        <w:tabs>
          <w:tab w:val="left" w:pos="-180"/>
          <w:tab w:val="left" w:pos="0"/>
          <w:tab w:val="left" w:pos="1440"/>
        </w:tabs>
        <w:ind w:firstLine="567"/>
        <w:jc w:val="both"/>
      </w:pPr>
      <w:r>
        <w:t>11</w:t>
      </w:r>
      <w:r>
        <w:t>. Teritorijose ir patalpose, kuriose numatyta eksploatuoti elektros įrenginius, turi būti užtikrintas cheminių medžiagų, alyvos, techninio vandens, šiukšlių, kitų atliekų surinkimas ir pašalinimas, kad jos nepatektų į vandens telkinius, lietaus vandens nuotekų sistemas ir t. t.</w:t>
      </w:r>
    </w:p>
    <w:p>
      <w:pPr>
        <w:widowControl w:val="0"/>
        <w:tabs>
          <w:tab w:val="left" w:pos="-180"/>
          <w:tab w:val="left" w:pos="0"/>
          <w:tab w:val="left" w:pos="1440"/>
        </w:tabs>
        <w:ind w:firstLine="567"/>
        <w:jc w:val="both"/>
      </w:pPr>
      <w:r>
        <w:t>12</w:t>
      </w:r>
      <w:r>
        <w:t>. Elektros įrenginių schemų ir konstrukcijų parinkimas ir komponavimas projektiniuose sprendiniuose turi būti pagrįstas techniniais ir ekonominiais skaičiavimais.</w:t>
      </w:r>
    </w:p>
    <w:p>
      <w:pPr>
        <w:widowControl w:val="0"/>
        <w:tabs>
          <w:tab w:val="left" w:pos="-180"/>
          <w:tab w:val="left" w:pos="0"/>
          <w:tab w:val="left" w:pos="1440"/>
        </w:tabs>
        <w:ind w:firstLine="567"/>
        <w:jc w:val="both"/>
      </w:pPr>
      <w:r>
        <w:t>13</w:t>
      </w:r>
      <w:r>
        <w:t>. Esant rizikai statiniuose, įrenginiuose, vamzdynuose ar kitose komunikacijose atsirasti korozijai elektros įrenginiams apsaugoti turi būti numatytos atitinkamos priemonės.</w:t>
      </w:r>
    </w:p>
    <w:p>
      <w:pPr>
        <w:widowControl w:val="0"/>
        <w:tabs>
          <w:tab w:val="left" w:pos="-180"/>
          <w:tab w:val="left" w:pos="0"/>
          <w:tab w:val="left" w:pos="1440"/>
        </w:tabs>
        <w:ind w:firstLine="567"/>
        <w:jc w:val="both"/>
      </w:pPr>
      <w:r>
        <w:t>14</w:t>
      </w:r>
      <w:r>
        <w:t>. Elektros įrenginių schemos turi būti paprastos ir vaizdžios. Elektros įrenginių išdėstymas, ženklinimas, spalvinis žymėjimas ir užrašai turi būti aiškūs ir suprantami.</w:t>
      </w:r>
    </w:p>
    <w:p>
      <w:pPr>
        <w:widowControl w:val="0"/>
        <w:tabs>
          <w:tab w:val="left" w:pos="-180"/>
          <w:tab w:val="left" w:pos="0"/>
          <w:tab w:val="left" w:pos="1440"/>
        </w:tabs>
        <w:ind w:firstLine="567"/>
        <w:jc w:val="both"/>
      </w:pPr>
      <w:r>
        <w:t>15</w:t>
      </w:r>
      <w:r>
        <w:t>. Tų pačių fazių šynų raidinis arba skaitmeninis ir spalvinis žymėjimas visuose elektros įrenginiuose turi būti vienodas. Fazių seka grandinėse turi sutapti. Šynos turi būti žymimos:</w:t>
      </w:r>
    </w:p>
    <w:p>
      <w:pPr>
        <w:widowControl w:val="0"/>
        <w:tabs>
          <w:tab w:val="left" w:pos="-180"/>
          <w:tab w:val="left" w:pos="0"/>
          <w:tab w:val="left" w:pos="567"/>
          <w:tab w:val="left" w:pos="1440"/>
        </w:tabs>
        <w:ind w:firstLine="567"/>
        <w:jc w:val="both"/>
      </w:pPr>
      <w:r>
        <w:t>15.1</w:t>
      </w:r>
      <w:r>
        <w:t>. Esant kintamajai trifazei srovei: L1 fazė – geltona spalva, L2 fazė – žalia, L3 fazė – raudona, nulinė šyna N – mėlyna spalva; ta pati šyna, naudojama kaip apsauginė PE ir apsauginė nulinė PEN – geltonos ir žalios spalvos juostomis.</w:t>
      </w:r>
    </w:p>
    <w:p>
      <w:pPr>
        <w:widowControl w:val="0"/>
        <w:tabs>
          <w:tab w:val="left" w:pos="-180"/>
          <w:tab w:val="left" w:pos="0"/>
          <w:tab w:val="left" w:pos="1440"/>
        </w:tabs>
        <w:ind w:firstLine="567"/>
        <w:jc w:val="both"/>
      </w:pPr>
      <w:r>
        <w:t>15.2</w:t>
      </w:r>
      <w:r>
        <w:t>. Esant kintamajai vienfazei srovei: šyna, prijungta prie maitinimo šaltinio apvijos pradžios L</w:t>
      </w:r>
      <w:r>
        <w:rPr>
          <w:vertAlign w:val="subscript"/>
        </w:rPr>
        <w:t>1</w:t>
      </w:r>
      <w:r>
        <w:t>,</w:t>
      </w:r>
      <w:r>
        <w:rPr>
          <w:vertAlign w:val="subscript"/>
        </w:rPr>
        <w:t xml:space="preserve"> </w:t>
      </w:r>
      <w:r>
        <w:t>– geltona spalva, o prijungta prie apvijos galo L</w:t>
      </w:r>
      <w:r>
        <w:rPr>
          <w:vertAlign w:val="subscript"/>
        </w:rPr>
        <w:t>2</w:t>
      </w:r>
      <w:r>
        <w:t xml:space="preserve"> – raudona.</w:t>
      </w:r>
    </w:p>
    <w:p>
      <w:pPr>
        <w:widowControl w:val="0"/>
        <w:tabs>
          <w:tab w:val="left" w:pos="-180"/>
          <w:tab w:val="left" w:pos="0"/>
          <w:tab w:val="left" w:pos="1440"/>
        </w:tabs>
        <w:ind w:firstLine="567"/>
        <w:jc w:val="both"/>
      </w:pPr>
      <w:r>
        <w:t>15.3</w:t>
      </w:r>
      <w:r>
        <w:t>. Vienfazės srovės šynos, atsišakojančios nuo trifazės sistemos šynų, žymimos kaip atitinkamos trifazės srovės šynos.</w:t>
      </w:r>
    </w:p>
    <w:p>
      <w:pPr>
        <w:widowControl w:val="0"/>
        <w:tabs>
          <w:tab w:val="left" w:pos="-180"/>
          <w:tab w:val="left" w:pos="0"/>
          <w:tab w:val="left" w:pos="1440"/>
        </w:tabs>
        <w:ind w:firstLine="567"/>
        <w:jc w:val="both"/>
      </w:pPr>
      <w:r>
        <w:t>15.4</w:t>
      </w:r>
      <w:r>
        <w:t>. Esant nuolatinei srovei: teigiamoji šyna (+) – raudona spalva, neigiamoji (minus) – mėlyna, iš vidurinio taško tiesiama šyna M – mėlyna.</w:t>
      </w:r>
    </w:p>
    <w:p>
      <w:pPr>
        <w:widowControl w:val="0"/>
        <w:tabs>
          <w:tab w:val="left" w:pos="-180"/>
          <w:tab w:val="left" w:pos="0"/>
          <w:tab w:val="left" w:pos="1440"/>
        </w:tabs>
        <w:ind w:firstLine="567"/>
        <w:jc w:val="both"/>
      </w:pPr>
      <w:r>
        <w:t>15.5</w:t>
      </w:r>
      <w:r>
        <w:t>. Esant pagrindines šynas rezervuojančiai šynai: jei rezervinė šyna gali pakeisti bet kurią iš pagrindinių, tai ji žymima skersinėmis pagrindinių šynų spalvos juostomis.</w:t>
      </w:r>
    </w:p>
    <w:p>
      <w:pPr>
        <w:widowControl w:val="0"/>
        <w:tabs>
          <w:tab w:val="left" w:pos="-180"/>
          <w:tab w:val="left" w:pos="0"/>
          <w:tab w:val="left" w:pos="1440"/>
        </w:tabs>
        <w:ind w:firstLine="567"/>
        <w:jc w:val="both"/>
      </w:pPr>
      <w:r>
        <w:t>15.6</w:t>
      </w:r>
      <w:r>
        <w:t>. Nebūtina žymėti šynas per visą jų ilgį, spalvinis arba raidinis skaitmeninis žymėjimas (arba abu kartu) būtini tik šynų prijungimo vietose.</w:t>
      </w:r>
    </w:p>
    <w:p>
      <w:pPr>
        <w:widowControl w:val="0"/>
        <w:tabs>
          <w:tab w:val="left" w:pos="-180"/>
          <w:tab w:val="left" w:pos="0"/>
          <w:tab w:val="left" w:pos="1440"/>
        </w:tabs>
        <w:ind w:firstLine="567"/>
        <w:jc w:val="both"/>
      </w:pPr>
      <w:r>
        <w:t>15.7</w:t>
      </w:r>
      <w:r>
        <w:t>. Per visą savo ilgį šyna dažoma tik tuo atveju, jei tai naudojama kaip antikorozinė apsauga arba pagerina aušinimą, kitais atvejais šynos žymimos panaudojant ir kitas medžiagas.</w:t>
      </w:r>
    </w:p>
    <w:p>
      <w:pPr>
        <w:widowControl w:val="0"/>
        <w:tabs>
          <w:tab w:val="left" w:pos="-180"/>
          <w:tab w:val="left" w:pos="0"/>
          <w:tab w:val="left" w:pos="1440"/>
        </w:tabs>
        <w:ind w:firstLine="567"/>
        <w:jc w:val="both"/>
      </w:pPr>
      <w:r>
        <w:t>15.8</w:t>
      </w:r>
      <w:r>
        <w:t>. Jei neizoliuotos šynos esant įtampai nėra prieinamos apžiūrėti, jų žymėti nėra būtina, tačiau tokiu atveju kitomis priemonėmis būtina užtikrinti reikiamą elektros įrenginio priežiūros vaizdumo ir saugos lygį.</w:t>
      </w:r>
    </w:p>
    <w:p>
      <w:pPr>
        <w:widowControl w:val="0"/>
        <w:tabs>
          <w:tab w:val="left" w:pos="-180"/>
          <w:tab w:val="left" w:pos="0"/>
          <w:tab w:val="left" w:pos="1440"/>
        </w:tabs>
        <w:ind w:firstLine="567"/>
        <w:jc w:val="both"/>
      </w:pPr>
      <w:r>
        <w:t>16</w:t>
      </w:r>
      <w:r>
        <w:t>. Išdėstant šynas skirstomuosiuose įrenginiuose (išskyrus gamyklose pagamintus komplektinius skirstomuosius įrenginius) turi būti laikomasi šių reikalavimų:</w:t>
      </w:r>
    </w:p>
    <w:p>
      <w:pPr>
        <w:widowControl w:val="0"/>
        <w:tabs>
          <w:tab w:val="left" w:pos="-180"/>
          <w:tab w:val="left" w:pos="0"/>
          <w:tab w:val="left" w:pos="1440"/>
        </w:tabs>
        <w:ind w:firstLine="567"/>
        <w:jc w:val="both"/>
      </w:pPr>
      <w:r>
        <w:t>16.1</w:t>
      </w:r>
      <w:r>
        <w:t>. Uždaruosiuose kintamosios trifazės srovės skirstomuosiuose įrenginiuose magistralinės ir skirstomosios šynos ir visų rūšių sekcinės šynos išdėstomos iš viršaus žemyn L</w:t>
      </w:r>
      <w:r>
        <w:rPr>
          <w:vertAlign w:val="subscript"/>
        </w:rPr>
        <w:t>1</w:t>
      </w:r>
      <w:r>
        <w:t>–L</w:t>
      </w:r>
      <w:r>
        <w:rPr>
          <w:vertAlign w:val="subscript"/>
        </w:rPr>
        <w:t>2</w:t>
      </w:r>
      <w:r>
        <w:t>–L</w:t>
      </w:r>
      <w:r>
        <w:rPr>
          <w:vertAlign w:val="subscript"/>
        </w:rPr>
        <w:t xml:space="preserve">3 </w:t>
      </w:r>
      <w:r>
        <w:t>vertikaliai arba nuožulniai ar trikampiu, išdėstant horizontaliai (labiausiai nuo priežiūros koridoriaus nutolusi šyna – L</w:t>
      </w:r>
      <w:r>
        <w:rPr>
          <w:vertAlign w:val="subscript"/>
        </w:rPr>
        <w:t>1</w:t>
      </w:r>
      <w:r>
        <w:t>, vidurinė – L</w:t>
      </w:r>
      <w:r>
        <w:rPr>
          <w:vertAlign w:val="subscript"/>
        </w:rPr>
        <w:t>2</w:t>
      </w:r>
      <w:r>
        <w:t>, arčiausiai priežiūros koridoriaus – L</w:t>
      </w:r>
      <w:r>
        <w:rPr>
          <w:vertAlign w:val="subscript"/>
        </w:rPr>
        <w:t>3</w:t>
      </w:r>
      <w:r>
        <w:t>), o atšakos nuo magistralinių šynų išdėstomos iš kairės į dešinę L</w:t>
      </w:r>
      <w:r>
        <w:rPr>
          <w:vertAlign w:val="subscript"/>
        </w:rPr>
        <w:t>1</w:t>
      </w:r>
      <w:r>
        <w:t>–L</w:t>
      </w:r>
      <w:r>
        <w:rPr>
          <w:vertAlign w:val="subscript"/>
        </w:rPr>
        <w:t>2</w:t>
      </w:r>
      <w:r>
        <w:t>–L</w:t>
      </w:r>
      <w:r>
        <w:rPr>
          <w:vertAlign w:val="subscript"/>
        </w:rPr>
        <w:t>3</w:t>
      </w:r>
      <w:r>
        <w:t xml:space="preserve"> (žiūrint iš priežiūros koridoriaus, esant trims koridoriams – iš centrinio).</w:t>
      </w:r>
    </w:p>
    <w:p>
      <w:pPr>
        <w:widowControl w:val="0"/>
        <w:tabs>
          <w:tab w:val="left" w:pos="-180"/>
          <w:tab w:val="left" w:pos="0"/>
          <w:tab w:val="left" w:pos="1440"/>
        </w:tabs>
        <w:ind w:firstLine="567"/>
        <w:jc w:val="both"/>
      </w:pPr>
      <w:r>
        <w:t>16.2</w:t>
      </w:r>
      <w:r>
        <w:t>. Atviruosiuose kintamosios trifazės srovės skirstomuosiuose įrenginiuose magistralinės ir skirstomosios šynos, taip pat visų rūšių sekcinės šynos, šuntuojamosios jungtys žiedinėse, pusantrinėse ir panašiose schemose išdėstomos tokia tvarka, kad aukščiausios įtampos šyna L</w:t>
      </w:r>
      <w:r>
        <w:rPr>
          <w:vertAlign w:val="subscript"/>
        </w:rPr>
        <w:t>1</w:t>
      </w:r>
      <w:r>
        <w:t xml:space="preserve"> būtų arčiausia pagrindinių transformatorių.</w:t>
      </w:r>
    </w:p>
    <w:p>
      <w:pPr>
        <w:widowControl w:val="0"/>
        <w:tabs>
          <w:tab w:val="left" w:pos="-180"/>
          <w:tab w:val="left" w:pos="0"/>
          <w:tab w:val="left" w:pos="1440"/>
        </w:tabs>
        <w:ind w:firstLine="567"/>
        <w:jc w:val="both"/>
      </w:pPr>
      <w:r>
        <w:t>16.3</w:t>
      </w:r>
      <w:r>
        <w:t>. Atviruosiuose kintamosios trifazės srovės skirstomuosiuose įrenginiuose atšakos nuo magistralinių šynų turi būti įrengtos taip, kad prijungtų šynų išdėstymas iš kairės į dešinę būtų L</w:t>
      </w:r>
      <w:r>
        <w:rPr>
          <w:vertAlign w:val="subscript"/>
        </w:rPr>
        <w:t>1</w:t>
      </w:r>
      <w:r>
        <w:t>–L</w:t>
      </w:r>
      <w:r>
        <w:rPr>
          <w:vertAlign w:val="subscript"/>
        </w:rPr>
        <w:t>2</w:t>
      </w:r>
      <w:r>
        <w:t>–L</w:t>
      </w:r>
      <w:r>
        <w:rPr>
          <w:vertAlign w:val="subscript"/>
        </w:rPr>
        <w:t>3</w:t>
      </w:r>
      <w:r>
        <w:t xml:space="preserve"> į transformatorių pusę.</w:t>
      </w:r>
    </w:p>
    <w:p>
      <w:pPr>
        <w:widowControl w:val="0"/>
        <w:tabs>
          <w:tab w:val="left" w:pos="-180"/>
          <w:tab w:val="left" w:pos="0"/>
          <w:tab w:val="left" w:pos="1440"/>
        </w:tabs>
        <w:ind w:firstLine="567"/>
        <w:jc w:val="both"/>
      </w:pPr>
      <w:r>
        <w:t>16.4</w:t>
      </w:r>
      <w:r>
        <w:t>. Nuolatinės srovės įrenginiuose išdėstant vertikaliai: viršutinė – M, vidurinė – L</w:t>
      </w:r>
      <w:r>
        <w:rPr>
          <w:vertAlign w:val="subscript"/>
        </w:rPr>
        <w:t>–</w:t>
      </w:r>
      <w:r>
        <w:t>, apatinė – L</w:t>
      </w:r>
      <w:r>
        <w:rPr>
          <w:vertAlign w:val="subscript"/>
        </w:rPr>
        <w:t>+</w:t>
      </w:r>
      <w:r>
        <w:t>; o išdėstant horizontaliai: labiausia nutolusi – M, vidurinė – L</w:t>
      </w:r>
      <w:r>
        <w:rPr>
          <w:vertAlign w:val="subscript"/>
        </w:rPr>
        <w:t>–</w:t>
      </w:r>
      <w:r>
        <w:t xml:space="preserve"> ir artimiausia – L</w:t>
      </w:r>
      <w:r>
        <w:rPr>
          <w:vertAlign w:val="subscript"/>
        </w:rPr>
        <w:t>+</w:t>
      </w:r>
      <w:r>
        <w:t xml:space="preserve"> (žiūrint iš priežiūros koridoriaus), atšakos nuo magistralinių šynų išdėstomos: kairioji šyna – M, vidurinė – L</w:t>
      </w:r>
      <w:r>
        <w:rPr>
          <w:vertAlign w:val="subscript"/>
        </w:rPr>
        <w:t>–</w:t>
      </w:r>
      <w:r>
        <w:t xml:space="preserve"> ir dešinioji – L</w:t>
      </w:r>
      <w:r>
        <w:rPr>
          <w:vertAlign w:val="subscript"/>
        </w:rPr>
        <w:t>+</w:t>
      </w:r>
      <w:r>
        <w:t xml:space="preserve"> (nuo priežiūros koridoriaus).</w:t>
      </w:r>
    </w:p>
    <w:p>
      <w:pPr>
        <w:widowControl w:val="0"/>
        <w:tabs>
          <w:tab w:val="left" w:pos="-180"/>
          <w:tab w:val="left" w:pos="0"/>
          <w:tab w:val="left" w:pos="1440"/>
        </w:tabs>
        <w:ind w:firstLine="567"/>
        <w:jc w:val="both"/>
      </w:pPr>
      <w:r>
        <w:t>16.5</w:t>
      </w:r>
      <w:r>
        <w:t xml:space="preserve">. Tais atvejais, kai elektros įrenginių išdėstymas yra komplikuotas (pavyzdžiui, prie pastotės būtina įrengti specialias atramas oro linijų laidų transpozicijai) arba kai yra du ar daugiau transformavimo laiptų, šynos išdėstomos ir kitokia tvarka. </w:t>
      </w:r>
    </w:p>
    <w:p>
      <w:pPr>
        <w:widowControl w:val="0"/>
        <w:tabs>
          <w:tab w:val="left" w:pos="-180"/>
          <w:tab w:val="left" w:pos="0"/>
          <w:tab w:val="left" w:pos="1440"/>
        </w:tabs>
        <w:ind w:firstLine="567"/>
        <w:jc w:val="both"/>
      </w:pPr>
      <w:r>
        <w:t>16.6</w:t>
      </w:r>
      <w:r>
        <w:t>. Atšakų šynų išdėstymas narveliuose turi būti vienodas.</w:t>
      </w:r>
    </w:p>
    <w:p>
      <w:pPr>
        <w:widowControl w:val="0"/>
        <w:tabs>
          <w:tab w:val="left" w:pos="-180"/>
          <w:tab w:val="left" w:pos="0"/>
          <w:tab w:val="left" w:pos="1440"/>
        </w:tabs>
        <w:ind w:firstLine="567"/>
        <w:jc w:val="both"/>
      </w:pPr>
      <w:r>
        <w:t>17</w:t>
      </w:r>
      <w:r>
        <w:t>. Turi būti numatytos įrengti atitinkamos apsaugos nuo neigiamo elektros įrenginių poveikio radijo, laidinio ryšio, geležinkelio signalizacijos ir telemechanikos įrenginiams priemonės.</w:t>
      </w:r>
    </w:p>
    <w:p>
      <w:pPr>
        <w:widowControl w:val="0"/>
        <w:tabs>
          <w:tab w:val="left" w:pos="-180"/>
          <w:tab w:val="left" w:pos="0"/>
          <w:tab w:val="left" w:pos="1440"/>
        </w:tabs>
        <w:ind w:firstLine="567"/>
        <w:jc w:val="both"/>
      </w:pPr>
      <w:r>
        <w:t>18</w:t>
      </w:r>
      <w:r>
        <w:t>. Įrengiant elektros įrenginius, būtina užtikrinti elektrotechnikos darbuotojų saugumą. Pagrindinės tam naudojamos priemonės yra:</w:t>
      </w:r>
    </w:p>
    <w:p>
      <w:pPr>
        <w:widowControl w:val="0"/>
        <w:tabs>
          <w:tab w:val="left" w:pos="-180"/>
          <w:tab w:val="left" w:pos="0"/>
          <w:tab w:val="left" w:pos="567"/>
          <w:tab w:val="left" w:pos="1440"/>
        </w:tabs>
        <w:ind w:firstLine="567"/>
        <w:jc w:val="both"/>
      </w:pPr>
      <w:r>
        <w:t>18.1</w:t>
      </w:r>
      <w:r>
        <w:t>. atitinkamos izoliacijos (tam tikrais atvejais sustiprintosios arba dvigubosios) naudojimas;</w:t>
      </w:r>
    </w:p>
    <w:p>
      <w:pPr>
        <w:widowControl w:val="0"/>
        <w:tabs>
          <w:tab w:val="left" w:pos="-180"/>
          <w:tab w:val="left" w:pos="0"/>
          <w:tab w:val="left" w:pos="567"/>
          <w:tab w:val="left" w:pos="1440"/>
        </w:tabs>
        <w:ind w:firstLine="567"/>
        <w:jc w:val="both"/>
      </w:pPr>
      <w:r>
        <w:t>18.2</w:t>
      </w:r>
      <w:r>
        <w:t>. atitinkamų atstumų iki srovinių dalių laikymasis arba srovinių dalių izoliavimas (uždengiant ar atitveriant);</w:t>
      </w:r>
    </w:p>
    <w:p>
      <w:pPr>
        <w:widowControl w:val="0"/>
        <w:tabs>
          <w:tab w:val="left" w:pos="-180"/>
          <w:tab w:val="left" w:pos="0"/>
          <w:tab w:val="left" w:pos="567"/>
          <w:tab w:val="left" w:pos="1440"/>
        </w:tabs>
        <w:ind w:firstLine="567"/>
        <w:jc w:val="both"/>
      </w:pPr>
      <w:r>
        <w:t>18.3</w:t>
      </w:r>
      <w:r>
        <w:t>. aparatų ir aptvarų blokuotė (užkertanti kelią klaidingoms operacijoms ir neleidžianti prisiliesti prie srovinių dalių);</w:t>
      </w:r>
    </w:p>
    <w:p>
      <w:pPr>
        <w:widowControl w:val="0"/>
        <w:tabs>
          <w:tab w:val="left" w:pos="-180"/>
          <w:tab w:val="left" w:pos="0"/>
          <w:tab w:val="left" w:pos="567"/>
          <w:tab w:val="left" w:pos="1440"/>
        </w:tabs>
        <w:ind w:firstLine="567"/>
        <w:jc w:val="both"/>
      </w:pPr>
      <w:r>
        <w:t>18.4</w:t>
      </w:r>
      <w:r>
        <w:t>. patikimas automatinis elektros įrenginio dalių, kuriose atsitiktinai atsirado įtampa, ir pažeistų tinklo ruožų išjungimas (įskaitant ir apsauginį);</w:t>
      </w:r>
    </w:p>
    <w:p>
      <w:pPr>
        <w:widowControl w:val="0"/>
        <w:tabs>
          <w:tab w:val="left" w:pos="-180"/>
          <w:tab w:val="left" w:pos="0"/>
          <w:tab w:val="left" w:pos="567"/>
          <w:tab w:val="left" w:pos="1440"/>
        </w:tabs>
        <w:ind w:firstLine="567"/>
        <w:jc w:val="both"/>
      </w:pPr>
      <w:r>
        <w:t>18.5</w:t>
      </w:r>
      <w:r>
        <w:t>. elektros įrenginių ir jų elementų korpusų, kuriuose pažeidus izoliaciją gali atsirasti įtampa, įžeminimas arba įnulinimas;</w:t>
      </w:r>
    </w:p>
    <w:p>
      <w:pPr>
        <w:widowControl w:val="0"/>
        <w:tabs>
          <w:tab w:val="left" w:pos="-180"/>
          <w:tab w:val="left" w:pos="0"/>
          <w:tab w:val="left" w:pos="567"/>
          <w:tab w:val="left" w:pos="1440"/>
        </w:tabs>
        <w:ind w:firstLine="567"/>
        <w:jc w:val="both"/>
      </w:pPr>
      <w:r>
        <w:t>18.6</w:t>
      </w:r>
      <w:r>
        <w:t>. potencialų išlyginimas;</w:t>
      </w:r>
    </w:p>
    <w:p>
      <w:pPr>
        <w:widowControl w:val="0"/>
        <w:tabs>
          <w:tab w:val="left" w:pos="-180"/>
          <w:tab w:val="left" w:pos="0"/>
          <w:tab w:val="left" w:pos="567"/>
          <w:tab w:val="left" w:pos="1440"/>
        </w:tabs>
        <w:ind w:firstLine="567"/>
        <w:jc w:val="both"/>
      </w:pPr>
      <w:r>
        <w:t>18.7</w:t>
      </w:r>
      <w:r>
        <w:t>. skiriamųjų transformatorių naudojimas;</w:t>
      </w:r>
    </w:p>
    <w:p>
      <w:pPr>
        <w:widowControl w:val="0"/>
        <w:tabs>
          <w:tab w:val="left" w:pos="-180"/>
          <w:tab w:val="left" w:pos="0"/>
          <w:tab w:val="left" w:pos="567"/>
          <w:tab w:val="left" w:pos="1440"/>
        </w:tabs>
        <w:ind w:firstLine="567"/>
        <w:jc w:val="both"/>
      </w:pPr>
      <w:r>
        <w:t>18.8</w:t>
      </w:r>
      <w:r>
        <w:t>. skirtuminės srovės apsaugos naudojimas;</w:t>
      </w:r>
    </w:p>
    <w:p>
      <w:pPr>
        <w:widowControl w:val="0"/>
        <w:tabs>
          <w:tab w:val="left" w:pos="-180"/>
          <w:tab w:val="left" w:pos="0"/>
          <w:tab w:val="left" w:pos="567"/>
          <w:tab w:val="left" w:pos="1440"/>
        </w:tabs>
        <w:ind w:firstLine="567"/>
        <w:jc w:val="both"/>
      </w:pPr>
      <w:r>
        <w:t>18.9</w:t>
      </w:r>
      <w:r>
        <w:t>. saugios 50 Hz dažnio kintamosios srovės ir nuolatinės srovės įtampos naudojimas;</w:t>
      </w:r>
    </w:p>
    <w:p>
      <w:pPr>
        <w:widowControl w:val="0"/>
        <w:tabs>
          <w:tab w:val="left" w:pos="-180"/>
          <w:tab w:val="left" w:pos="0"/>
          <w:tab w:val="left" w:pos="567"/>
          <w:tab w:val="left" w:pos="1440"/>
        </w:tabs>
        <w:ind w:firstLine="567"/>
        <w:jc w:val="both"/>
      </w:pPr>
      <w:r>
        <w:t>18.10</w:t>
      </w:r>
      <w:r>
        <w:t>. įspėjamoji signalizacija, užrašai, ženklai;</w:t>
      </w:r>
    </w:p>
    <w:p>
      <w:pPr>
        <w:widowControl w:val="0"/>
        <w:tabs>
          <w:tab w:val="left" w:pos="-180"/>
          <w:tab w:val="left" w:pos="0"/>
          <w:tab w:val="left" w:pos="567"/>
          <w:tab w:val="left" w:pos="1440"/>
        </w:tabs>
        <w:ind w:firstLine="567"/>
        <w:jc w:val="both"/>
      </w:pPr>
      <w:r>
        <w:t>18.11</w:t>
      </w:r>
      <w:r>
        <w:t>. priemonės, mažinančios elektrinių laukų stiprį;</w:t>
      </w:r>
    </w:p>
    <w:p>
      <w:pPr>
        <w:widowControl w:val="0"/>
        <w:tabs>
          <w:tab w:val="left" w:pos="-180"/>
          <w:tab w:val="left" w:pos="0"/>
          <w:tab w:val="left" w:pos="567"/>
          <w:tab w:val="left" w:pos="1440"/>
        </w:tabs>
        <w:ind w:firstLine="567"/>
        <w:jc w:val="both"/>
      </w:pPr>
      <w:r>
        <w:t>18.12</w:t>
      </w:r>
      <w:r>
        <w:t>. apsauginės priemonės ir įrangos apsauga nuo elektrinio lauko poveikio elektros įrenginiuose, kuriuose jo stipris viršija leistinąsias normas.</w:t>
      </w:r>
    </w:p>
    <w:p>
      <w:pPr>
        <w:widowControl w:val="0"/>
        <w:tabs>
          <w:tab w:val="left" w:pos="-180"/>
          <w:tab w:val="left" w:pos="0"/>
          <w:tab w:val="left" w:pos="567"/>
          <w:tab w:val="left" w:pos="1440"/>
        </w:tabs>
        <w:ind w:firstLine="567"/>
        <w:jc w:val="both"/>
      </w:pPr>
      <w:r>
        <w:t>19</w:t>
      </w:r>
      <w:r>
        <w:t xml:space="preserve">. Elektrotechnikos ir gamybos paskirties patalpose apsauginė danga, sauganti nuo atsitiktinio prisilietimo prie įtampą turinčių srovinių dalių, naudojama tinklinė arba perforuota. Kitose patalpose ji turi būti aklina. </w:t>
      </w:r>
    </w:p>
    <w:p>
      <w:pPr>
        <w:widowControl w:val="0"/>
        <w:tabs>
          <w:tab w:val="left" w:pos="-180"/>
          <w:tab w:val="left" w:pos="0"/>
          <w:tab w:val="left" w:pos="567"/>
          <w:tab w:val="left" w:pos="1440"/>
        </w:tabs>
        <w:ind w:firstLine="567"/>
        <w:jc w:val="both"/>
      </w:pPr>
      <w:r>
        <w:t>20</w:t>
      </w:r>
      <w:r>
        <w:t>. Apsauginė danga ir aptvaros, išskyrus barjerus transformatorinėse, turi būti tokios, kad jos būtų išardomos arba atidaromos tiktai naudojant įrankius.</w:t>
      </w:r>
    </w:p>
    <w:p>
      <w:pPr>
        <w:widowControl w:val="0"/>
        <w:tabs>
          <w:tab w:val="left" w:pos="-180"/>
          <w:tab w:val="left" w:pos="0"/>
          <w:tab w:val="left" w:pos="567"/>
          <w:tab w:val="left" w:pos="1440"/>
        </w:tabs>
        <w:ind w:firstLine="567"/>
        <w:jc w:val="both"/>
      </w:pPr>
      <w:r>
        <w:t>21</w:t>
      </w:r>
      <w:r>
        <w:t>. Visos aptvaros ir apsauginė danga mechaniškai turi būti tvirtos. Esant aukštesnei kaip 1000 V įtampai, metalinės apsaugos dangos storis turi būti ne mažesnis kaip 1 mm. Apsauginė laidų danga turi patikimai jungtis su mašinų, aparatų ir prietaisų korpusais.</w:t>
      </w:r>
    </w:p>
    <w:p>
      <w:pPr>
        <w:widowControl w:val="0"/>
        <w:tabs>
          <w:tab w:val="left" w:pos="-180"/>
          <w:tab w:val="left" w:pos="0"/>
          <w:tab w:val="left" w:pos="567"/>
          <w:tab w:val="left" w:pos="1440"/>
        </w:tabs>
        <w:ind w:firstLine="567"/>
        <w:jc w:val="both"/>
      </w:pPr>
      <w:r>
        <w:t>22</w:t>
      </w:r>
      <w:r>
        <w:t>. Elektros įrenginių, turinčių alyvinių aparatų ir kabelių, taip pat elektros įrenginių, padengtų arba įmirkytų alyvoje, lake, bitume ir pan., priešgaisrinė sauga ir sauga nuo sprogimo turi būti užtikrinama įgyvendinant atitinkamus šių Taisyklių ir priešgaisrinę saugą reglamentuojančių teisės aktų reikalavimus.</w:t>
      </w:r>
    </w:p>
    <w:p>
      <w:pPr>
        <w:widowControl w:val="0"/>
        <w:ind w:firstLine="720"/>
        <w:jc w:val="both"/>
      </w:pPr>
      <w:r>
        <w:t>23</w:t>
      </w:r>
      <w:r>
        <w:t xml:space="preserve">. Prieš pradedant naudoti elektros įrenginius turi būti atliekami elektros įrenginių bandymai ir matavimai. </w:t>
      </w:r>
    </w:p>
    <w:p>
      <w:pPr>
        <w:widowControl w:val="0"/>
        <w:tabs>
          <w:tab w:val="left" w:pos="-180"/>
          <w:tab w:val="left" w:pos="180"/>
          <w:tab w:val="left" w:pos="1260"/>
        </w:tabs>
        <w:ind w:firstLine="567"/>
        <w:jc w:val="both"/>
      </w:pPr>
      <w:r>
        <w:t>24</w:t>
      </w:r>
      <w:r>
        <w:t>. Prieš pradedant naudoti elektros įrenginius, objektai turi būti aprūpinti teisės aktuose numatytais gaisro gesinimo įrenginiais ir priemonėmis.</w:t>
      </w:r>
    </w:p>
    <w:p>
      <w:pPr>
        <w:widowControl w:val="0"/>
        <w:tabs>
          <w:tab w:val="left" w:pos="-180"/>
          <w:tab w:val="left" w:pos="1440"/>
        </w:tabs>
        <w:ind w:firstLine="567"/>
        <w:jc w:val="both"/>
      </w:pPr>
    </w:p>
    <w:p>
      <w:pPr>
        <w:jc w:val="center"/>
        <w:rPr>
          <w:szCs w:val="24"/>
          <w:lang w:eastAsia="lt-LT"/>
        </w:rPr>
      </w:pPr>
      <w:r>
        <w:rPr>
          <w:b/>
          <w:bCs/>
          <w:color w:val="000000"/>
          <w:szCs w:val="24"/>
          <w:lang w:eastAsia="lt-LT"/>
        </w:rPr>
        <w:t>II</w:t>
      </w:r>
      <w:r>
        <w:rPr>
          <w:b/>
          <w:bCs/>
          <w:color w:val="000000"/>
          <w:szCs w:val="24"/>
          <w:vertAlign w:val="superscript"/>
          <w:lang w:eastAsia="lt-LT"/>
        </w:rPr>
        <w:t>1</w:t>
      </w:r>
      <w:r>
        <w:rPr>
          <w:b/>
          <w:bCs/>
          <w:color w:val="000000"/>
          <w:szCs w:val="24"/>
          <w:lang w:eastAsia="lt-LT"/>
        </w:rPr>
        <w:t xml:space="preserve"> SKYRIUS</w:t>
      </w:r>
    </w:p>
    <w:p>
      <w:pPr>
        <w:jc w:val="center"/>
        <w:rPr>
          <w:b/>
          <w:szCs w:val="24"/>
        </w:rPr>
      </w:pPr>
      <w:r>
        <w:rPr>
          <w:b/>
          <w:szCs w:val="24"/>
        </w:rPr>
        <w:t xml:space="preserve">KILNOJAMŲJŲ ELEKTROS ENERGETIKOS OBJEKTŲ IR ĮRENGINIŲ PROJEKTAVIMAS </w:t>
      </w:r>
    </w:p>
    <w:p>
      <w:pPr>
        <w:jc w:val="center"/>
        <w:rPr>
          <w:b/>
          <w:szCs w:val="24"/>
        </w:rPr>
      </w:pPr>
    </w:p>
    <w:p>
      <w:pPr>
        <w:jc w:val="center"/>
        <w:rPr>
          <w:b/>
          <w:szCs w:val="24"/>
        </w:rPr>
      </w:pPr>
      <w:r>
        <w:rPr>
          <w:b/>
          <w:szCs w:val="24"/>
        </w:rPr>
        <w:t>PIRMASIS</w:t>
      </w:r>
      <w:r>
        <w:rPr>
          <w:b/>
          <w:szCs w:val="24"/>
        </w:rPr>
        <w:t xml:space="preserve"> SKIRSNIS</w:t>
      </w:r>
    </w:p>
    <w:p>
      <w:pPr>
        <w:widowControl w:val="0"/>
        <w:tabs>
          <w:tab w:val="left" w:pos="284"/>
          <w:tab w:val="left" w:pos="567"/>
        </w:tabs>
        <w:jc w:val="center"/>
        <w:rPr>
          <w:b/>
          <w:szCs w:val="24"/>
        </w:rPr>
      </w:pPr>
      <w:r>
        <w:rPr>
          <w:b/>
          <w:szCs w:val="24"/>
        </w:rPr>
        <w:t>TAIKYMO SRITIS</w:t>
      </w:r>
    </w:p>
    <w:p>
      <w:pPr>
        <w:ind w:firstLine="567"/>
        <w:jc w:val="both"/>
        <w:rPr>
          <w:b/>
          <w:szCs w:val="24"/>
        </w:rPr>
      </w:pPr>
    </w:p>
    <w:p>
      <w:pPr>
        <w:tabs>
          <w:tab w:val="left" w:pos="-180"/>
          <w:tab w:val="left" w:pos="1440"/>
        </w:tabs>
        <w:ind w:firstLine="567"/>
        <w:jc w:val="both"/>
        <w:rPr>
          <w:szCs w:val="24"/>
        </w:rPr>
      </w:pPr>
      <w:r>
        <w:rPr>
          <w:szCs w:val="24"/>
        </w:rPr>
        <w:t>24</w:t>
      </w:r>
      <w:r>
        <w:rPr>
          <w:szCs w:val="24"/>
          <w:vertAlign w:val="superscript"/>
        </w:rPr>
        <w:t>1</w:t>
      </w:r>
      <w:r>
        <w:rPr>
          <w:szCs w:val="24"/>
        </w:rPr>
        <w:t xml:space="preserve">. Šio Taisyklių skyriaus reikalavimai taikomi projektuojant Elektros energetikos įstatymo 75 straipsnio 2 dalyje nurodytus kilnojamuosius elektros energetikos objektus ir įrenginius. Be šio Taisyklių skyriaus reikalavimų, projektuojant kilnojamuosius elektros energetikos objektus ir įrenginius taip pat būtina vadovautis Taisyklių kitų skyrių, Elektros energetikos įstatymo, Elektros energijos gamintojų ir vartotojų elektros įrenginių prijungimo prie elektros tinklų tvarkos aprašo, </w:t>
      </w:r>
      <w:r>
        <w:t xml:space="preserve">patvirtinto Lietuvos Respublikos energetikos ministro </w:t>
      </w:r>
      <w:smartTag w:uri="urn:schemas-microsoft-com:office:smarttags" w:element="metricconverter">
        <w:smartTagPr>
          <w:attr w:name="ProductID" w:val="2012 m"/>
        </w:smartTagPr>
        <w:r>
          <w:t>2012 m</w:t>
        </w:r>
      </w:smartTag>
      <w:r>
        <w:t xml:space="preserve">. liepos 4 d. įsakymu Nr. 1-127 </w:t>
      </w:r>
      <w:r>
        <w:rPr>
          <w:color w:val="000000"/>
        </w:rPr>
        <w:t xml:space="preserve">„Dėl Elektros energijos gamintojų ir vartotojų elektros įrenginių prijungimo prie elektros tinklų tvarkos aprašo patvirtinimo“ </w:t>
      </w:r>
      <w:r>
        <w:rPr>
          <w:szCs w:val="24"/>
        </w:rPr>
        <w:t>(toliau – Aprašas), ir kitų teisės aktų, reglamentuojančių kilnojamųjų elektros energetikos objektų ir įrenginių įrengimą, reikalavimais.</w:t>
      </w:r>
    </w:p>
    <w:p>
      <w:pPr>
        <w:tabs>
          <w:tab w:val="left" w:pos="-180"/>
          <w:tab w:val="left" w:pos="1440"/>
        </w:tabs>
        <w:ind w:firstLine="567"/>
        <w:jc w:val="both"/>
        <w:rPr>
          <w:szCs w:val="24"/>
        </w:rPr>
      </w:pPr>
    </w:p>
    <w:p>
      <w:pPr>
        <w:jc w:val="center"/>
        <w:rPr>
          <w:b/>
          <w:szCs w:val="24"/>
        </w:rPr>
      </w:pPr>
      <w:r>
        <w:rPr>
          <w:b/>
          <w:szCs w:val="24"/>
        </w:rPr>
        <w:t>ANTRASIS</w:t>
      </w:r>
      <w:r>
        <w:rPr>
          <w:b/>
          <w:szCs w:val="24"/>
        </w:rPr>
        <w:t xml:space="preserve"> SKIRSNIS</w:t>
      </w:r>
    </w:p>
    <w:p>
      <w:pPr>
        <w:widowControl w:val="0"/>
        <w:jc w:val="center"/>
        <w:rPr>
          <w:b/>
          <w:szCs w:val="24"/>
        </w:rPr>
      </w:pPr>
      <w:r>
        <w:rPr>
          <w:b/>
          <w:szCs w:val="24"/>
        </w:rPr>
        <w:t>REIKALAVIMAI KILNOJAMŲJŲ ELEKTROS ENERGETIKOS OBJEKTŲ IR ĮRENGINIŲ ĮRENGIMO PROJEKTUI, JO DERINIMAS IR KEITIMAS</w:t>
      </w:r>
    </w:p>
    <w:p>
      <w:pPr>
        <w:ind w:firstLine="567"/>
        <w:jc w:val="center"/>
        <w:rPr>
          <w:b/>
          <w:szCs w:val="24"/>
        </w:rPr>
      </w:pPr>
    </w:p>
    <w:p>
      <w:pPr>
        <w:ind w:firstLine="567"/>
        <w:jc w:val="both"/>
        <w:rPr>
          <w:szCs w:val="24"/>
        </w:rPr>
      </w:pPr>
      <w:r>
        <w:rPr>
          <w:szCs w:val="24"/>
        </w:rPr>
        <w:t>24</w:t>
      </w:r>
      <w:r>
        <w:rPr>
          <w:szCs w:val="24"/>
          <w:vertAlign w:val="superscript"/>
        </w:rPr>
        <w:t>2</w:t>
      </w:r>
      <w:r>
        <w:rPr>
          <w:szCs w:val="24"/>
        </w:rPr>
        <w:t>. Kilnojamųjų elektros energetikos objektų ir įrenginių įrengimo projektą turi teisę rengti Elektros energetikos įstatyme nustatytus reikalavimus atitinkantys projektuotojai, taip pat asmenys, pagal Statybos įstatymą turintys teisę projektuoti elektros tinklus.</w:t>
      </w:r>
    </w:p>
    <w:p>
      <w:pPr>
        <w:ind w:firstLine="567"/>
        <w:jc w:val="both"/>
        <w:rPr>
          <w:szCs w:val="24"/>
        </w:rPr>
      </w:pPr>
      <w:r>
        <w:rPr>
          <w:szCs w:val="24"/>
        </w:rPr>
        <w:t>24</w:t>
      </w:r>
      <w:r>
        <w:rPr>
          <w:szCs w:val="24"/>
          <w:vertAlign w:val="superscript"/>
        </w:rPr>
        <w:t>3</w:t>
      </w:r>
      <w:r>
        <w:rPr>
          <w:szCs w:val="24"/>
        </w:rPr>
        <w:t>. Kilnojamųjų elektros energetikos objektų ir įrenginių įrengimo projektas rengiamas įrengiant, remontuojant, rekonstruojant, modernizuojant kilnojamuosius elektros energetikos objektus ir įrenginius, išskyrus Taisyklių 24</w:t>
      </w:r>
      <w:r>
        <w:rPr>
          <w:szCs w:val="24"/>
          <w:vertAlign w:val="superscript"/>
        </w:rPr>
        <w:t>4</w:t>
      </w:r>
      <w:r>
        <w:rPr>
          <w:szCs w:val="24"/>
        </w:rPr>
        <w:t xml:space="preserve"> punkte nurodytus atvejus. </w:t>
      </w:r>
    </w:p>
    <w:p>
      <w:pPr>
        <w:widowControl w:val="0"/>
        <w:ind w:firstLine="567"/>
        <w:jc w:val="both"/>
        <w:rPr>
          <w:szCs w:val="24"/>
          <w:lang w:eastAsia="lt-LT"/>
        </w:rPr>
      </w:pPr>
      <w:r>
        <w:rPr>
          <w:szCs w:val="24"/>
          <w:lang w:eastAsia="lt-LT"/>
        </w:rPr>
        <w:t>24</w:t>
      </w:r>
      <w:r>
        <w:rPr>
          <w:szCs w:val="24"/>
          <w:vertAlign w:val="superscript"/>
          <w:lang w:eastAsia="lt-LT"/>
        </w:rPr>
        <w:t>4</w:t>
      </w:r>
      <w:r>
        <w:rPr>
          <w:szCs w:val="24"/>
          <w:lang w:eastAsia="lt-LT"/>
        </w:rPr>
        <w:t xml:space="preserve">. Kilnojamųjų elektros energetikos objektų ir įrenginių įrengimo projektas nerengiamas atliekant kilnojamųjų elektros energetikos įrenginių rekonstravimo, kapitalinio remonto ar paprastojo remonto darbus, nurodytus Elektros tinklų statybos rūšių ir elektros įrenginių įrengimo darbų rūšių apraše, patvirtiname Lietuvos Respublikos energetikos ministro </w:t>
      </w:r>
      <w:smartTag w:uri="urn:schemas-microsoft-com:office:smarttags" w:element="metricconverter">
        <w:smartTagPr>
          <w:attr w:name="ProductID" w:val="2016 m"/>
        </w:smartTagPr>
        <w:r>
          <w:rPr>
            <w:szCs w:val="24"/>
            <w:lang w:eastAsia="lt-LT"/>
          </w:rPr>
          <w:t>2016 m</w:t>
        </w:r>
      </w:smartTag>
      <w:r>
        <w:rPr>
          <w:szCs w:val="24"/>
          <w:lang w:eastAsia="lt-LT"/>
        </w:rPr>
        <w:t>. rugsėjo 13 d. įsakymu Nr. 1-245 „Dėl Elektros tinklų statybos rūšių ir elektros įrenginių įrengimo darbų rūšių aprašo patvirtinimo“, kai neišplečiamos esamos kilnojamųjų elektros energetikos objektų ir įrenginių apsaugos zonos, kai įrengiama vartotojo, gamintojo ar gaminančio vartotojo elektros inžinerinio tinklo dalis (iki 30 kW leistinosios naudoti galios) vartotojui, gamintojui ar gaminančiam vartotojui nuosavybės teise ar kitais teisėtais pagrindais valdomame žemės sklype nuo įvadinėje apskaitos spintoje ar įvadinėje apskaitos skirstomojoje spintoje nustatytos elektros tinklo nuosavybės ribos. Šiuo atveju kilnojamųjų elektros energetikos objektų ir įrenginių įrengimo darbai atliekami pagal techninę užduotį. Tais atvejais, kai kilnojamųjų elektros energetikos objektų ir įrenginių apsaugos zonoje yra kitų inžinerinių komunikacijų ar statinių, projektas turi būti rengiamas.</w:t>
      </w:r>
    </w:p>
    <w:p>
      <w:pPr>
        <w:ind w:firstLine="567"/>
        <w:jc w:val="both"/>
        <w:rPr>
          <w:szCs w:val="24"/>
        </w:rPr>
      </w:pPr>
      <w:r>
        <w:rPr>
          <w:szCs w:val="24"/>
        </w:rPr>
        <w:t>24</w:t>
      </w:r>
      <w:r>
        <w:rPr>
          <w:szCs w:val="24"/>
          <w:vertAlign w:val="superscript"/>
        </w:rPr>
        <w:t>5</w:t>
      </w:r>
      <w:r>
        <w:rPr>
          <w:szCs w:val="24"/>
        </w:rPr>
        <w:t>. Kilnojamųjų elektros energetikos objektų ir įrenginių įrengimo projektas rengiamas vadovaujantis:</w:t>
      </w:r>
    </w:p>
    <w:p>
      <w:pPr>
        <w:ind w:firstLine="567"/>
        <w:jc w:val="both"/>
        <w:rPr>
          <w:szCs w:val="24"/>
        </w:rPr>
      </w:pPr>
      <w:r>
        <w:rPr>
          <w:szCs w:val="24"/>
        </w:rPr>
        <w:t>24</w:t>
      </w:r>
      <w:r>
        <w:rPr>
          <w:szCs w:val="24"/>
          <w:vertAlign w:val="superscript"/>
        </w:rPr>
        <w:t>5</w:t>
      </w:r>
      <w:r>
        <w:rPr>
          <w:szCs w:val="24"/>
        </w:rPr>
        <w:t>.1</w:t>
      </w:r>
      <w:r>
        <w:rPr>
          <w:szCs w:val="24"/>
        </w:rPr>
        <w:t>. Elektros energetikos įstatymu, Aprašu, Taisyklėmis, teritorijų planavimo dokumentais, žemėtvarkos planavimo dokumentais bei kitais teisės aktais, reglamentuojančiais kilnojamųjų elektros energetikos objektų ir įrenginių įrengimą;</w:t>
      </w:r>
    </w:p>
    <w:p>
      <w:pPr>
        <w:ind w:firstLine="567"/>
        <w:jc w:val="both"/>
        <w:rPr>
          <w:szCs w:val="24"/>
        </w:rPr>
      </w:pPr>
      <w:r>
        <w:rPr>
          <w:szCs w:val="24"/>
        </w:rPr>
        <w:t>24</w:t>
      </w:r>
      <w:r>
        <w:rPr>
          <w:szCs w:val="24"/>
          <w:vertAlign w:val="superscript"/>
        </w:rPr>
        <w:t>5</w:t>
      </w:r>
      <w:r>
        <w:rPr>
          <w:szCs w:val="24"/>
        </w:rPr>
        <w:t>.2</w:t>
      </w:r>
      <w:r>
        <w:rPr>
          <w:szCs w:val="24"/>
        </w:rPr>
        <w:t xml:space="preserve">. skirstomųjų tinklų operatoriaus išduotomis prijungimo sąlygomis ar kitu kilnojamųjų elektros įrenginių savininko išduotu dokumentu, atitinkančiu prijungimo sąlygų esmę, kai kilnojamieji elektros energetikos objektai ir įrenginiai priklauso ne skirstomųjų tinklų operatoriui; </w:t>
      </w:r>
    </w:p>
    <w:p>
      <w:pPr>
        <w:ind w:firstLine="567"/>
        <w:jc w:val="both"/>
        <w:rPr>
          <w:szCs w:val="24"/>
        </w:rPr>
      </w:pPr>
      <w:r>
        <w:rPr>
          <w:szCs w:val="24"/>
        </w:rPr>
        <w:t>24</w:t>
      </w:r>
      <w:r>
        <w:rPr>
          <w:szCs w:val="24"/>
          <w:vertAlign w:val="superscript"/>
        </w:rPr>
        <w:t>5</w:t>
      </w:r>
      <w:r>
        <w:rPr>
          <w:szCs w:val="24"/>
        </w:rPr>
        <w:t>.3</w:t>
      </w:r>
      <w:r>
        <w:rPr>
          <w:szCs w:val="24"/>
        </w:rPr>
        <w:t>. ne senesniu kaip 1 metų teisės aktų reikalavimus atitinkančiu topografiniu planu;</w:t>
      </w:r>
    </w:p>
    <w:p>
      <w:pPr>
        <w:ind w:firstLine="567"/>
        <w:jc w:val="both"/>
        <w:rPr>
          <w:szCs w:val="24"/>
        </w:rPr>
      </w:pPr>
      <w:r>
        <w:rPr>
          <w:szCs w:val="24"/>
        </w:rPr>
        <w:t>24</w:t>
      </w:r>
      <w:r>
        <w:rPr>
          <w:szCs w:val="24"/>
          <w:vertAlign w:val="superscript"/>
        </w:rPr>
        <w:t>5</w:t>
      </w:r>
      <w:r>
        <w:rPr>
          <w:szCs w:val="24"/>
        </w:rPr>
        <w:t>.4</w:t>
      </w:r>
      <w:r>
        <w:rPr>
          <w:szCs w:val="24"/>
        </w:rPr>
        <w:t>. projektavimo darbų rangos (paslaugos) sutartimi;</w:t>
      </w:r>
    </w:p>
    <w:p>
      <w:pPr>
        <w:ind w:firstLine="567"/>
        <w:jc w:val="both"/>
        <w:rPr>
          <w:szCs w:val="24"/>
        </w:rPr>
      </w:pPr>
      <w:r>
        <w:rPr>
          <w:szCs w:val="24"/>
        </w:rPr>
        <w:t>24</w:t>
      </w:r>
      <w:r>
        <w:rPr>
          <w:szCs w:val="24"/>
          <w:vertAlign w:val="superscript"/>
        </w:rPr>
        <w:t>5</w:t>
      </w:r>
      <w:r>
        <w:rPr>
          <w:szCs w:val="24"/>
        </w:rPr>
        <w:t>.5</w:t>
      </w:r>
      <w:r>
        <w:rPr>
          <w:szCs w:val="24"/>
        </w:rPr>
        <w:t xml:space="preserve">. </w:t>
      </w:r>
      <w:r>
        <w:rPr>
          <w:color w:val="000000"/>
          <w:szCs w:val="24"/>
          <w:lang w:eastAsia="lt-LT" w:bidi="lt-LT"/>
        </w:rPr>
        <w:t xml:space="preserve">Kultūros paveldo departamento prie Kultūros ministerijos išduotais specialiaisiais paveldosaugos reikalavimais, kai projektas rengiamas kultūros paveldo statiniuose, kultūros paveldo objektuose ar jų teritorijose arba kultūros paveldo vietovėse ir jose esančiuose arba statomuose statiniuose, išskyrus </w:t>
      </w:r>
      <w:r>
        <w:t>savivaldybės saugomais paskelbtus kultūros paveldo objektus, jų teritorijas ir vietoves</w:t>
      </w:r>
      <w:r>
        <w:rPr>
          <w:color w:val="000000"/>
          <w:szCs w:val="24"/>
          <w:lang w:eastAsia="lt-LT" w:bidi="lt-LT"/>
        </w:rPr>
        <w:t>;</w:t>
      </w:r>
    </w:p>
    <w:p>
      <w:pPr>
        <w:ind w:firstLine="567"/>
        <w:jc w:val="both"/>
        <w:rPr>
          <w:szCs w:val="24"/>
        </w:rPr>
      </w:pPr>
      <w:r>
        <w:rPr>
          <w:szCs w:val="24"/>
        </w:rPr>
        <w:t>24</w:t>
      </w:r>
      <w:r>
        <w:rPr>
          <w:szCs w:val="24"/>
          <w:vertAlign w:val="superscript"/>
        </w:rPr>
        <w:t>5</w:t>
      </w:r>
      <w:r>
        <w:rPr>
          <w:szCs w:val="24"/>
        </w:rPr>
        <w:t>.6</w:t>
      </w:r>
      <w:r>
        <w:rPr>
          <w:szCs w:val="24"/>
        </w:rPr>
        <w:t>. kitais teisės aktais, nustatančiais kitų subjektų valdomų objektų apsaugos reikalavimus.</w:t>
      </w:r>
    </w:p>
    <w:p>
      <w:pPr>
        <w:ind w:firstLine="567"/>
        <w:jc w:val="both"/>
        <w:rPr>
          <w:szCs w:val="24"/>
        </w:rPr>
      </w:pPr>
      <w:r>
        <w:rPr>
          <w:szCs w:val="24"/>
        </w:rPr>
        <w:t>24</w:t>
      </w:r>
      <w:r>
        <w:rPr>
          <w:szCs w:val="24"/>
          <w:vertAlign w:val="superscript"/>
        </w:rPr>
        <w:t>6</w:t>
      </w:r>
      <w:r>
        <w:rPr>
          <w:szCs w:val="24"/>
        </w:rPr>
        <w:t>. Kilnojamųjų elektros energetikos objektų ir įrenginių įrengimo projektą, kai nėra Taisyklių 24</w:t>
      </w:r>
      <w:r>
        <w:rPr>
          <w:szCs w:val="24"/>
          <w:vertAlign w:val="superscript"/>
        </w:rPr>
        <w:t>15</w:t>
      </w:r>
      <w:r>
        <w:rPr>
          <w:szCs w:val="24"/>
        </w:rPr>
        <w:t xml:space="preserve"> punkte nurodytų aplinkybių, sudaro šių dokumentų ir duomenų visuma: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Pr>
        <w:ind w:firstLine="567"/>
        <w:jc w:val="both"/>
        <w:rPr>
          <w:szCs w:val="24"/>
        </w:rPr>
      </w:pPr>
      <w:r>
        <w:rPr>
          <w:szCs w:val="24"/>
        </w:rPr>
        <w:t>24</w:t>
      </w:r>
      <w:r>
        <w:rPr>
          <w:szCs w:val="24"/>
          <w:vertAlign w:val="superscript"/>
        </w:rPr>
        <w:t>6</w:t>
      </w:r>
      <w:r>
        <w:rPr>
          <w:szCs w:val="24"/>
        </w:rPr>
        <w:t>.1</w:t>
      </w:r>
      <w:r>
        <w:rPr>
          <w:szCs w:val="24"/>
        </w:rPr>
        <w:t>. antraštinis lapas (titulinis);</w:t>
      </w:r>
    </w:p>
    <w:p>
      <w:pPr>
        <w:ind w:firstLine="567"/>
        <w:jc w:val="both"/>
        <w:rPr>
          <w:szCs w:val="24"/>
        </w:rPr>
      </w:pPr>
      <w:r>
        <w:rPr>
          <w:szCs w:val="24"/>
        </w:rPr>
        <w:t>24</w:t>
      </w:r>
      <w:r>
        <w:rPr>
          <w:szCs w:val="24"/>
          <w:vertAlign w:val="superscript"/>
        </w:rPr>
        <w:t>6</w:t>
      </w:r>
      <w:r>
        <w:rPr>
          <w:szCs w:val="24"/>
        </w:rPr>
        <w:t>.2</w:t>
      </w:r>
      <w:r>
        <w:rPr>
          <w:szCs w:val="24"/>
        </w:rPr>
        <w:t>. projekto dokumentų sudėties žiniaraštis;</w:t>
      </w:r>
    </w:p>
    <w:p>
      <w:pPr>
        <w:ind w:firstLine="567"/>
        <w:jc w:val="both"/>
        <w:rPr>
          <w:szCs w:val="24"/>
        </w:rPr>
      </w:pPr>
      <w:r>
        <w:rPr>
          <w:szCs w:val="24"/>
        </w:rPr>
        <w:t>24</w:t>
      </w:r>
      <w:r>
        <w:rPr>
          <w:szCs w:val="24"/>
          <w:vertAlign w:val="superscript"/>
        </w:rPr>
        <w:t>6</w:t>
      </w:r>
      <w:r>
        <w:rPr>
          <w:szCs w:val="24"/>
        </w:rPr>
        <w:t>.3</w:t>
      </w:r>
      <w:r>
        <w:rPr>
          <w:szCs w:val="24"/>
        </w:rPr>
        <w:t xml:space="preserve">. projektuojamo objekto bendrieji rodikliai; </w:t>
      </w:r>
    </w:p>
    <w:p>
      <w:pPr>
        <w:ind w:firstLine="567"/>
        <w:jc w:val="both"/>
        <w:rPr>
          <w:szCs w:val="24"/>
        </w:rPr>
      </w:pPr>
      <w:r>
        <w:rPr>
          <w:szCs w:val="24"/>
        </w:rPr>
        <w:t>24</w:t>
      </w:r>
      <w:r>
        <w:rPr>
          <w:szCs w:val="24"/>
          <w:vertAlign w:val="superscript"/>
        </w:rPr>
        <w:t>6</w:t>
      </w:r>
      <w:r>
        <w:rPr>
          <w:szCs w:val="24"/>
        </w:rPr>
        <w:t>.4</w:t>
      </w:r>
      <w:r>
        <w:rPr>
          <w:szCs w:val="24"/>
        </w:rPr>
        <w:t>. projekto aiškinamoji dalis:</w:t>
      </w:r>
    </w:p>
    <w:p>
      <w:pPr>
        <w:ind w:firstLine="567"/>
        <w:jc w:val="both"/>
        <w:rPr>
          <w:szCs w:val="24"/>
        </w:rPr>
      </w:pPr>
      <w:r>
        <w:rPr>
          <w:szCs w:val="24"/>
        </w:rPr>
        <w:t>24</w:t>
      </w:r>
      <w:r>
        <w:rPr>
          <w:szCs w:val="24"/>
          <w:vertAlign w:val="superscript"/>
        </w:rPr>
        <w:t>6</w:t>
      </w:r>
      <w:r>
        <w:rPr>
          <w:szCs w:val="24"/>
        </w:rPr>
        <w:t>.4.1</w:t>
      </w:r>
      <w:r>
        <w:rPr>
          <w:szCs w:val="24"/>
        </w:rPr>
        <w:t>. projekto rengimo pagrindas;</w:t>
      </w:r>
    </w:p>
    <w:p>
      <w:pPr>
        <w:ind w:firstLine="567"/>
        <w:jc w:val="both"/>
        <w:rPr>
          <w:szCs w:val="24"/>
        </w:rPr>
      </w:pPr>
      <w:r>
        <w:rPr>
          <w:szCs w:val="24"/>
        </w:rPr>
        <w:t>24</w:t>
      </w:r>
      <w:r>
        <w:rPr>
          <w:szCs w:val="24"/>
          <w:vertAlign w:val="superscript"/>
        </w:rPr>
        <w:t>6</w:t>
      </w:r>
      <w:r>
        <w:rPr>
          <w:szCs w:val="24"/>
        </w:rPr>
        <w:t>.4.2</w:t>
      </w:r>
      <w:r>
        <w:rPr>
          <w:szCs w:val="24"/>
        </w:rPr>
        <w:t>. teisės aktai ir kiti dokumentai bei duomenys, kuriais vadovaujantis parengtas projektas;</w:t>
      </w:r>
    </w:p>
    <w:p>
      <w:pPr>
        <w:ind w:firstLine="567"/>
        <w:jc w:val="both"/>
        <w:rPr>
          <w:szCs w:val="24"/>
        </w:rPr>
      </w:pPr>
      <w:r>
        <w:rPr>
          <w:szCs w:val="24"/>
        </w:rPr>
        <w:t>24</w:t>
      </w:r>
      <w:r>
        <w:rPr>
          <w:szCs w:val="24"/>
          <w:vertAlign w:val="superscript"/>
        </w:rPr>
        <w:t>6</w:t>
      </w:r>
      <w:r>
        <w:rPr>
          <w:szCs w:val="24"/>
        </w:rPr>
        <w:t>.4.3</w:t>
      </w:r>
      <w:r>
        <w:rPr>
          <w:szCs w:val="24"/>
        </w:rPr>
        <w:t xml:space="preserve">.  duomenys, reikalingi projektinių sprendinių pagrindimui; </w:t>
      </w:r>
    </w:p>
    <w:p>
      <w:pPr>
        <w:ind w:firstLine="567"/>
        <w:jc w:val="both"/>
        <w:rPr>
          <w:szCs w:val="24"/>
        </w:rPr>
      </w:pPr>
      <w:r>
        <w:rPr>
          <w:szCs w:val="24"/>
        </w:rPr>
        <w:t>24</w:t>
      </w:r>
      <w:r>
        <w:rPr>
          <w:szCs w:val="24"/>
          <w:vertAlign w:val="superscript"/>
        </w:rPr>
        <w:t>6</w:t>
      </w:r>
      <w:r>
        <w:rPr>
          <w:szCs w:val="24"/>
        </w:rPr>
        <w:t>.4.4</w:t>
      </w:r>
      <w:r>
        <w:rPr>
          <w:szCs w:val="24"/>
        </w:rPr>
        <w:t>.  projektinių sprendinių techniniai rodikliai ir sprendinius pagrindžiantys skaičiavimai;</w:t>
      </w:r>
    </w:p>
    <w:p>
      <w:pPr>
        <w:ind w:firstLine="567"/>
        <w:jc w:val="both"/>
        <w:rPr>
          <w:szCs w:val="24"/>
        </w:rPr>
      </w:pPr>
      <w:r>
        <w:rPr>
          <w:szCs w:val="24"/>
        </w:rPr>
        <w:t>24</w:t>
      </w:r>
      <w:r>
        <w:rPr>
          <w:szCs w:val="24"/>
          <w:vertAlign w:val="superscript"/>
        </w:rPr>
        <w:t>6</w:t>
      </w:r>
      <w:r>
        <w:rPr>
          <w:szCs w:val="24"/>
        </w:rPr>
        <w:t>.4.5</w:t>
      </w:r>
      <w:r>
        <w:rPr>
          <w:szCs w:val="24"/>
        </w:rPr>
        <w:t>. kilnojamųjų elektros energetikos objektų ir įrenginių įžeminimo, žaibosaugos ir potencialų išlyginimo skaičiavimai ir parinkimas;</w:t>
      </w:r>
    </w:p>
    <w:p>
      <w:pPr>
        <w:ind w:firstLine="567"/>
        <w:jc w:val="both"/>
        <w:rPr>
          <w:szCs w:val="24"/>
        </w:rPr>
      </w:pPr>
      <w:r>
        <w:rPr>
          <w:szCs w:val="24"/>
        </w:rPr>
        <w:t>24</w:t>
      </w:r>
      <w:r>
        <w:rPr>
          <w:szCs w:val="24"/>
          <w:vertAlign w:val="superscript"/>
        </w:rPr>
        <w:t>6</w:t>
      </w:r>
      <w:r>
        <w:rPr>
          <w:szCs w:val="24"/>
        </w:rPr>
        <w:t>.5</w:t>
      </w:r>
      <w:r>
        <w:rPr>
          <w:szCs w:val="24"/>
        </w:rPr>
        <w:t xml:space="preserve">. techninės specifikacijos įrenginiams ir medžiagoms; </w:t>
      </w:r>
    </w:p>
    <w:p>
      <w:pPr>
        <w:ind w:firstLine="567"/>
        <w:jc w:val="both"/>
        <w:rPr>
          <w:szCs w:val="24"/>
        </w:rPr>
      </w:pPr>
      <w:r>
        <w:rPr>
          <w:szCs w:val="24"/>
        </w:rPr>
        <w:t>24</w:t>
      </w:r>
      <w:r>
        <w:rPr>
          <w:szCs w:val="24"/>
          <w:vertAlign w:val="superscript"/>
        </w:rPr>
        <w:t>6</w:t>
      </w:r>
      <w:r>
        <w:rPr>
          <w:szCs w:val="24"/>
        </w:rPr>
        <w:t>.6</w:t>
      </w:r>
      <w:r>
        <w:rPr>
          <w:szCs w:val="24"/>
        </w:rPr>
        <w:t>. suprojektuotų kilnojamųjų elektros tinklų ir įrenginių brėžiniai ir elektros tinklų prijungimo prie veikiančio elektros tinklo principinė schema;</w:t>
      </w:r>
    </w:p>
    <w:p>
      <w:pPr>
        <w:ind w:firstLine="567"/>
        <w:jc w:val="both"/>
        <w:rPr>
          <w:szCs w:val="24"/>
        </w:rPr>
      </w:pPr>
      <w:r>
        <w:rPr>
          <w:szCs w:val="24"/>
        </w:rPr>
        <w:t>24</w:t>
      </w:r>
      <w:r>
        <w:rPr>
          <w:szCs w:val="24"/>
          <w:vertAlign w:val="superscript"/>
        </w:rPr>
        <w:t>6</w:t>
      </w:r>
      <w:r>
        <w:rPr>
          <w:szCs w:val="24"/>
        </w:rPr>
        <w:t>.7</w:t>
      </w:r>
      <w:r>
        <w:rPr>
          <w:szCs w:val="24"/>
        </w:rPr>
        <w:t>. suvestinis inžinerinių tinklų planas galiojančiame topografiniame plane;</w:t>
      </w:r>
    </w:p>
    <w:p>
      <w:pPr>
        <w:ind w:firstLine="567"/>
        <w:jc w:val="both"/>
        <w:rPr>
          <w:rFonts w:eastAsia="Calibri"/>
          <w:szCs w:val="24"/>
        </w:rPr>
      </w:pPr>
      <w:r>
        <w:rPr>
          <w:rFonts w:eastAsia="Calibri"/>
          <w:szCs w:val="24"/>
        </w:rPr>
        <w:t>24</w:t>
      </w:r>
      <w:r>
        <w:rPr>
          <w:rFonts w:eastAsia="Calibri"/>
          <w:szCs w:val="24"/>
          <w:vertAlign w:val="superscript"/>
        </w:rPr>
        <w:t>6</w:t>
      </w:r>
      <w:r>
        <w:rPr>
          <w:rFonts w:eastAsia="Calibri"/>
          <w:szCs w:val="24"/>
        </w:rPr>
        <w:t>.8</w:t>
      </w:r>
      <w:r>
        <w:rPr>
          <w:rFonts w:eastAsia="Calibri"/>
          <w:szCs w:val="24"/>
        </w:rPr>
        <w:t>. suprojektuotų skirstomųjų elektros tinklų (su koordinatėmis ir apsaugos zonų ribomis) planai, kurių masteliai ne didesni kaip M1:500 urbanizuotose teritorijose, atskirais atvejais M1:250  ir ne didesni kaip M1:1000 neurbanizuotose teritorijose, kurie rengiami vadovaujantis ne senesniu kaip 1 metų topografiniu planu, kuris patikslinamas (jei reikia) projekto rengimo metu;</w:t>
      </w:r>
    </w:p>
    <w:p>
      <w:pPr>
        <w:ind w:firstLine="567"/>
        <w:jc w:val="both"/>
        <w:rPr>
          <w:rFonts w:eastAsia="Calibri"/>
          <w:szCs w:val="24"/>
        </w:rPr>
      </w:pPr>
      <w:r>
        <w:rPr>
          <w:rFonts w:eastAsia="Calibri"/>
          <w:szCs w:val="24"/>
        </w:rPr>
        <w:t>24</w:t>
      </w:r>
      <w:r>
        <w:rPr>
          <w:rFonts w:eastAsia="Calibri"/>
          <w:szCs w:val="24"/>
          <w:vertAlign w:val="superscript"/>
        </w:rPr>
        <w:t>6</w:t>
      </w:r>
      <w:r>
        <w:rPr>
          <w:rFonts w:eastAsia="Calibri"/>
          <w:szCs w:val="24"/>
        </w:rPr>
        <w:t>.9</w:t>
      </w:r>
      <w:r>
        <w:rPr>
          <w:rFonts w:eastAsia="Calibri"/>
          <w:szCs w:val="24"/>
        </w:rPr>
        <w:t>. sklypų planai su suprojektuotais vartotojų elektros tinklais (su koordinatėmis), kurių masteliai ne didesni kaip M1:500, kurie rengiami vadovaujantis ne senesniu kaip 1 metų topografiniu planu, kuris patikslinamas (jei reikia) projekto rengimo metu, arba – ne senesniu kaip 1metų kadastrinių matavimų planu su pažymėtais esamais ir projektuojamais statiniais, inžinieriniais tinklais,  jų eksplikacija ir projektuojamų statinių pagrindiniais matmenimis plane ir aukščiais;</w:t>
      </w:r>
    </w:p>
    <w:p>
      <w:pPr>
        <w:ind w:firstLine="567"/>
        <w:jc w:val="both"/>
        <w:rPr>
          <w:rFonts w:eastAsia="Calibri"/>
          <w:szCs w:val="24"/>
        </w:rPr>
      </w:pPr>
      <w:r>
        <w:rPr>
          <w:rFonts w:eastAsia="Calibri"/>
          <w:szCs w:val="24"/>
        </w:rPr>
        <w:t>24</w:t>
      </w:r>
      <w:r>
        <w:rPr>
          <w:rFonts w:eastAsia="Calibri"/>
          <w:szCs w:val="24"/>
          <w:vertAlign w:val="superscript"/>
        </w:rPr>
        <w:t>6</w:t>
      </w:r>
      <w:r>
        <w:rPr>
          <w:rFonts w:eastAsia="Calibri"/>
          <w:szCs w:val="24"/>
        </w:rPr>
        <w:t>.10</w:t>
      </w:r>
      <w:r>
        <w:rPr>
          <w:rFonts w:eastAsia="Calibri"/>
          <w:szCs w:val="24"/>
        </w:rPr>
        <w:t>. inžinerinių tinklų sankirtų pjūviai;</w:t>
      </w:r>
    </w:p>
    <w:p>
      <w:pPr>
        <w:ind w:firstLine="567"/>
        <w:jc w:val="both"/>
        <w:rPr>
          <w:szCs w:val="24"/>
        </w:rPr>
      </w:pPr>
      <w:r>
        <w:rPr>
          <w:szCs w:val="24"/>
        </w:rPr>
        <w:t>24</w:t>
      </w:r>
      <w:r>
        <w:rPr>
          <w:szCs w:val="24"/>
          <w:vertAlign w:val="superscript"/>
        </w:rPr>
        <w:t>6</w:t>
      </w:r>
      <w:r>
        <w:rPr>
          <w:szCs w:val="24"/>
        </w:rPr>
        <w:t>.11</w:t>
      </w:r>
      <w:r>
        <w:rPr>
          <w:szCs w:val="24"/>
        </w:rPr>
        <w:t xml:space="preserve">. projektinė sąmata ir žiniaraščiai; </w:t>
      </w:r>
    </w:p>
    <w:p>
      <w:pPr>
        <w:ind w:firstLine="567"/>
        <w:jc w:val="both"/>
        <w:rPr>
          <w:szCs w:val="24"/>
        </w:rPr>
      </w:pPr>
      <w:r>
        <w:rPr>
          <w:szCs w:val="24"/>
        </w:rPr>
        <w:t>24</w:t>
      </w:r>
      <w:r>
        <w:rPr>
          <w:szCs w:val="24"/>
          <w:vertAlign w:val="superscript"/>
        </w:rPr>
        <w:t>6</w:t>
      </w:r>
      <w:r>
        <w:rPr>
          <w:szCs w:val="24"/>
        </w:rPr>
        <w:t>.12</w:t>
      </w:r>
      <w:r>
        <w:rPr>
          <w:szCs w:val="24"/>
        </w:rPr>
        <w:t>. projekto suderinimai, sutikimai, pritarimai;</w:t>
      </w:r>
    </w:p>
    <w:p>
      <w:pPr>
        <w:ind w:firstLine="567"/>
        <w:jc w:val="both"/>
        <w:rPr>
          <w:szCs w:val="24"/>
        </w:rPr>
      </w:pPr>
      <w:r>
        <w:rPr>
          <w:szCs w:val="24"/>
        </w:rPr>
        <w:t>24</w:t>
      </w:r>
      <w:r>
        <w:rPr>
          <w:szCs w:val="24"/>
          <w:vertAlign w:val="superscript"/>
        </w:rPr>
        <w:t>6</w:t>
      </w:r>
      <w:r>
        <w:rPr>
          <w:szCs w:val="24"/>
        </w:rPr>
        <w:t>.13</w:t>
      </w:r>
      <w:r>
        <w:rPr>
          <w:szCs w:val="24"/>
        </w:rPr>
        <w:t>. susitarimai dėl servitutų, kai servitutus būtina nustatyti pagal Energetikos įstatymo, Elektros energetikos įstatymo ar kitų teisės aktų reikalavimus;</w:t>
      </w:r>
    </w:p>
    <w:p>
      <w:pPr>
        <w:ind w:firstLine="567"/>
        <w:jc w:val="both"/>
        <w:rPr>
          <w:szCs w:val="24"/>
        </w:rPr>
      </w:pPr>
      <w:r>
        <w:rPr>
          <w:szCs w:val="24"/>
        </w:rPr>
        <w:t>24</w:t>
      </w:r>
      <w:r>
        <w:rPr>
          <w:szCs w:val="24"/>
          <w:vertAlign w:val="superscript"/>
        </w:rPr>
        <w:t>6</w:t>
      </w:r>
      <w:r>
        <w:rPr>
          <w:szCs w:val="24"/>
        </w:rPr>
        <w:t>.14</w:t>
      </w:r>
      <w:r>
        <w:rPr>
          <w:szCs w:val="24"/>
        </w:rPr>
        <w:t>. prireikus kiti dokumentai.</w:t>
      </w:r>
    </w:p>
    <w:p>
      <w:pPr>
        <w:suppressAutoHyphens/>
        <w:ind w:firstLine="567"/>
        <w:jc w:val="both"/>
        <w:rPr>
          <w:szCs w:val="24"/>
        </w:rPr>
      </w:pPr>
      <w:r>
        <w:rPr>
          <w:szCs w:val="24"/>
        </w:rPr>
        <w:t>24</w:t>
      </w:r>
      <w:r>
        <w:rPr>
          <w:szCs w:val="24"/>
          <w:vertAlign w:val="superscript"/>
        </w:rPr>
        <w:t>7</w:t>
      </w:r>
      <w:r>
        <w:rPr>
          <w:szCs w:val="24"/>
        </w:rPr>
        <w:t xml:space="preserve">. Kilnojamųjų elektros objektų ir įrenginių įrengimo projekto apimtis ir detalumas turi atitikti skirstomųjų tinklų operatoriaus išduotas prijungimo sąlygas ar kitą kilnojamųjų elektros įrenginių savininko išduotą dokumentą, atitinkantį prijungimo sąlygų esmę, kai kilnojamieji elektros energetikos objektai ir įrenginiai priklauso ne skirstomųjų tinklų operatoriui, turi būti pakankamas kilnojamųjų elektros energetikos objektų ir įrenginių įrengimo preliminariai darbų kainai nustatyti, kilnojamųjų elektros energetikos objektų ir įrenginių įrengimo rangovui parinkti. </w:t>
      </w:r>
    </w:p>
    <w:p>
      <w:pPr>
        <w:suppressAutoHyphens/>
        <w:ind w:firstLine="567"/>
        <w:jc w:val="both"/>
        <w:rPr>
          <w:szCs w:val="24"/>
        </w:rPr>
      </w:pPr>
      <w:r>
        <w:rPr>
          <w:szCs w:val="24"/>
        </w:rPr>
        <w:t>24</w:t>
      </w:r>
      <w:r>
        <w:rPr>
          <w:szCs w:val="24"/>
          <w:vertAlign w:val="superscript"/>
        </w:rPr>
        <w:t>8</w:t>
      </w:r>
      <w:r>
        <w:rPr>
          <w:szCs w:val="24"/>
        </w:rPr>
        <w:t>. Kilnojamųjų elektros energetikos objektų ir įrenginių įrengimo projektas, kai nėra Taisyklių 24.</w:t>
      </w:r>
      <w:r>
        <w:rPr>
          <w:szCs w:val="24"/>
          <w:vertAlign w:val="superscript"/>
        </w:rPr>
        <w:t>15</w:t>
      </w:r>
      <w:r>
        <w:rPr>
          <w:szCs w:val="24"/>
        </w:rPr>
        <w:t xml:space="preserve"> punkte nurodytų aplinkybių, derinamas su: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Pr>
        <w:suppressAutoHyphens/>
        <w:ind w:firstLine="567"/>
        <w:jc w:val="both"/>
        <w:rPr>
          <w:szCs w:val="24"/>
        </w:rPr>
      </w:pPr>
      <w:r>
        <w:rPr>
          <w:szCs w:val="24"/>
        </w:rPr>
        <w:t>24</w:t>
      </w:r>
      <w:r>
        <w:rPr>
          <w:szCs w:val="24"/>
          <w:vertAlign w:val="superscript"/>
        </w:rPr>
        <w:t>8</w:t>
      </w:r>
      <w:r>
        <w:rPr>
          <w:szCs w:val="24"/>
        </w:rPr>
        <w:t>.1</w:t>
      </w:r>
      <w:r>
        <w:rPr>
          <w:szCs w:val="24"/>
        </w:rPr>
        <w:t>. savivaldybės administracija (taikoma, kai kilnojamieji elektros energetikos objektai ir įrenginiai projektuojami mieste);</w:t>
      </w:r>
    </w:p>
    <w:p>
      <w:pPr>
        <w:suppressAutoHyphens/>
        <w:ind w:firstLine="567"/>
        <w:jc w:val="both"/>
        <w:rPr>
          <w:szCs w:val="24"/>
        </w:rPr>
      </w:pPr>
      <w:r>
        <w:rPr>
          <w:szCs w:val="24"/>
        </w:rPr>
        <w:t>24</w:t>
      </w:r>
      <w:r>
        <w:rPr>
          <w:szCs w:val="24"/>
          <w:vertAlign w:val="superscript"/>
        </w:rPr>
        <w:t>8</w:t>
      </w:r>
      <w:r>
        <w:rPr>
          <w:szCs w:val="24"/>
        </w:rPr>
        <w:t>.2</w:t>
      </w:r>
      <w:r>
        <w:rPr>
          <w:szCs w:val="24"/>
        </w:rPr>
        <w:t>. Kultūros paveldo departamentu prie Kultūros ministerijos teritoriniu skyriumi, kai kilnojamieji elektros energetikos objektai ir įrenginiai projektuojami kultūros paveldo statinyje ar kultūros paveldo objekte ir (ar) jų teritorijoje, kultūros paveldo vietovėje, saugomoje teritorijoje (kultūriniame arba kompleksiniame (kraštovaizdžio) draustinyje, istoriniame nacionaliniame, istoriniame regioniniame parke) arba šiose teritorijose esančiuose statiniuose;</w:t>
      </w:r>
    </w:p>
    <w:p>
      <w:pPr>
        <w:suppressAutoHyphens/>
        <w:ind w:firstLine="567"/>
        <w:jc w:val="both"/>
        <w:rPr>
          <w:szCs w:val="24"/>
        </w:rPr>
      </w:pPr>
      <w:r>
        <w:rPr>
          <w:szCs w:val="24"/>
        </w:rPr>
        <w:t>24</w:t>
      </w:r>
      <w:r>
        <w:rPr>
          <w:szCs w:val="24"/>
          <w:vertAlign w:val="superscript"/>
        </w:rPr>
        <w:t>8</w:t>
      </w:r>
      <w:r>
        <w:rPr>
          <w:szCs w:val="24"/>
        </w:rPr>
        <w:t>.3</w:t>
      </w:r>
      <w:r>
        <w:rPr>
          <w:szCs w:val="24"/>
        </w:rPr>
        <w:t>. savivaldybės paveldosaugos padaliniu, kai kilnojamieji elektros energetikos objektai ir įrenginiai projektuojami savivaldybės saugomais paskelbtuose kultūros paveldo objektuose, jų teritorijose ar kultūros paveldo vietovėse esančiuose statiniuose.</w:t>
      </w:r>
    </w:p>
    <w:p>
      <w:pPr>
        <w:suppressAutoHyphens/>
        <w:ind w:firstLine="567"/>
        <w:jc w:val="both"/>
        <w:rPr>
          <w:szCs w:val="24"/>
        </w:rPr>
      </w:pPr>
      <w:r>
        <w:rPr>
          <w:szCs w:val="24"/>
        </w:rPr>
        <w:t>24</w:t>
      </w:r>
      <w:r>
        <w:rPr>
          <w:szCs w:val="24"/>
          <w:vertAlign w:val="superscript"/>
        </w:rPr>
        <w:t>8</w:t>
      </w:r>
      <w:r>
        <w:rPr>
          <w:szCs w:val="24"/>
        </w:rPr>
        <w:t>.4</w:t>
      </w:r>
      <w:r>
        <w:rPr>
          <w:szCs w:val="24"/>
        </w:rPr>
        <w:t>. saugomų teritorijų direkcijomis, kai kilnojamieji elektros energetikos objektai ir įrenginiai projektuojami konservacinės apsaugos prioriteto teritorijoje ar kompleksinėje saugomoje teritorijoje;</w:t>
      </w:r>
    </w:p>
    <w:p>
      <w:pPr>
        <w:suppressAutoHyphens/>
        <w:ind w:firstLine="567"/>
        <w:jc w:val="both"/>
        <w:rPr>
          <w:szCs w:val="24"/>
        </w:rPr>
      </w:pPr>
      <w:r>
        <w:rPr>
          <w:szCs w:val="24"/>
        </w:rPr>
        <w:t>24</w:t>
      </w:r>
      <w:r>
        <w:rPr>
          <w:szCs w:val="24"/>
          <w:vertAlign w:val="superscript"/>
        </w:rPr>
        <w:t>8</w:t>
      </w:r>
      <w:r>
        <w:rPr>
          <w:szCs w:val="24"/>
        </w:rPr>
        <w:t>.5</w:t>
      </w:r>
      <w:r>
        <w:rPr>
          <w:szCs w:val="24"/>
        </w:rPr>
        <w:t>. inžinerinių tinklų ir susisiekimo komunikacijų, kurių apsaugos zonose planuojami kilnojamieji elektros energetikos objektai ir įrenginiai, savininkais, valdytojais ar naudotojais;</w:t>
      </w:r>
    </w:p>
    <w:p>
      <w:pPr>
        <w:tabs>
          <w:tab w:val="left" w:pos="709"/>
        </w:tabs>
        <w:ind w:firstLine="567"/>
        <w:jc w:val="both"/>
        <w:rPr>
          <w:szCs w:val="24"/>
        </w:rPr>
      </w:pPr>
      <w:r>
        <w:rPr>
          <w:szCs w:val="24"/>
        </w:rPr>
        <w:t>24</w:t>
      </w:r>
      <w:r>
        <w:rPr>
          <w:szCs w:val="24"/>
          <w:vertAlign w:val="superscript"/>
        </w:rPr>
        <w:t>8</w:t>
      </w:r>
      <w:r>
        <w:rPr>
          <w:szCs w:val="24"/>
        </w:rPr>
        <w:t>.6</w:t>
      </w:r>
      <w:r>
        <w:rPr>
          <w:szCs w:val="24"/>
        </w:rPr>
        <w:t>. žemės sklypo ir (ar) statinio, kuriame planuojami kilnojamųjų elektros energetikos objektų ir įrenginių įrengimo darbai, savininkais, valdytojais. Pagal šį papunktį projektą derinantis asmuo neturi teisės reikalauti, kad projektas prieš tai būtų suderintas su kitais asmenimis.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widowControl w:val="0"/>
        <w:tabs>
          <w:tab w:val="left" w:pos="993"/>
        </w:tabs>
        <w:ind w:firstLine="567"/>
        <w:jc w:val="both"/>
        <w:rPr>
          <w:szCs w:val="24"/>
          <w:lang w:eastAsia="lt-LT"/>
        </w:rPr>
      </w:pPr>
      <w:r>
        <w:rPr>
          <w:szCs w:val="24"/>
          <w:lang w:eastAsia="lt-LT"/>
        </w:rPr>
        <w:t>24</w:t>
      </w:r>
      <w:r>
        <w:rPr>
          <w:szCs w:val="24"/>
          <w:vertAlign w:val="superscript"/>
          <w:lang w:eastAsia="lt-LT"/>
        </w:rPr>
        <w:t>9</w:t>
      </w:r>
      <w:r>
        <w:rPr>
          <w:szCs w:val="24"/>
          <w:lang w:eastAsia="lt-LT"/>
        </w:rPr>
        <w:t>. Kilnojamųjų elektros objektų ir įrenginių įrengimo projektą Taisyklių 24</w:t>
      </w:r>
      <w:r>
        <w:rPr>
          <w:szCs w:val="24"/>
          <w:vertAlign w:val="superscript"/>
          <w:lang w:eastAsia="lt-LT"/>
        </w:rPr>
        <w:t>8</w:t>
      </w:r>
      <w:r>
        <w:rPr>
          <w:szCs w:val="24"/>
          <w:lang w:eastAsia="lt-LT"/>
        </w:rPr>
        <w:t>, 24</w:t>
      </w:r>
      <w:r>
        <w:rPr>
          <w:szCs w:val="24"/>
          <w:vertAlign w:val="superscript"/>
          <w:lang w:eastAsia="lt-LT"/>
        </w:rPr>
        <w:t>16</w:t>
      </w:r>
      <w:r>
        <w:rPr>
          <w:szCs w:val="24"/>
          <w:lang w:eastAsia="lt-LT"/>
        </w:rPr>
        <w:t>, 24</w:t>
      </w:r>
      <w:r>
        <w:rPr>
          <w:szCs w:val="24"/>
          <w:vertAlign w:val="superscript"/>
          <w:lang w:eastAsia="lt-LT"/>
        </w:rPr>
        <w:t xml:space="preserve">17 </w:t>
      </w:r>
      <w:r>
        <w:rPr>
          <w:szCs w:val="24"/>
          <w:lang w:eastAsia="lt-LT"/>
        </w:rPr>
        <w:t>punktuose nurodytos atsakingos institucijos ir asmenys suderina per 5 darbo dienas nuo kilnojamųjų elektros objektų ir įrenginių įrengimo projekto pateikimo jiems momento. Jeigu į tinkamai pateiktą prašymą suderinti projektą neatsakoma per šį terminą, tai laikoma, kad yra priimtas teigiamas sprendimas dėl projekto suderinimo.</w:t>
      </w:r>
      <w:r>
        <w:rPr>
          <w:rFonts w:ascii="Arial" w:hAnsi="Arial" w:cs="Arial"/>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suppressAutoHyphens/>
        <w:ind w:firstLine="567"/>
        <w:jc w:val="both"/>
        <w:rPr>
          <w:szCs w:val="24"/>
        </w:rPr>
      </w:pPr>
      <w:r>
        <w:rPr>
          <w:szCs w:val="24"/>
        </w:rPr>
        <w:t>24</w:t>
      </w:r>
      <w:r>
        <w:rPr>
          <w:szCs w:val="24"/>
          <w:vertAlign w:val="superscript"/>
        </w:rPr>
        <w:t>10</w:t>
      </w:r>
      <w:r>
        <w:rPr>
          <w:szCs w:val="24"/>
        </w:rPr>
        <w:t>. Kilnojamųjų elektros energetikos objektų ir įrenginių įrengimo projektas prieš teikiant užsakovui turi būti suderintas su šių Taisyklių 24</w:t>
      </w:r>
      <w:r>
        <w:rPr>
          <w:szCs w:val="24"/>
          <w:vertAlign w:val="superscript"/>
        </w:rPr>
        <w:t>8</w:t>
      </w:r>
      <w:r>
        <w:rPr>
          <w:szCs w:val="24"/>
        </w:rPr>
        <w:t>,</w:t>
      </w:r>
      <w:r>
        <w:rPr>
          <w:szCs w:val="24"/>
          <w:lang w:eastAsia="lt-LT"/>
        </w:rPr>
        <w:t xml:space="preserve"> 24</w:t>
      </w:r>
      <w:r>
        <w:rPr>
          <w:szCs w:val="24"/>
          <w:vertAlign w:val="superscript"/>
          <w:lang w:eastAsia="lt-LT"/>
        </w:rPr>
        <w:t>16</w:t>
      </w:r>
      <w:r>
        <w:rPr>
          <w:szCs w:val="24"/>
          <w:lang w:eastAsia="lt-LT"/>
        </w:rPr>
        <w:t xml:space="preserve"> ir 24</w:t>
      </w:r>
      <w:r>
        <w:rPr>
          <w:szCs w:val="24"/>
          <w:vertAlign w:val="superscript"/>
          <w:lang w:eastAsia="lt-LT"/>
        </w:rPr>
        <w:t>17</w:t>
      </w:r>
      <w:r>
        <w:rPr>
          <w:szCs w:val="24"/>
          <w:vertAlign w:val="superscript"/>
        </w:rPr>
        <w:t xml:space="preserve"> </w:t>
      </w:r>
      <w:r>
        <w:rPr>
          <w:szCs w:val="24"/>
        </w:rPr>
        <w:t>punktuose nurodytomis institucijomis ir subjektais, taip pat Lietuvos Respublikos įstatymų nustatyta tvarka turi būti nustatytas žemės servitutas ar gautas žemės savininkų, valdytojų ir (ar) naudotojų rašytinis sutikimas, suteikiantis teisę įrengti kilnojamuosius elektros energetikos objektus ir įrenginius valstybinėje ir (ar) privačioje žemėje.</w:t>
      </w:r>
      <w:r>
        <w:rPr>
          <w:szCs w:val="24"/>
          <w:lang w:eastAsia="lt-LT"/>
        </w:rPr>
        <w:t xml:space="preserve"> </w:t>
      </w:r>
      <w:r>
        <w:rPr>
          <w:szCs w:val="24"/>
        </w:rPr>
        <w:t>Pastatuose kilnojamieji elektros energetikos objektai ir įrenginiai įrengiami išsprendus šių įrenginių įrengimo teisėtumo ir naudojimo klausimą, sudarant pastato panaudos, servituto sutartis ar gavus rašytinį statinio savininko sutikimą.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suppressAutoHyphens/>
        <w:ind w:firstLine="567"/>
        <w:jc w:val="both"/>
        <w:rPr>
          <w:szCs w:val="24"/>
        </w:rPr>
      </w:pPr>
      <w:r>
        <w:rPr>
          <w:szCs w:val="24"/>
        </w:rPr>
        <w:t>24</w:t>
      </w:r>
      <w:r>
        <w:rPr>
          <w:szCs w:val="24"/>
          <w:vertAlign w:val="superscript"/>
        </w:rPr>
        <w:t>11</w:t>
      </w:r>
      <w:r>
        <w:rPr>
          <w:szCs w:val="24"/>
        </w:rPr>
        <w:t>. Užsakovas ne vėliau kaip per 5 darbo dienas nuo kilnojamųjų elektros energetikos objektų ir įrenginių įrengimo projekto pateikimo jam dienos patikrina projektą ir, nesant nustatytų trūkumų, jį suderina. Esant trūkumams, užsakovas ne vėliau kaip per 5 darbo dienas nuo kilnojamųjų elektros energetikos objektų ir įrenginių įrengimo projekto pateikimo jam momento turi teisę reikalauti, kad projektuotojas ištaisytų nustatytus trūkumus per užsakovo nustatytą terminą. Trūkumus pašalinus, projektas suderinamas ne vėliau kaip per 5 darbo dienas nuo jo pateikimo užsakovui.</w:t>
      </w:r>
    </w:p>
    <w:p>
      <w:pPr>
        <w:widowControl w:val="0"/>
        <w:ind w:firstLine="567"/>
        <w:jc w:val="both"/>
        <w:rPr>
          <w:szCs w:val="24"/>
          <w:lang w:eastAsia="lt-LT"/>
        </w:rPr>
      </w:pPr>
      <w:r>
        <w:rPr>
          <w:szCs w:val="24"/>
          <w:lang w:eastAsia="lt-LT"/>
        </w:rPr>
        <w:t>24</w:t>
      </w:r>
      <w:r>
        <w:rPr>
          <w:szCs w:val="24"/>
          <w:vertAlign w:val="superscript"/>
          <w:lang w:eastAsia="lt-LT"/>
        </w:rPr>
        <w:t>12</w:t>
      </w:r>
      <w:r>
        <w:rPr>
          <w:szCs w:val="24"/>
          <w:lang w:eastAsia="lt-LT"/>
        </w:rPr>
        <w:t>. Kilnojamųjų elektros energetikos objektų ir įrenginių įrengimo projekto suderinimas su užsakovu reiškia užsakovo pritarimą parengtam projektui, bet neatleidžia kilnojamųjų elektros energetikos objektų ir įrenginių projektuotojo nuo atsakomybės už projekto atitiktį Taisyklėse nustatytiems reikalavimams.</w:t>
      </w:r>
    </w:p>
    <w:p>
      <w:pPr>
        <w:widowControl w:val="0"/>
        <w:ind w:firstLine="567"/>
        <w:jc w:val="both"/>
        <w:rPr>
          <w:szCs w:val="24"/>
          <w:lang w:eastAsia="lt-LT"/>
        </w:rPr>
      </w:pPr>
      <w:r>
        <w:rPr>
          <w:szCs w:val="24"/>
          <w:lang w:eastAsia="lt-LT"/>
        </w:rPr>
        <w:t>24</w:t>
      </w:r>
      <w:r>
        <w:rPr>
          <w:szCs w:val="24"/>
          <w:vertAlign w:val="superscript"/>
          <w:lang w:eastAsia="lt-LT"/>
        </w:rPr>
        <w:t>13</w:t>
      </w:r>
      <w:r>
        <w:rPr>
          <w:szCs w:val="24"/>
          <w:lang w:eastAsia="lt-LT"/>
        </w:rPr>
        <w:t>. Kilnojamųjų elektros energetikos objektų ir įrenginių įrengimo projektas laikomas užbaigtu gavus Taisyklėse nurodytus suderinimus, sutikimus ir kai jį pasirašo kilnojamųjų elektros energetikos objektų ir įrenginių projektuotojas ir kilnojamųjų elektros energetikos objektų ir įrenginių įrengimo užsakovas.</w:t>
      </w:r>
    </w:p>
    <w:p>
      <w:pPr>
        <w:suppressAutoHyphens/>
        <w:ind w:firstLine="567"/>
        <w:jc w:val="both"/>
      </w:pPr>
      <w:r>
        <w:rPr>
          <w:szCs w:val="24"/>
        </w:rPr>
        <w:t>24</w:t>
      </w:r>
      <w:r>
        <w:rPr>
          <w:szCs w:val="24"/>
          <w:vertAlign w:val="superscript"/>
        </w:rPr>
        <w:t>14</w:t>
      </w:r>
      <w:r>
        <w:rPr>
          <w:szCs w:val="24"/>
        </w:rPr>
        <w:t>. Kilnojamųjų elektros energetikos objektų ir įrenginių projektas keičiamas sutarties su kilnojamųjų elektros energetikos objektų ir įrenginių projektuotoju ir skirstomųjų tinklų operatoriaus išduotų prijungimo sąlygų ar kito elektros įrenginių savininko išduoto dokumento, atitinkančio prijungimo sąlygų sąvoką, kai kilnojamieji elektros energetikos objektai ir įrenginiai priklauso ne skirstomųjų tinklų operatoriui, pagrindu, tada, kai kilnojamųjų elektros energetikos objektų ir įrenginių įrengimo projektas parengtas nekokybiškai (neatitinka projektavimo rangos (paslaugos) sutarties ir (ar) teisės aktų nuostatų) ir (ar) neatitinka prijungimo sąlygų), ir kitais atvejais.</w:t>
      </w:r>
      <w:r>
        <w:t xml:space="preserve"> </w:t>
      </w:r>
    </w:p>
    <w:p>
      <w:pPr>
        <w:ind w:firstLine="567"/>
        <w:jc w:val="both"/>
        <w:rPr>
          <w:szCs w:val="24"/>
        </w:rPr>
      </w:pPr>
      <w:r>
        <w:rPr>
          <w:szCs w:val="24"/>
        </w:rPr>
        <w:t>24</w:t>
      </w:r>
      <w:r>
        <w:rPr>
          <w:szCs w:val="24"/>
          <w:vertAlign w:val="superscript"/>
        </w:rPr>
        <w:t>15</w:t>
      </w:r>
      <w:r>
        <w:rPr>
          <w:szCs w:val="24"/>
        </w:rPr>
        <w:t>.</w:t>
      </w:r>
      <w:r>
        <w:rPr>
          <w:szCs w:val="24"/>
          <w:vertAlign w:val="superscript"/>
        </w:rPr>
        <w:t xml:space="preserve"> </w:t>
      </w:r>
      <w:r>
        <w:rPr>
          <w:szCs w:val="24"/>
        </w:rPr>
        <w:t>Kai projektuojamų kilnojamųjų elektros tinklų ilgis yra ne didesnis kaip 25 metrai ir elektros įrenginių leistinoji naudoti galia yra ne didesnė kaip 30 kW arba kilnojamieji elektros tinklai projektuojami teritorijoje, kurioje teritorijų planavimo dokumentu buvo įformintas suformuotas inžinerinių tinklų koridorius ir elektros įrenginių leistinoji naudoti galia yra ne didesnė kaip 30 kW, arba suprojektavus ir įrengus kilnojamuosius elektros tinklus naujuose daugiabučių gyvenamųjų namų kvartaluose, individualių gyvenamųjų namų kvartaluose, sodininkų ir garažų bendrijose, taip pat teritorijose, kuriose nepriklausomai nuo žemės naudojimo paskirties suformuoti du ir daugiau besiribojantys naujųjų vartotojų žemės sklypai, yra siekiama prijungti konkretaus vartotojo, elektros energijos gamintojo elektros įrenginius, kilnojamųjų elektros energetikos objektų ir įrenginių įrengimo projektą sudaro šių dokumentų ir duomenų visuma:</w:t>
      </w:r>
    </w:p>
    <w:p>
      <w:pPr>
        <w:ind w:firstLine="567"/>
        <w:jc w:val="both"/>
        <w:rPr>
          <w:szCs w:val="24"/>
        </w:rPr>
      </w:pPr>
      <w:r>
        <w:rPr>
          <w:szCs w:val="24"/>
        </w:rPr>
        <w:t>24</w:t>
      </w:r>
      <w:r>
        <w:rPr>
          <w:szCs w:val="24"/>
          <w:vertAlign w:val="superscript"/>
        </w:rPr>
        <w:t>15</w:t>
      </w:r>
      <w:r>
        <w:rPr>
          <w:szCs w:val="24"/>
        </w:rPr>
        <w:t>.1</w:t>
      </w:r>
      <w:r>
        <w:rPr>
          <w:szCs w:val="24"/>
        </w:rPr>
        <w:t>. antraštinis lapas (titulinis);</w:t>
      </w:r>
    </w:p>
    <w:p>
      <w:pPr>
        <w:ind w:firstLine="567"/>
        <w:jc w:val="both"/>
        <w:rPr>
          <w:szCs w:val="24"/>
        </w:rPr>
      </w:pPr>
      <w:r>
        <w:rPr>
          <w:szCs w:val="24"/>
        </w:rPr>
        <w:t>24</w:t>
      </w:r>
      <w:r>
        <w:rPr>
          <w:szCs w:val="24"/>
          <w:vertAlign w:val="superscript"/>
        </w:rPr>
        <w:t>15</w:t>
      </w:r>
      <w:r>
        <w:rPr>
          <w:szCs w:val="24"/>
        </w:rPr>
        <w:t>.2</w:t>
      </w:r>
      <w:r>
        <w:rPr>
          <w:szCs w:val="24"/>
        </w:rPr>
        <w:t>. projekto aiškinamoji dalis:</w:t>
      </w:r>
    </w:p>
    <w:p>
      <w:pPr>
        <w:ind w:firstLine="567"/>
        <w:jc w:val="both"/>
        <w:rPr>
          <w:szCs w:val="24"/>
        </w:rPr>
      </w:pPr>
      <w:r>
        <w:rPr>
          <w:szCs w:val="24"/>
        </w:rPr>
        <w:t>24</w:t>
      </w:r>
      <w:r>
        <w:rPr>
          <w:szCs w:val="24"/>
          <w:vertAlign w:val="superscript"/>
        </w:rPr>
        <w:t>15</w:t>
      </w:r>
      <w:r>
        <w:rPr>
          <w:szCs w:val="24"/>
        </w:rPr>
        <w:t>.2.1</w:t>
      </w:r>
      <w:r>
        <w:rPr>
          <w:szCs w:val="24"/>
        </w:rPr>
        <w:t>. projekto rengimo pagrindas;</w:t>
      </w:r>
    </w:p>
    <w:p>
      <w:pPr>
        <w:ind w:firstLine="567"/>
        <w:jc w:val="both"/>
        <w:rPr>
          <w:szCs w:val="24"/>
        </w:rPr>
      </w:pPr>
      <w:r>
        <w:rPr>
          <w:szCs w:val="24"/>
        </w:rPr>
        <w:t>24</w:t>
      </w:r>
      <w:r>
        <w:rPr>
          <w:szCs w:val="24"/>
          <w:vertAlign w:val="superscript"/>
        </w:rPr>
        <w:t>15</w:t>
      </w:r>
      <w:r>
        <w:rPr>
          <w:szCs w:val="24"/>
        </w:rPr>
        <w:t>.2.2</w:t>
      </w:r>
      <w:r>
        <w:rPr>
          <w:szCs w:val="24"/>
        </w:rPr>
        <w:t>.  projektinių sprendinių techniniai rodikliai ir sprendinius pagrindžiantys skaičiavimai;</w:t>
      </w:r>
    </w:p>
    <w:p>
      <w:pPr>
        <w:ind w:firstLine="567"/>
        <w:jc w:val="both"/>
        <w:rPr>
          <w:szCs w:val="24"/>
        </w:rPr>
      </w:pPr>
      <w:r>
        <w:rPr>
          <w:szCs w:val="24"/>
        </w:rPr>
        <w:t>24</w:t>
      </w:r>
      <w:r>
        <w:rPr>
          <w:szCs w:val="24"/>
          <w:vertAlign w:val="superscript"/>
        </w:rPr>
        <w:t>15</w:t>
      </w:r>
      <w:r>
        <w:rPr>
          <w:szCs w:val="24"/>
        </w:rPr>
        <w:t>.3</w:t>
      </w:r>
      <w:r>
        <w:rPr>
          <w:szCs w:val="24"/>
        </w:rPr>
        <w:t xml:space="preserve">. techninės specifikacijos įrenginiams ir medžiagoms. Jei projekto užsakovas technines specifikacijas įrenginiams ir medžiagoms yra patalpinęs viešai prieinamuose šaltiniuose, ši dalis nėra privaloma; </w:t>
      </w:r>
    </w:p>
    <w:p>
      <w:pPr>
        <w:ind w:firstLine="567"/>
        <w:jc w:val="both"/>
        <w:rPr>
          <w:szCs w:val="24"/>
        </w:rPr>
      </w:pPr>
      <w:r>
        <w:rPr>
          <w:szCs w:val="24"/>
        </w:rPr>
        <w:t>24</w:t>
      </w:r>
      <w:r>
        <w:rPr>
          <w:szCs w:val="24"/>
          <w:vertAlign w:val="superscript"/>
        </w:rPr>
        <w:t>15</w:t>
      </w:r>
      <w:r>
        <w:rPr>
          <w:szCs w:val="24"/>
        </w:rPr>
        <w:t>.4</w:t>
      </w:r>
      <w:r>
        <w:rPr>
          <w:szCs w:val="24"/>
        </w:rPr>
        <w:t>. suprojektuotų kilnojamųjų elektros tinklų ir įrenginių brėžiniai ir elektros tinklų prijungimo prie veikiančio elektros tinklo principinė schema;</w:t>
      </w:r>
    </w:p>
    <w:p>
      <w:pPr>
        <w:ind w:firstLine="567"/>
        <w:jc w:val="both"/>
        <w:rPr>
          <w:szCs w:val="24"/>
        </w:rPr>
      </w:pPr>
      <w:r>
        <w:rPr>
          <w:szCs w:val="24"/>
        </w:rPr>
        <w:t>24</w:t>
      </w:r>
      <w:r>
        <w:rPr>
          <w:szCs w:val="24"/>
          <w:vertAlign w:val="superscript"/>
        </w:rPr>
        <w:t>15</w:t>
      </w:r>
      <w:r>
        <w:rPr>
          <w:szCs w:val="24"/>
        </w:rPr>
        <w:t>.5</w:t>
      </w:r>
      <w:r>
        <w:rPr>
          <w:szCs w:val="24"/>
        </w:rPr>
        <w:t>. suprojektuotų skirstomųjų elektros tinklų (su koordinatėmis ir apsaugos zonų ribomis) planai, kurių masteliai ne didesni kaip M1:500 urbanizuotose teritorijose, atskirais atvejais M1:250  ir ne didesni kaip M1:1000 neurbanizuotose teritorijose, kurie rengiami vadovaujantis ne senesniu kaip 1 metų topografiniu planu, kuris patikslinamas (jei reikia) projekto rengimo metu;</w:t>
      </w:r>
    </w:p>
    <w:p>
      <w:pPr>
        <w:ind w:firstLine="567"/>
        <w:jc w:val="both"/>
        <w:rPr>
          <w:szCs w:val="24"/>
        </w:rPr>
      </w:pPr>
      <w:r>
        <w:rPr>
          <w:szCs w:val="24"/>
        </w:rPr>
        <w:t>24</w:t>
      </w:r>
      <w:r>
        <w:rPr>
          <w:szCs w:val="24"/>
          <w:vertAlign w:val="superscript"/>
        </w:rPr>
        <w:t>15</w:t>
      </w:r>
      <w:r>
        <w:rPr>
          <w:szCs w:val="24"/>
        </w:rPr>
        <w:t>.6</w:t>
      </w:r>
      <w:r>
        <w:rPr>
          <w:szCs w:val="24"/>
        </w:rPr>
        <w:t>. inžinerinių tinklų sankirtų pjūviai;</w:t>
      </w:r>
    </w:p>
    <w:p>
      <w:pPr>
        <w:ind w:firstLine="567"/>
        <w:jc w:val="both"/>
        <w:rPr>
          <w:szCs w:val="24"/>
        </w:rPr>
      </w:pPr>
      <w:r>
        <w:rPr>
          <w:szCs w:val="24"/>
        </w:rPr>
        <w:t>24</w:t>
      </w:r>
      <w:r>
        <w:rPr>
          <w:szCs w:val="24"/>
          <w:vertAlign w:val="superscript"/>
        </w:rPr>
        <w:t>15</w:t>
      </w:r>
      <w:r>
        <w:rPr>
          <w:szCs w:val="24"/>
        </w:rPr>
        <w:t>.7</w:t>
      </w:r>
      <w:r>
        <w:rPr>
          <w:szCs w:val="24"/>
        </w:rPr>
        <w:t xml:space="preserve">. medžiagų ir darbų žiniaraščiai; </w:t>
      </w:r>
    </w:p>
    <w:p>
      <w:pPr>
        <w:ind w:firstLine="567"/>
        <w:jc w:val="both"/>
        <w:rPr>
          <w:szCs w:val="24"/>
        </w:rPr>
      </w:pPr>
      <w:r>
        <w:rPr>
          <w:szCs w:val="24"/>
        </w:rPr>
        <w:t>24</w:t>
      </w:r>
      <w:r>
        <w:rPr>
          <w:szCs w:val="24"/>
          <w:vertAlign w:val="superscript"/>
        </w:rPr>
        <w:t>15</w:t>
      </w:r>
      <w:r>
        <w:rPr>
          <w:szCs w:val="24"/>
        </w:rPr>
        <w:t>.8</w:t>
      </w:r>
      <w:r>
        <w:rPr>
          <w:szCs w:val="24"/>
        </w:rPr>
        <w:t>. projekto suderinimai, sutikimai, pritarimai;</w:t>
      </w:r>
    </w:p>
    <w:p>
      <w:pPr>
        <w:ind w:firstLine="567"/>
        <w:jc w:val="both"/>
        <w:rPr>
          <w:szCs w:val="24"/>
        </w:rPr>
      </w:pPr>
      <w:r>
        <w:rPr>
          <w:szCs w:val="24"/>
        </w:rPr>
        <w:t>24</w:t>
      </w:r>
      <w:r>
        <w:rPr>
          <w:szCs w:val="24"/>
          <w:vertAlign w:val="superscript"/>
        </w:rPr>
        <w:t>15</w:t>
      </w:r>
      <w:r>
        <w:rPr>
          <w:szCs w:val="24"/>
        </w:rPr>
        <w:t>.9</w:t>
      </w:r>
      <w:r>
        <w:rPr>
          <w:szCs w:val="24"/>
        </w:rPr>
        <w:t>. susitarimai dėl servitutų, kai servitutus būtina nustatyti pagal Energetikos įstatymo, Elektros energetikos įstatymo ar kitų teisės aktų reikalavimus;</w:t>
      </w:r>
    </w:p>
    <w:p>
      <w:pPr>
        <w:ind w:firstLine="567"/>
        <w:jc w:val="both"/>
      </w:pPr>
      <w:r>
        <w:rPr>
          <w:szCs w:val="24"/>
        </w:rPr>
        <w:t>24</w:t>
      </w:r>
      <w:r>
        <w:rPr>
          <w:szCs w:val="24"/>
          <w:vertAlign w:val="superscript"/>
        </w:rPr>
        <w:t>15</w:t>
      </w:r>
      <w:r>
        <w:rPr>
          <w:szCs w:val="24"/>
        </w:rPr>
        <w:t>.10</w:t>
      </w:r>
      <w:r>
        <w:rPr>
          <w:szCs w:val="24"/>
        </w:rPr>
        <w:t>. prireikus kiti dokumentai.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ind w:firstLine="567"/>
        <w:jc w:val="both"/>
        <w:rPr>
          <w:szCs w:val="24"/>
        </w:rPr>
      </w:pPr>
      <w:r>
        <w:rPr>
          <w:szCs w:val="24"/>
        </w:rPr>
        <w:t>24</w:t>
      </w:r>
      <w:r>
        <w:rPr>
          <w:szCs w:val="24"/>
          <w:vertAlign w:val="superscript"/>
        </w:rPr>
        <w:t>16</w:t>
      </w:r>
      <w:r>
        <w:rPr>
          <w:szCs w:val="24"/>
        </w:rPr>
        <w:t>. Kai yra Taisyklių 24</w:t>
      </w:r>
      <w:r>
        <w:rPr>
          <w:szCs w:val="24"/>
          <w:vertAlign w:val="superscript"/>
        </w:rPr>
        <w:t xml:space="preserve">15 </w:t>
      </w:r>
      <w:r>
        <w:rPr>
          <w:szCs w:val="24"/>
        </w:rPr>
        <w:t>punkte numatytos aplinkybės -</w:t>
      </w:r>
      <w:r>
        <w:rPr>
          <w:szCs w:val="24"/>
          <w:vertAlign w:val="superscript"/>
        </w:rPr>
        <w:t xml:space="preserve"> </w:t>
      </w:r>
      <w:r>
        <w:rPr>
          <w:szCs w:val="24"/>
        </w:rPr>
        <w:t>kilnojamieji elektros tinklai projektuojami teritorijoje, kurioje teritorijų planavimo dokumentu buvo įformintas suformuotas inžinerinių tinklų koridorius ir elektros įrenginių leistinoji naudoti galia yra ne didesnė kaip 30 kW, ir (ar) suprojektavus ir įrengus kilnojamuosius elektros tinklus naujuose daugiabučių gyvenamųjų namų kvartaluose, individualių gyvenamųjų namų kvartaluose, sodininkų ir garažų bendrijose, taip pat teritorijose, kuriose nepriklausomai nuo žemės naudojimo paskirties suformuoti du ir daugiau besiribojantys naujųjų vartotojų žemės sklypai, yra siekiama prijungti konkretaus vartotojo, elektros energijos gamintojo elektros įrenginius - projektas derinamas su:</w:t>
      </w:r>
    </w:p>
    <w:p>
      <w:pPr>
        <w:suppressAutoHyphens/>
        <w:ind w:firstLine="567"/>
        <w:jc w:val="both"/>
        <w:rPr>
          <w:szCs w:val="24"/>
        </w:rPr>
      </w:pPr>
      <w:r>
        <w:rPr>
          <w:szCs w:val="24"/>
        </w:rPr>
        <w:t>24</w:t>
      </w:r>
      <w:r>
        <w:rPr>
          <w:szCs w:val="24"/>
          <w:vertAlign w:val="superscript"/>
        </w:rPr>
        <w:t>16</w:t>
      </w:r>
      <w:r>
        <w:rPr>
          <w:szCs w:val="24"/>
        </w:rPr>
        <w:t>.1</w:t>
      </w:r>
      <w:r>
        <w:rPr>
          <w:szCs w:val="24"/>
        </w:rPr>
        <w:t>. inžinerinių tinklų ir susisiekimo komunikacijų, kurių apsaugos zonose planuojami kilnojamieji elektros energetikos objektai ir įrenginiai, savininkais, valdytojais ar naudotojais;</w:t>
      </w:r>
    </w:p>
    <w:p>
      <w:pPr>
        <w:suppressAutoHyphens/>
        <w:ind w:firstLine="567"/>
        <w:jc w:val="both"/>
        <w:rPr>
          <w:szCs w:val="24"/>
        </w:rPr>
      </w:pPr>
      <w:r>
        <w:rPr>
          <w:szCs w:val="24"/>
        </w:rPr>
        <w:t>24</w:t>
      </w:r>
      <w:r>
        <w:rPr>
          <w:szCs w:val="24"/>
          <w:vertAlign w:val="superscript"/>
        </w:rPr>
        <w:t>16</w:t>
      </w:r>
      <w:r>
        <w:rPr>
          <w:szCs w:val="24"/>
        </w:rPr>
        <w:t>.2</w:t>
      </w:r>
      <w:r>
        <w:rPr>
          <w:szCs w:val="24"/>
        </w:rPr>
        <w:t>. Kultūros paveldo departamentu prie Kultūros ministerijos teritoriniu skyriumi, kai kilnojamieji elektros energetikos objektai ir įrenginiai projektuojami kultūros paveldo statinyje ar kultūros paveldo objekte ir (ar) jų teritorijoje, kultūros paveldo vietovėje, saugomoje teritorijoje (kultūriniame arba kompleksiniame (kraštovaizdžio) draustinyje, istoriniame nacionaliniame, istoriniame regioniniame parke) arba šiose teritorijose esančiuose statiniuose;</w:t>
      </w:r>
    </w:p>
    <w:p>
      <w:pPr>
        <w:suppressAutoHyphens/>
        <w:ind w:firstLine="567"/>
        <w:jc w:val="both"/>
      </w:pPr>
      <w:r>
        <w:rPr>
          <w:szCs w:val="24"/>
        </w:rPr>
        <w:t>24</w:t>
      </w:r>
      <w:r>
        <w:rPr>
          <w:szCs w:val="24"/>
          <w:vertAlign w:val="superscript"/>
        </w:rPr>
        <w:t>16</w:t>
      </w:r>
      <w:r>
        <w:rPr>
          <w:szCs w:val="24"/>
        </w:rPr>
        <w:t>.3</w:t>
      </w:r>
      <w:r>
        <w:rPr>
          <w:szCs w:val="24"/>
        </w:rPr>
        <w:t>. žemės sklypo ir (ar) statinio, kuriame planuojami kilnojamųjų elektros energetikos objektų ir įrenginių įrengimo darbai, savininkais, valdytojais. Pagal šį papunktį projektą derinantis asmuo neturi teisės reikalauti, kad projektas prieš tai būtų suderintas su kitais asmenimis.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suppressAutoHyphens/>
        <w:ind w:firstLine="567"/>
        <w:jc w:val="both"/>
        <w:rPr>
          <w:szCs w:val="24"/>
        </w:rPr>
      </w:pPr>
      <w:r>
        <w:rPr>
          <w:szCs w:val="24"/>
        </w:rPr>
        <w:t>24</w:t>
      </w:r>
      <w:r>
        <w:rPr>
          <w:szCs w:val="24"/>
          <w:vertAlign w:val="superscript"/>
        </w:rPr>
        <w:t>17</w:t>
      </w:r>
      <w:r>
        <w:rPr>
          <w:szCs w:val="24"/>
        </w:rPr>
        <w:t>. Kai yra Taisyklių 24</w:t>
      </w:r>
      <w:r>
        <w:rPr>
          <w:szCs w:val="24"/>
          <w:vertAlign w:val="superscript"/>
        </w:rPr>
        <w:t xml:space="preserve">15 </w:t>
      </w:r>
      <w:r>
        <w:rPr>
          <w:szCs w:val="24"/>
        </w:rPr>
        <w:t>punkte numatyta aplinkybė - projektuojamų kilnojamųjų elektros tinklų ilgis yra ne didesnis kaip 25 metrai ir elektros įrenginių leistinoji naudoti galia yra ne didesnė kaip 30 kW - projektas derinamas su:</w:t>
      </w:r>
    </w:p>
    <w:p>
      <w:pPr>
        <w:suppressAutoHyphens/>
        <w:ind w:firstLine="567"/>
        <w:jc w:val="both"/>
        <w:rPr>
          <w:szCs w:val="24"/>
        </w:rPr>
      </w:pPr>
      <w:r>
        <w:rPr>
          <w:szCs w:val="24"/>
        </w:rPr>
        <w:t>24</w:t>
      </w:r>
      <w:r>
        <w:rPr>
          <w:szCs w:val="24"/>
          <w:vertAlign w:val="superscript"/>
        </w:rPr>
        <w:t>17</w:t>
      </w:r>
      <w:r>
        <w:rPr>
          <w:szCs w:val="24"/>
        </w:rPr>
        <w:t>.1</w:t>
      </w:r>
      <w:r>
        <w:rPr>
          <w:szCs w:val="24"/>
        </w:rPr>
        <w:t>. Kultūros paveldo departamentu prie Kultūros ministerijos teritoriniu skyriumi, kai kilnojamieji elektros energetikos objektai ir įrenginiai projektuojami kultūros paveldo statinyje ar kultūros paveldo objekte ir (ar) jų teritorijoje, kultūros paveldo vietovėje, saugomoje teritorijoje (kultūriniame arba kompleksiniame (kraštovaizdžio) draustinyje, istoriniame nacionaliniame, istoriniame regioniniame parke) arba šiose teritorijose esančiuose statiniuose;</w:t>
      </w:r>
    </w:p>
    <w:p>
      <w:pPr>
        <w:suppressAutoHyphens/>
        <w:ind w:firstLine="567"/>
        <w:jc w:val="both"/>
        <w:rPr>
          <w:szCs w:val="24"/>
        </w:rPr>
      </w:pPr>
      <w:r>
        <w:rPr>
          <w:szCs w:val="24"/>
        </w:rPr>
        <w:t>24</w:t>
      </w:r>
      <w:r>
        <w:rPr>
          <w:szCs w:val="24"/>
          <w:vertAlign w:val="superscript"/>
        </w:rPr>
        <w:t>17</w:t>
      </w:r>
      <w:r>
        <w:rPr>
          <w:szCs w:val="24"/>
        </w:rPr>
        <w:t>.2</w:t>
      </w:r>
      <w:r>
        <w:rPr>
          <w:szCs w:val="24"/>
        </w:rPr>
        <w:t xml:space="preserve">. savivaldybės paveldosaugos padaliniu, kai kilnojamieji elektros energetikos objektai ir įrenginiai projektuojami savivaldybės saugomais paskelbtuose kultūros paveldo objektuose, jų teritorijose ar kultūros paveldo vietovėse esančiuose statiniuose. </w:t>
      </w:r>
    </w:p>
    <w:p>
      <w:pPr>
        <w:suppressAutoHyphens/>
        <w:ind w:firstLine="567"/>
        <w:jc w:val="both"/>
        <w:rPr>
          <w:szCs w:val="24"/>
        </w:rPr>
      </w:pPr>
      <w:r>
        <w:rPr>
          <w:szCs w:val="24"/>
        </w:rPr>
        <w:t>24</w:t>
      </w:r>
      <w:r>
        <w:rPr>
          <w:szCs w:val="24"/>
          <w:vertAlign w:val="superscript"/>
        </w:rPr>
        <w:t>17</w:t>
      </w:r>
      <w:r>
        <w:rPr>
          <w:szCs w:val="24"/>
        </w:rPr>
        <w:t>.3</w:t>
      </w:r>
      <w:r>
        <w:rPr>
          <w:szCs w:val="24"/>
        </w:rPr>
        <w:t>. saugomų teritorijų direkcijomis, kai kilnojamieji elektros energetikos objektai ir įrenginiai projektuojami konservacinės apsaugos prioriteto teritorijoje ar kompleksinėje saugomoje teritorijoje;</w:t>
      </w:r>
    </w:p>
    <w:p>
      <w:pPr>
        <w:suppressAutoHyphens/>
        <w:ind w:firstLine="567"/>
        <w:jc w:val="both"/>
        <w:rPr>
          <w:szCs w:val="24"/>
        </w:rPr>
      </w:pPr>
      <w:r>
        <w:rPr>
          <w:szCs w:val="24"/>
        </w:rPr>
        <w:t>24</w:t>
      </w:r>
      <w:r>
        <w:rPr>
          <w:szCs w:val="24"/>
          <w:vertAlign w:val="superscript"/>
        </w:rPr>
        <w:t>17</w:t>
      </w:r>
      <w:r>
        <w:rPr>
          <w:szCs w:val="24"/>
        </w:rPr>
        <w:t>.4</w:t>
      </w:r>
      <w:r>
        <w:rPr>
          <w:szCs w:val="24"/>
        </w:rPr>
        <w:t>. inžinerinių tinklų ir susisiekimo komunikacijų, kurių apsaugos zonose planuojami kilnojamieji elektros energetikos objektai ir įrenginiai, savininkais, valdytojais ar naudotojais;</w:t>
      </w:r>
    </w:p>
    <w:p>
      <w:pPr>
        <w:suppressAutoHyphens/>
        <w:ind w:firstLine="567"/>
        <w:jc w:val="both"/>
      </w:pPr>
      <w:r>
        <w:rPr>
          <w:szCs w:val="24"/>
        </w:rPr>
        <w:t>24</w:t>
      </w:r>
      <w:r>
        <w:rPr>
          <w:szCs w:val="24"/>
          <w:vertAlign w:val="superscript"/>
        </w:rPr>
        <w:t>17</w:t>
      </w:r>
      <w:r>
        <w:rPr>
          <w:szCs w:val="24"/>
        </w:rPr>
        <w:t>.5</w:t>
      </w:r>
      <w:r>
        <w:rPr>
          <w:szCs w:val="24"/>
        </w:rPr>
        <w:t>. žemės sklypo ir (ar) statinio, kuriame planuojami kilnojamųjų elektros energetikos objektų ir įrenginių įrengimo darbai, savininkais, valdytojais. Pagal šį punktą projektą derinantis asmuo neturi teisės reikalauti, kad projektas prieš tai būtų suderintas su kitais asmenimis.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suppressAutoHyphens/>
        <w:ind w:firstLine="567"/>
        <w:jc w:val="both"/>
      </w:pPr>
      <w:r>
        <w:rPr>
          <w:szCs w:val="24"/>
        </w:rPr>
        <w:t>24</w:t>
      </w:r>
      <w:r>
        <w:rPr>
          <w:szCs w:val="24"/>
          <w:vertAlign w:val="superscript"/>
        </w:rPr>
        <w:t>18</w:t>
      </w:r>
      <w:r>
        <w:rPr>
          <w:szCs w:val="24"/>
        </w:rPr>
        <w:t>.</w:t>
      </w:r>
      <w:r>
        <w:rPr>
          <w:szCs w:val="24"/>
          <w:vertAlign w:val="superscript"/>
        </w:rPr>
        <w:t xml:space="preserve"> </w:t>
      </w:r>
      <w:r>
        <w:rPr>
          <w:szCs w:val="24"/>
        </w:rPr>
        <w:t>Kai Taisyklių 24</w:t>
      </w:r>
      <w:r>
        <w:rPr>
          <w:szCs w:val="24"/>
          <w:vertAlign w:val="superscript"/>
        </w:rPr>
        <w:t xml:space="preserve">15 </w:t>
      </w:r>
      <w:r>
        <w:rPr>
          <w:szCs w:val="24"/>
        </w:rPr>
        <w:t>punkte numatyta aplinkybė - projektuojamų kilnojamųjų elektros tinklų ilgis yra ne didesnis kaip 25 metrai ir elektros įrenginių leistinoji naudoti galia yra ne didesnė kaip 30 kW – sutampa su bet kuriomis kitomis Taisyklių 24</w:t>
      </w:r>
      <w:r>
        <w:rPr>
          <w:szCs w:val="24"/>
          <w:vertAlign w:val="superscript"/>
        </w:rPr>
        <w:t xml:space="preserve">15 </w:t>
      </w:r>
      <w:r>
        <w:rPr>
          <w:szCs w:val="24"/>
        </w:rPr>
        <w:t>punkte numatytomis aplinkybėmis, projektas derinamas pagal Taisyklių 24</w:t>
      </w:r>
      <w:r>
        <w:rPr>
          <w:szCs w:val="24"/>
          <w:vertAlign w:val="superscript"/>
        </w:rPr>
        <w:t xml:space="preserve">16 </w:t>
      </w:r>
      <w:r>
        <w:rPr>
          <w:szCs w:val="24"/>
        </w:rPr>
        <w:t xml:space="preserve">punktą.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jc w:val="center"/>
        <w:rPr>
          <w:b/>
        </w:rPr>
      </w:pPr>
      <w:r>
        <w:rPr>
          <w:b/>
        </w:rPr>
        <w:t>III</w:t>
      </w:r>
      <w:r>
        <w:rPr>
          <w:b/>
        </w:rPr>
        <w:t xml:space="preserve"> SKYRIUS</w:t>
      </w:r>
    </w:p>
    <w:p>
      <w:pPr>
        <w:widowControl w:val="0"/>
        <w:jc w:val="center"/>
        <w:rPr>
          <w:b/>
        </w:rPr>
      </w:pPr>
      <w:r>
        <w:rPr>
          <w:b/>
        </w:rPr>
        <w:t xml:space="preserve">APRŪPINIMAS ELEKTRA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jc w:val="center"/>
        <w:rPr>
          <w:b/>
        </w:rPr>
      </w:pPr>
      <w:r>
        <w:rPr>
          <w:b/>
        </w:rPr>
        <w:t>PIRMASIS</w:t>
      </w:r>
      <w:r>
        <w:rPr>
          <w:b/>
        </w:rPr>
        <w:t xml:space="preserve"> SKIRSNIS</w:t>
      </w:r>
    </w:p>
    <w:p>
      <w:pPr>
        <w:widowControl w:val="0"/>
        <w:jc w:val="center"/>
        <w:rPr>
          <w:b/>
        </w:rPr>
      </w:pPr>
      <w:r>
        <w:rPr>
          <w:b/>
        </w:rPr>
        <w:t xml:space="preserve">TAIKYMO SRITIS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440"/>
        </w:tabs>
        <w:ind w:firstLine="567"/>
        <w:jc w:val="both"/>
      </w:pPr>
      <w:r>
        <w:t>25</w:t>
      </w:r>
      <w:r>
        <w:t>. Šio Taisyklių skyriaus reikalavimai taikomi visai elektros energetikos sistemai. Elektros tiekimo požeminiai, traukos ir kiti specialieji įrenginiai, be šio Taisyklių skyriaus reikalavimų, turi atitikti ir kitų teisės aktų reikalavimus.</w:t>
      </w:r>
    </w:p>
    <w:p>
      <w:pPr>
        <w:widowControl w:val="0"/>
        <w:tabs>
          <w:tab w:val="left" w:pos="-180"/>
          <w:tab w:val="left" w:pos="1440"/>
        </w:tabs>
        <w:ind w:firstLine="567"/>
        <w:jc w:val="both"/>
      </w:pPr>
    </w:p>
    <w:p>
      <w:pPr>
        <w:widowControl w:val="0"/>
        <w:jc w:val="center"/>
        <w:rPr>
          <w:b/>
        </w:rPr>
      </w:pPr>
      <w:r>
        <w:rPr>
          <w:b/>
        </w:rPr>
        <w:t>ANTRASIS</w:t>
      </w:r>
      <w:r>
        <w:rPr>
          <w:b/>
        </w:rPr>
        <w:t xml:space="preserve"> SKIRSNIS</w:t>
      </w:r>
    </w:p>
    <w:p>
      <w:pPr>
        <w:widowControl w:val="0"/>
        <w:jc w:val="center"/>
        <w:rPr>
          <w:b/>
        </w:rPr>
      </w:pPr>
      <w:r>
        <w:rPr>
          <w:b/>
        </w:rPr>
        <w:t xml:space="preserve">BENDRIEJI REIKALAVIMAI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440"/>
        </w:tabs>
        <w:ind w:firstLine="567"/>
        <w:jc w:val="both"/>
      </w:pPr>
      <w:r>
        <w:t>26</w:t>
      </w:r>
      <w:r>
        <w:t>. Projektuojant elektros inžinerinius tinklus, būtina įvertinti:</w:t>
      </w:r>
    </w:p>
    <w:p>
      <w:pPr>
        <w:widowControl w:val="0"/>
        <w:tabs>
          <w:tab w:val="left" w:pos="-180"/>
          <w:tab w:val="left" w:pos="567"/>
          <w:tab w:val="left" w:pos="1440"/>
        </w:tabs>
        <w:ind w:firstLine="567"/>
        <w:jc w:val="both"/>
      </w:pPr>
      <w:r>
        <w:t>26.1</w:t>
      </w:r>
      <w:r>
        <w:t>. elektros energetikos sistemos ne mažiau kaip 10 metų plėtros perspektyvas, racionalų esamų ir įrengiamų kitų įtampų elektros tinklų sistemų derinimą;</w:t>
      </w:r>
    </w:p>
    <w:p>
      <w:pPr>
        <w:widowControl w:val="0"/>
        <w:tabs>
          <w:tab w:val="left" w:pos="-180"/>
          <w:tab w:val="left" w:pos="567"/>
          <w:tab w:val="left" w:pos="1440"/>
        </w:tabs>
        <w:ind w:firstLine="567"/>
        <w:jc w:val="both"/>
      </w:pPr>
      <w:r>
        <w:t>26.2</w:t>
      </w:r>
      <w:r>
        <w:t>. ateityje galimus trumpojo jungimo srovių lygmenis;</w:t>
      </w:r>
    </w:p>
    <w:p>
      <w:pPr>
        <w:widowControl w:val="0"/>
        <w:tabs>
          <w:tab w:val="left" w:pos="-180"/>
          <w:tab w:val="left" w:pos="567"/>
          <w:tab w:val="left" w:pos="1440"/>
        </w:tabs>
        <w:ind w:firstLine="567"/>
        <w:jc w:val="both"/>
      </w:pPr>
      <w:r>
        <w:t>26.3</w:t>
      </w:r>
      <w:r>
        <w:t>. elektros nuostolių mažinimo galimybes.</w:t>
      </w:r>
    </w:p>
    <w:p>
      <w:pPr>
        <w:widowControl w:val="0"/>
        <w:tabs>
          <w:tab w:val="left" w:pos="-180"/>
          <w:tab w:val="left" w:pos="1440"/>
        </w:tabs>
        <w:ind w:firstLine="567"/>
        <w:jc w:val="both"/>
      </w:pPr>
      <w:r>
        <w:t>27</w:t>
      </w:r>
      <w:r>
        <w:t>. Projektuojant elektros inžinerinius tinklus išorinio ir vidinio elektros inžinerinio tinklo plėtros klausimai turi būti nagrinėjami kompleksiškai, įvertinus ekonominio ir technologinio rezervavimo tikslingumą.</w:t>
      </w:r>
    </w:p>
    <w:p>
      <w:pPr>
        <w:widowControl w:val="0"/>
        <w:tabs>
          <w:tab w:val="left" w:pos="-180"/>
          <w:tab w:val="left" w:pos="1440"/>
        </w:tabs>
        <w:ind w:firstLine="567"/>
        <w:jc w:val="both"/>
      </w:pPr>
      <w:r>
        <w:t>28</w:t>
      </w:r>
      <w:r>
        <w:t>. Planuojant elektros tinklo plėtrą, būtina numatyti elektros tinklo išjungimo remonto laikotarpiui galimybę, avarinius ir veikimo režimus po avarijos.</w:t>
      </w:r>
    </w:p>
    <w:p>
      <w:pPr>
        <w:widowControl w:val="0"/>
        <w:tabs>
          <w:tab w:val="left" w:pos="-180"/>
          <w:tab w:val="left" w:pos="1440"/>
        </w:tabs>
        <w:ind w:firstLine="567"/>
        <w:jc w:val="both"/>
      </w:pPr>
      <w:r>
        <w:t>29</w:t>
      </w:r>
      <w:r>
        <w:t>. Parenkant atskirus elektros energijos šaltinius, būtina įvertinti galimą trumpalaikį įtampos lygio sumažėjimą arba visišką įtampos dingimą, automatiškai suveikus relinei apsaugai, įvykus gedimui elektros energetikos sistemoje arba dėl sisteminės avarijos dingus įtampai elektros energijos šaltiniuose.</w:t>
      </w:r>
    </w:p>
    <w:p>
      <w:pPr>
        <w:widowControl w:val="0"/>
        <w:tabs>
          <w:tab w:val="left" w:pos="-180"/>
          <w:tab w:val="left" w:pos="1440"/>
        </w:tabs>
        <w:ind w:firstLine="567"/>
        <w:jc w:val="both"/>
      </w:pPr>
      <w:r>
        <w:t>30</w:t>
      </w:r>
      <w:r>
        <w:t>. Alternatyvūs elektros tinklų plėtros variantai turi būti panašaus patikimumo lygio. Jų pranašumas nustatomas techniniais ir ekonominiais skaičiavimais.</w:t>
      </w:r>
    </w:p>
    <w:p>
      <w:pPr>
        <w:widowControl w:val="0"/>
        <w:tabs>
          <w:tab w:val="left" w:pos="-180"/>
          <w:tab w:val="left" w:pos="1440"/>
        </w:tabs>
        <w:ind w:firstLine="567"/>
        <w:jc w:val="both"/>
      </w:pPr>
      <w:r>
        <w:t>31</w:t>
      </w:r>
      <w:r>
        <w:t>. Jei žemesnės įtampos elektros tinklo pranašumas nežymus, pirmenybė visada turi būti teikiama aukštesnės įtampos tinklui.</w:t>
      </w:r>
    </w:p>
    <w:p>
      <w:pPr>
        <w:widowControl w:val="0"/>
        <w:tabs>
          <w:tab w:val="left" w:pos="-180"/>
          <w:tab w:val="left" w:pos="1440"/>
        </w:tabs>
        <w:ind w:firstLine="567"/>
        <w:jc w:val="both"/>
      </w:pPr>
      <w:r>
        <w:t>32</w:t>
      </w:r>
      <w:r>
        <w:t>. Kraštovaizdžio, aplinkos apsaugos ir ūkinės veiklos gerinimo sumetimais pirmenybė turi būti teikiama 0,4–35 kV įtampos požeminėms kabelių linijoms, o miestuose ir 110 kV įtampos kabelių linijoms.</w:t>
      </w:r>
    </w:p>
    <w:p>
      <w:pPr>
        <w:widowControl w:val="0"/>
        <w:tabs>
          <w:tab w:val="left" w:pos="-180"/>
          <w:tab w:val="left" w:pos="1440"/>
        </w:tabs>
        <w:ind w:firstLine="567"/>
        <w:jc w:val="both"/>
      </w:pPr>
      <w:r>
        <w:t>33</w:t>
      </w:r>
      <w:r>
        <w:t>. Tiesiant naujas elektros linijas, 110 kV ir aukštesnės įtampos kabelių linijos turi būti naudojamos vietoje oro linijų tik nesant galimybių nutiesti oro linijų.</w:t>
      </w:r>
    </w:p>
    <w:p>
      <w:pPr>
        <w:widowControl w:val="0"/>
        <w:tabs>
          <w:tab w:val="left" w:pos="-180"/>
          <w:tab w:val="left" w:pos="1440"/>
        </w:tabs>
        <w:ind w:firstLine="567"/>
        <w:jc w:val="both"/>
      </w:pPr>
      <w:r>
        <w:t>34</w:t>
      </w:r>
      <w:r>
        <w:t>. Tiesiant elektros linijas per miškus ir vertingus želdinius (parkus), pirmenybė turi būti teikiama oro linijoms izoliuotais laidais, oro ir požeminiams kabeliams.</w:t>
      </w:r>
    </w:p>
    <w:p>
      <w:pPr>
        <w:widowControl w:val="0"/>
        <w:tabs>
          <w:tab w:val="left" w:pos="-180"/>
          <w:tab w:val="left" w:pos="1440"/>
        </w:tabs>
        <w:ind w:firstLine="567"/>
        <w:jc w:val="both"/>
      </w:pPr>
      <w:r>
        <w:t>35</w:t>
      </w:r>
      <w:r>
        <w:t>. 6–10 kV įtampos išvadams, einantiems viena kryptimi iš 35–110 kV pastočių, turi būti tiesiamos daugiagrandės oro linijos arba klojami kabeliai.</w:t>
      </w:r>
    </w:p>
    <w:p>
      <w:pPr>
        <w:widowControl w:val="0"/>
        <w:tabs>
          <w:tab w:val="left" w:pos="-180"/>
          <w:tab w:val="left" w:pos="1440"/>
        </w:tabs>
        <w:ind w:firstLine="567"/>
        <w:jc w:val="both"/>
      </w:pPr>
      <w:r>
        <w:t>36</w:t>
      </w:r>
      <w:r>
        <w:t>. Įvadiniai ir tranzitiniai skydai turi būti įrengti taip, kad juose esančius elektros įrenginius būtų galima prižiūrėti neišjungus įtampos.</w:t>
      </w:r>
    </w:p>
    <w:p>
      <w:pPr>
        <w:widowControl w:val="0"/>
        <w:tabs>
          <w:tab w:val="left" w:pos="567"/>
          <w:tab w:val="left" w:pos="3828"/>
          <w:tab w:val="left" w:pos="4253"/>
          <w:tab w:val="left" w:pos="4678"/>
          <w:tab w:val="left" w:pos="5245"/>
        </w:tabs>
        <w:ind w:firstLine="567"/>
        <w:jc w:val="both"/>
      </w:pPr>
      <w:r>
        <w:t>37</w:t>
      </w:r>
      <w:r>
        <w:t>. Magistraliniuose 0,4</w:t>
      </w:r>
      <w:r>
        <w:rPr>
          <w:b/>
        </w:rPr>
        <w:t>–</w:t>
      </w:r>
      <w:r>
        <w:t>20 kV įtampos elektros tinklų ruožuose laidų ir kabelių skerspjūviai turi būti parinkti įvertinant galimą kitų linijų ir transformatorinių rezervavimą per juos.</w:t>
      </w:r>
    </w:p>
    <w:p>
      <w:pPr>
        <w:widowControl w:val="0"/>
        <w:tabs>
          <w:tab w:val="left" w:pos="-180"/>
          <w:tab w:val="left" w:pos="1440"/>
        </w:tabs>
        <w:ind w:firstLine="567"/>
        <w:jc w:val="both"/>
      </w:pPr>
      <w:r>
        <w:t>38</w:t>
      </w:r>
      <w:r>
        <w:t xml:space="preserve">. Magistraliniuose 0,4–20 kV įtampos kabelinių elektros tinklų ruožuose miestų rajonuose, kur didelis apkrovų tankis, per kuriuos esamose perspektyvinėse schemose numatomas kitų linijų ir transformatorinių rezervavimas, turi būti naudojami tokių skerspjūvių kabeliai: </w:t>
      </w:r>
    </w:p>
    <w:p>
      <w:pPr>
        <w:widowControl w:val="0"/>
        <w:tabs>
          <w:tab w:val="left" w:pos="-180"/>
          <w:tab w:val="left" w:pos="1440"/>
        </w:tabs>
        <w:ind w:firstLine="567"/>
        <w:jc w:val="both"/>
      </w:pPr>
      <w:r>
        <w:t>38.1</w:t>
      </w:r>
      <w:r>
        <w:t>. 0,4 kV įtampos požeminiai kabeliai – 95, 120, 150 ir 240 mm</w:t>
      </w:r>
      <w:r>
        <w:rPr>
          <w:vertAlign w:val="superscript"/>
        </w:rPr>
        <w:t>2</w:t>
      </w:r>
      <w:r>
        <w:t>;</w:t>
      </w:r>
    </w:p>
    <w:p>
      <w:pPr>
        <w:widowControl w:val="0"/>
        <w:tabs>
          <w:tab w:val="left" w:pos="-180"/>
          <w:tab w:val="left" w:pos="1440"/>
        </w:tabs>
        <w:ind w:firstLine="567"/>
        <w:jc w:val="both"/>
        <w:rPr>
          <w:vertAlign w:val="superscript"/>
        </w:rPr>
      </w:pPr>
      <w:r>
        <w:t>38.2</w:t>
      </w:r>
      <w:r>
        <w:t>. 6–10 kV įtampos požeminiai kabeliai – 95, 120, 150, 240 ir 500 mm</w:t>
      </w:r>
      <w:r>
        <w:rPr>
          <w:vertAlign w:val="superscript"/>
        </w:rPr>
        <w:t>2</w:t>
      </w:r>
      <w:r>
        <w:t>;</w:t>
      </w:r>
    </w:p>
    <w:p>
      <w:pPr>
        <w:widowControl w:val="0"/>
        <w:tabs>
          <w:tab w:val="left" w:pos="-180"/>
          <w:tab w:val="left" w:pos="1440"/>
        </w:tabs>
        <w:ind w:firstLine="567"/>
        <w:jc w:val="both"/>
      </w:pPr>
      <w:r>
        <w:t>38.3</w:t>
      </w:r>
      <w:r>
        <w:t>. 0,4–10 kV įtampos oro kabeliai – 70 ir 120 mm</w:t>
      </w:r>
      <w:r>
        <w:rPr>
          <w:vertAlign w:val="superscript"/>
        </w:rPr>
        <w:t>2</w:t>
      </w:r>
      <w:r>
        <w:t>.</w:t>
      </w:r>
    </w:p>
    <w:p>
      <w:pPr>
        <w:widowControl w:val="0"/>
        <w:tabs>
          <w:tab w:val="left" w:pos="-180"/>
          <w:tab w:val="left" w:pos="1440"/>
        </w:tabs>
        <w:ind w:firstLine="567"/>
        <w:jc w:val="both"/>
      </w:pPr>
      <w:r>
        <w:t>39</w:t>
      </w:r>
      <w:r>
        <w:t>. 6–35 kV įtampos elektros tinklo veikimo režimas – su izoliuota arba įžeminta per talpinės įžemėjimo srovės kompensavimo įrenginius neutrale.</w:t>
      </w:r>
    </w:p>
    <w:p>
      <w:pPr>
        <w:widowControl w:val="0"/>
        <w:tabs>
          <w:tab w:val="left" w:pos="-180"/>
          <w:tab w:val="left" w:pos="1440"/>
        </w:tabs>
        <w:ind w:firstLine="567"/>
        <w:jc w:val="both"/>
      </w:pPr>
      <w:r>
        <w:t>40</w:t>
      </w:r>
      <w:r>
        <w:t xml:space="preserve">. Didesnės kaip 10 A talpinės įžemėjimo srovės 6–35 kV įtampos elektros tinkluose turi būti kompensuojamos. Kompensavimo lygis ir kompensatorių išdėstymas tinkle turi būti pagrįstas techniniais ir ekonominiais skaičiavimais. </w:t>
      </w:r>
    </w:p>
    <w:p>
      <w:pPr>
        <w:widowControl w:val="0"/>
        <w:tabs>
          <w:tab w:val="left" w:pos="-180"/>
          <w:tab w:val="left" w:pos="1440"/>
        </w:tabs>
        <w:ind w:firstLine="567"/>
        <w:jc w:val="both"/>
      </w:pPr>
      <w:r>
        <w:t>41</w:t>
      </w:r>
      <w:r>
        <w:t>. 6–20 kV įtampos generatoriaus transformatoriaus blokų schemose įžemėjimo srovės, didesnės kaip 5 A, turi būti kompensuojamos.</w:t>
      </w:r>
    </w:p>
    <w:p>
      <w:pPr>
        <w:widowControl w:val="0"/>
        <w:tabs>
          <w:tab w:val="left" w:pos="-180"/>
          <w:tab w:val="left" w:pos="1440"/>
        </w:tabs>
        <w:ind w:firstLine="567"/>
        <w:jc w:val="both"/>
      </w:pPr>
      <w:r>
        <w:t>42</w:t>
      </w:r>
      <w:r>
        <w:t xml:space="preserve">. 6–35 kV įtampos elektros tinklų įžemėjimo srovei kompensuoti turi būti naudojamos automatiškai reguliuojamos kompensacinės ritės. </w:t>
      </w:r>
    </w:p>
    <w:p>
      <w:pPr>
        <w:widowControl w:val="0"/>
        <w:tabs>
          <w:tab w:val="left" w:pos="-180"/>
          <w:tab w:val="left" w:pos="1440"/>
        </w:tabs>
        <w:ind w:firstLine="567"/>
        <w:jc w:val="both"/>
      </w:pPr>
      <w:r>
        <w:t>43</w:t>
      </w:r>
      <w:r>
        <w:t>. Pastotėse būtina įrengti automatinį 6–35 kV įžemėjusių oro linijų išjungimą arba įžemėjimo signalizaciją, informuojančią budinčiuosius darbuotojus.</w:t>
      </w:r>
    </w:p>
    <w:p>
      <w:pPr>
        <w:widowControl w:val="0"/>
        <w:ind w:firstLine="567"/>
        <w:jc w:val="both"/>
      </w:pPr>
    </w:p>
    <w:p>
      <w:pPr>
        <w:widowControl w:val="0"/>
        <w:jc w:val="center"/>
        <w:rPr>
          <w:b/>
        </w:rPr>
      </w:pPr>
      <w:r>
        <w:rPr>
          <w:b/>
        </w:rPr>
        <w:t>TREČIASIS</w:t>
      </w:r>
      <w:r>
        <w:rPr>
          <w:b/>
        </w:rPr>
        <w:t xml:space="preserve"> SKYRSNIS</w:t>
      </w:r>
    </w:p>
    <w:p>
      <w:pPr>
        <w:widowControl w:val="0"/>
        <w:jc w:val="center"/>
        <w:rPr>
          <w:b/>
        </w:rPr>
      </w:pPr>
      <w:r>
        <w:rPr>
          <w:b/>
        </w:rPr>
        <w:t xml:space="preserve">ELEKTROS IMTUVŲ APRŪPINIMO ELEKTROS ENERGIJA REIKALAVIMAI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440"/>
        </w:tabs>
        <w:ind w:firstLine="567"/>
        <w:jc w:val="both"/>
      </w:pPr>
      <w:r>
        <w:t>44</w:t>
      </w:r>
      <w:r>
        <w:t>. Asmenys, turintys jiems priklausančius ar jų naudojamus elektros imtuvus, įsirengdami savo vidaus elektros tinklą ir įrenginius, privalo atsižvelgti į elektros imtuvams keliamus reikalavimus.</w:t>
      </w:r>
    </w:p>
    <w:p>
      <w:pPr>
        <w:widowControl w:val="0"/>
        <w:tabs>
          <w:tab w:val="left" w:pos="-180"/>
          <w:tab w:val="left" w:pos="360"/>
          <w:tab w:val="left" w:pos="1440"/>
        </w:tabs>
        <w:ind w:firstLine="567"/>
        <w:jc w:val="both"/>
      </w:pPr>
      <w:r>
        <w:t>45</w:t>
      </w:r>
      <w:r>
        <w:t>. Asmenims priklausantys arba jų naudojami elektros imtuvai pagal imtuvams keliamus reikalavimus skirstomi į tris grupes:</w:t>
      </w:r>
    </w:p>
    <w:p>
      <w:pPr>
        <w:widowControl w:val="0"/>
        <w:tabs>
          <w:tab w:val="left" w:pos="-180"/>
          <w:tab w:val="left" w:pos="360"/>
          <w:tab w:val="left" w:pos="1440"/>
        </w:tabs>
        <w:ind w:firstLine="567"/>
        <w:jc w:val="both"/>
      </w:pPr>
      <w:r>
        <w:t>45.1</w:t>
      </w:r>
      <w:r>
        <w:t>. pirmai (I) grupei priskiriami elektros imtuvai, kuriems, nutraukus aprūpinimą elektra, kyla grėsmė žmonių gyvybei arba aplinkos užteršimui, sutrinka svarbūs miestų ūkio veiklos procesai;</w:t>
      </w:r>
    </w:p>
    <w:p>
      <w:pPr>
        <w:widowControl w:val="0"/>
        <w:tabs>
          <w:tab w:val="left" w:pos="-180"/>
          <w:tab w:val="left" w:pos="360"/>
          <w:tab w:val="left" w:pos="1440"/>
        </w:tabs>
        <w:ind w:firstLine="567"/>
        <w:jc w:val="both"/>
      </w:pPr>
      <w:r>
        <w:t>45.2</w:t>
      </w:r>
      <w:r>
        <w:t>. antrai (II) grupei priskiriami elektros imtuvai, kuriems, nutraukus aprūpinimą elektra, patiriama didelių materialinių nuostolių, sutrinka sudėtingi vartotojo technologiniai procesai, susidaro masinės darbuotojų, mechanizmų ir pramonės transporto prastovos, neišvengiama žymios gyventojų dalies normalios veiklos sutrikimų;</w:t>
      </w:r>
    </w:p>
    <w:p>
      <w:pPr>
        <w:widowControl w:val="0"/>
        <w:tabs>
          <w:tab w:val="left" w:pos="-180"/>
          <w:tab w:val="left" w:pos="360"/>
          <w:tab w:val="left" w:pos="1440"/>
        </w:tabs>
        <w:ind w:firstLine="567"/>
        <w:jc w:val="both"/>
      </w:pPr>
      <w:r>
        <w:t>45.3</w:t>
      </w:r>
      <w:r>
        <w:t>. trečiai (III) grupei priskiriami visi kiti elektros imtuvai, nepriklausantys I ir II imtuvų grupėms.</w:t>
      </w:r>
    </w:p>
    <w:p>
      <w:pPr>
        <w:widowControl w:val="0"/>
        <w:tabs>
          <w:tab w:val="left" w:pos="720"/>
        </w:tabs>
        <w:ind w:firstLine="567"/>
        <w:jc w:val="both"/>
      </w:pPr>
      <w:r>
        <w:t>46</w:t>
      </w:r>
      <w:r>
        <w:t>. Elektros imtuvams aprūpinimo elektra reikalavimai įrengiant elektros įrenginius turi būti užtikrinti taip:</w:t>
      </w:r>
    </w:p>
    <w:p>
      <w:pPr>
        <w:widowControl w:val="0"/>
        <w:tabs>
          <w:tab w:val="left" w:pos="-180"/>
          <w:tab w:val="left" w:pos="360"/>
          <w:tab w:val="left" w:pos="1440"/>
        </w:tabs>
        <w:ind w:firstLine="567"/>
        <w:jc w:val="both"/>
      </w:pPr>
      <w:r>
        <w:t>46.1</w:t>
      </w:r>
      <w:r>
        <w:t>. pirmos (I) grupės elektros imtuvams elektra aprūpinti įrengiami įrenginiai turi būti maitinami iš ne mažiau kaip dviejų nepriklausomų elektros energijos šaltinių su perjungimo nuo vieno šaltinio prie kito automatika. Šios grupės elektros imtuvų savininkai ir naudotojai elektros imtuvams elektra aprūpinti avarijų atveju turi įrengti papildomus autonominius elektros energijos šaltinius (vietinė elektros jėgainė, elektros generatorius, akumuliatorių baterija ir pan.) su tinkamai veikiančia automatika, kuri prijungtų atjungtą pirmos grupės elektros imtuvą prie šio rezervinio maitinimo šaltinio;</w:t>
      </w:r>
    </w:p>
    <w:p>
      <w:pPr>
        <w:widowControl w:val="0"/>
        <w:tabs>
          <w:tab w:val="left" w:pos="-180"/>
          <w:tab w:val="left" w:pos="360"/>
          <w:tab w:val="left" w:pos="1440"/>
        </w:tabs>
        <w:ind w:firstLine="567"/>
        <w:jc w:val="both"/>
      </w:pPr>
      <w:r>
        <w:t>46.2</w:t>
      </w:r>
      <w:r>
        <w:t>. antros (II) grupės elektros imtuvams aprūpinti elektra turi būti įrengiami du elektros energijos šaltiniai. Šiuo atveju elektros energijos šaltiniams perjungti nuo vieno šaltinio prie kito automatikos įrengti nereikalaujama;</w:t>
      </w:r>
    </w:p>
    <w:p>
      <w:pPr>
        <w:widowControl w:val="0"/>
        <w:tabs>
          <w:tab w:val="left" w:pos="-180"/>
          <w:tab w:val="left" w:pos="0"/>
          <w:tab w:val="left" w:pos="1440"/>
        </w:tabs>
        <w:ind w:firstLine="567"/>
        <w:jc w:val="both"/>
      </w:pPr>
      <w:r>
        <w:t>46.3</w:t>
      </w:r>
      <w:r>
        <w:t>. trečios (III) grupės elektros imtuvams aprūpinti elektra įrengiamas vienas elektros energijos šaltinis.</w:t>
      </w:r>
    </w:p>
    <w:p>
      <w:pPr>
        <w:widowControl w:val="0"/>
        <w:tabs>
          <w:tab w:val="left" w:pos="-180"/>
          <w:tab w:val="left" w:pos="0"/>
          <w:tab w:val="left" w:pos="1440"/>
        </w:tabs>
        <w:ind w:firstLine="567"/>
        <w:jc w:val="both"/>
      </w:pPr>
      <w:r>
        <w:t>47</w:t>
      </w:r>
      <w:r>
        <w:t>. Nepriklausomais elektros energijos šaltiniais laikoma:</w:t>
      </w:r>
    </w:p>
    <w:p>
      <w:pPr>
        <w:widowControl w:val="0"/>
        <w:tabs>
          <w:tab w:val="left" w:pos="-180"/>
          <w:tab w:val="left" w:pos="0"/>
          <w:tab w:val="left" w:pos="1440"/>
        </w:tabs>
        <w:ind w:firstLine="567"/>
        <w:jc w:val="both"/>
      </w:pPr>
      <w:r>
        <w:t>47.1</w:t>
      </w:r>
      <w:r>
        <w:t>. ne mažiau kaip dvi atskiros elektrinės arba pastotės;</w:t>
      </w:r>
    </w:p>
    <w:p>
      <w:pPr>
        <w:widowControl w:val="0"/>
        <w:tabs>
          <w:tab w:val="left" w:pos="-180"/>
          <w:tab w:val="left" w:pos="0"/>
          <w:tab w:val="left" w:pos="1440"/>
        </w:tabs>
        <w:ind w:firstLine="567"/>
        <w:jc w:val="both"/>
      </w:pPr>
      <w:r>
        <w:t>47.2</w:t>
      </w:r>
      <w:r>
        <w:t>. ne mažiau kaip dvi atskiros elektrinių arba pastočių šynų sekcijos arba šynų sistemos, jeigu jos savo ruožtu maitinamos iš ne mažiau kaip dviejų elektros šaltinių, persiunčiančių elektrą vartotojų įrenginiams ne mažiau kaip dviem atskiromis elektros linijomis;</w:t>
      </w:r>
    </w:p>
    <w:p>
      <w:pPr>
        <w:widowControl w:val="0"/>
        <w:tabs>
          <w:tab w:val="left" w:pos="-180"/>
          <w:tab w:val="left" w:pos="0"/>
          <w:tab w:val="left" w:pos="1440"/>
        </w:tabs>
        <w:ind w:firstLine="567"/>
        <w:jc w:val="both"/>
      </w:pPr>
      <w:r>
        <w:t>47.3</w:t>
      </w:r>
      <w:r>
        <w:t>. dvi sujungtos šynų sekcijos arba šynų sistemos, automatiškai atsijungiančios, sutrikus vienos iš jų normaliam veikimui, jeigu jos maitinamos iš dviejų nepriklausomų elektros šaltinių.</w:t>
      </w:r>
    </w:p>
    <w:p>
      <w:pPr>
        <w:widowControl w:val="0"/>
        <w:tabs>
          <w:tab w:val="left" w:pos="-180"/>
          <w:tab w:val="left" w:pos="0"/>
          <w:tab w:val="left" w:pos="1440"/>
        </w:tabs>
        <w:ind w:firstLine="567"/>
        <w:jc w:val="both"/>
      </w:pPr>
      <w:r>
        <w:t>48</w:t>
      </w:r>
      <w:r>
        <w:t>. Du kabeliai, nutiesti bendrame kabelių įrenginyje, nenaudojant specialių priemonių apsaugai nuo gedimo išplitimo, arba dvigrandė oro linija nelaikomi nepriklausomais elektros energijos šaltiniais.</w:t>
      </w:r>
    </w:p>
    <w:p>
      <w:pPr>
        <w:widowControl w:val="0"/>
        <w:ind w:firstLine="567"/>
        <w:jc w:val="both"/>
      </w:pPr>
      <w:r>
        <w:t>49</w:t>
      </w:r>
      <w:r>
        <w:t>. Elektros imtuvų savininkai ir naudotojai, vadovaudamiesi iš operatoriaus gautais prisijungimo sąlygų aprašais, elektros energijos aprūpinimo patikimumo sąlygomis, privalo pasirinkti atskiriems imtuvams vidaus tinklų elektros aprūpinimo schemas, numatyti ir įgyvendinti priemones galimiems nuostoliams dėl aprūpinimo elektra nutrūkimo išvengti ar juos sumažinti, įskaitant ir dėl staigiųjų trumpųjų, ilgųjų įtampos kryčių ir pertrūkių priemones.</w:t>
      </w:r>
    </w:p>
    <w:p>
      <w:pPr>
        <w:ind w:firstLine="567"/>
        <w:jc w:val="both"/>
      </w:pPr>
      <w:r>
        <w:rPr>
          <w:szCs w:val="24"/>
        </w:rPr>
        <w:t>49</w:t>
      </w:r>
      <w:r>
        <w:rPr>
          <w:szCs w:val="24"/>
          <w:vertAlign w:val="superscript"/>
        </w:rPr>
        <w:t>1</w:t>
      </w:r>
      <w:r>
        <w:rPr>
          <w:szCs w:val="24"/>
        </w:rPr>
        <w:t>. Sąveikumo tikslais elektromobiliams skirtose kintamosios srovės įprastos galios elektromobilių įkrovimo prieigose, išskyrus belaidžius arba induktyvius įrenginius, įrengiami kištukiniai lizdai arba 2 tipo jungtys pagal Lietuvos standarto LST EN 62196-2:2012/A12:2014 „Transporto priemonių kištukai, kištukiniai lizdai, jungtys ir įvadai. Laidusis elektrinių transporto priemonių įkrovimas. 2 dalis. Kintamosios srovės reikmenų su kontaktiniais kištukais ir lizdais matmenų suderinamumo ir sukeičiamumo reikalavimai“ nustatytus reikalavimus (toliau – Lietuvos standartas LST EN 62196-2:2012/A12:2014). Siekiant užtikrinti 2 tipo jungčių suderinamumą, kištukiniuose lizduose gali būti įrengtos mechaninės užsklandos.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
      <w:pPr>
        <w:ind w:firstLine="567"/>
        <w:jc w:val="both"/>
      </w:pPr>
      <w:r>
        <w:rPr>
          <w:rFonts w:ascii="TimesLT" w:hAnsi="TimesLT"/>
          <w:szCs w:val="24"/>
        </w:rPr>
        <w:t>49</w:t>
      </w:r>
      <w:r>
        <w:rPr>
          <w:szCs w:val="24"/>
          <w:vertAlign w:val="superscript"/>
          <w:lang w:val="en-US"/>
        </w:rPr>
        <w:t>2</w:t>
      </w:r>
      <w:r>
        <w:rPr>
          <w:szCs w:val="24"/>
          <w:lang w:val="en-US"/>
        </w:rPr>
        <w:t xml:space="preserve">. </w:t>
      </w:r>
      <w:r>
        <w:rPr>
          <w:rFonts w:ascii="TimesLT" w:hAnsi="TimesLT"/>
          <w:szCs w:val="24"/>
        </w:rPr>
        <w:t>Sąveikumo tikslais elektromobiliams skirtose kintamosios srovės didelės galios elektromobilių įkrovimo prieigose, išskyrus belaidžius arba induktyvius įrenginius, įrengiamos 2 tipo jungtys pagal Lietuvos standarto LST EN 62196-2:2012/A12:2014 nustatytus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
      <w:pPr>
        <w:keepNext/>
        <w:keepLines/>
        <w:widowControl w:val="0"/>
        <w:ind w:firstLine="567"/>
        <w:jc w:val="both"/>
      </w:pPr>
      <w:r>
        <w:rPr>
          <w:rFonts w:ascii="TimesLT" w:hAnsi="TimesLT"/>
          <w:szCs w:val="24"/>
        </w:rPr>
        <w:t>49</w:t>
      </w:r>
      <w:r>
        <w:rPr>
          <w:szCs w:val="24"/>
          <w:vertAlign w:val="superscript"/>
          <w:lang w:val="en-US"/>
        </w:rPr>
        <w:t>3</w:t>
      </w:r>
      <w:r>
        <w:rPr>
          <w:szCs w:val="24"/>
          <w:lang w:val="en-US"/>
        </w:rPr>
        <w:t>.</w:t>
      </w:r>
      <w:r>
        <w:rPr>
          <w:rFonts w:ascii="TimesLT" w:hAnsi="TimesLT"/>
          <w:szCs w:val="24"/>
        </w:rPr>
        <w:t xml:space="preserve"> Sąveikumo tikslais elektromobiliams skirtose nuolatinės srovės didelės galios elektromobilių įkrovimo prieigose, išskyrus belaidžius arba induktyvius įrenginius, įrengiamos</w:t>
      </w:r>
      <w:r>
        <w:rPr>
          <w:szCs w:val="24"/>
        </w:rPr>
        <w:t xml:space="preserve"> kombinuotos kintamosios srovės / nuolatinės srovės „Combo 2“ sistemos jungtys </w:t>
      </w:r>
      <w:r>
        <w:rPr>
          <w:rFonts w:ascii="TimesLT" w:hAnsi="TimesLT"/>
          <w:szCs w:val="24"/>
        </w:rPr>
        <w:t>pagal Lietuvos standarto LST EN 62196-</w:t>
      </w:r>
      <w:r>
        <w:rPr>
          <w:rFonts w:ascii="TimesLT" w:hAnsi="TimesLT"/>
          <w:szCs w:val="24"/>
          <w:lang w:val="en-US"/>
        </w:rPr>
        <w:t>3</w:t>
      </w:r>
      <w:r>
        <w:rPr>
          <w:rFonts w:ascii="TimesLT" w:hAnsi="TimesLT"/>
          <w:szCs w:val="24"/>
        </w:rPr>
        <w:t xml:space="preserve">:2014 „Transporto priemonių kištukai, kištukiniai lizdai, jungtys ir įvadai. Laidusis elektrinių transporto priemonių įkrovimas. 3 dalis. Matmenų suderinamumo ir sukeičiamumo reikalavimai, keliami tikslinėms nuolatinės srovės, </w:t>
      </w:r>
      <w:r>
        <w:rPr>
          <w:szCs w:val="24"/>
        </w:rPr>
        <w:t>kombinuotoms</w:t>
      </w:r>
      <w:r>
        <w:rPr>
          <w:rFonts w:ascii="TimesLT" w:hAnsi="TimesLT"/>
          <w:szCs w:val="24"/>
        </w:rPr>
        <w:t xml:space="preserve"> kintamosios ir nuolatinės srovės kaištinėms bei kontaktinėms vamzdinėms transporto priemonių jungtims </w:t>
      </w:r>
      <w:r>
        <w:rPr>
          <w:rFonts w:ascii="TimesLT" w:hAnsi="TimesLT"/>
          <w:szCs w:val="24"/>
          <w:lang w:val="en-US"/>
        </w:rPr>
        <w:t>(IEC 62196-3:2014)</w:t>
      </w:r>
      <w:r>
        <w:rPr>
          <w:rFonts w:ascii="TimesLT" w:hAnsi="TimesLT"/>
          <w:szCs w:val="24"/>
        </w:rPr>
        <w:t>“ nustatytus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
      <w:pPr>
        <w:ind w:firstLine="567"/>
        <w:jc w:val="both"/>
      </w:pPr>
      <w:r>
        <w:rPr>
          <w:szCs w:val="24"/>
        </w:rPr>
        <w:t>49</w:t>
      </w:r>
      <w:r>
        <w:rPr>
          <w:szCs w:val="24"/>
          <w:vertAlign w:val="superscript"/>
          <w:lang w:val="en-US"/>
        </w:rPr>
        <w:t>4</w:t>
      </w:r>
      <w:r>
        <w:rPr>
          <w:szCs w:val="24"/>
          <w:lang w:val="en-US"/>
        </w:rPr>
        <w:t>.</w:t>
      </w:r>
      <w:r>
        <w:rPr>
          <w:szCs w:val="24"/>
        </w:rPr>
        <w:t xml:space="preserve"> Elektros tiekimo nuo kranto jūrų laivams įrenginiai projektuojami, įrengiami ir bandomi pagal standarto IEC / ISO / IEEE 80005-1 nustatytus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
      <w:pPr>
        <w:ind w:firstLine="567"/>
        <w:jc w:val="both"/>
      </w:pPr>
      <w:r>
        <w:rPr>
          <w:szCs w:val="24"/>
        </w:rPr>
        <w:t>49</w:t>
      </w:r>
      <w:r>
        <w:rPr>
          <w:szCs w:val="24"/>
          <w:vertAlign w:val="superscript"/>
        </w:rPr>
        <w:t>5</w:t>
      </w:r>
      <w:r>
        <w:rPr>
          <w:szCs w:val="24"/>
        </w:rPr>
        <w:t>. Taisyklių 49</w:t>
      </w:r>
      <w:r>
        <w:rPr>
          <w:szCs w:val="24"/>
          <w:vertAlign w:val="superscript"/>
        </w:rPr>
        <w:t>1</w:t>
      </w:r>
      <w:r>
        <w:rPr>
          <w:szCs w:val="24"/>
        </w:rPr>
        <w:t>–49</w:t>
      </w:r>
      <w:r>
        <w:rPr>
          <w:szCs w:val="24"/>
          <w:vertAlign w:val="superscript"/>
          <w:lang w:val="en-US"/>
        </w:rPr>
        <w:t>3</w:t>
      </w:r>
      <w:r>
        <w:rPr>
          <w:szCs w:val="24"/>
        </w:rPr>
        <w:t xml:space="preserve"> punktuose nurodytose elektromobilių įkrovimo prieigose turi būti pateikta informacija apie motorines transporto priemones, kurias galima įkrauti šiose prieigose. Informacija apie motorines transporto priemones turi būti paprasta, lengvai suprantama ir aiškiai matoma forma pateikta ant elektromobilių įkrovimo prieigos konstrukcijos išorės.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
      <w:pPr>
        <w:ind w:firstLine="567"/>
        <w:jc w:val="both"/>
      </w:pPr>
      <w:r>
        <w:rPr>
          <w:szCs w:val="24"/>
        </w:rPr>
        <w:t>49</w:t>
      </w:r>
      <w:r>
        <w:rPr>
          <w:szCs w:val="24"/>
          <w:vertAlign w:val="superscript"/>
        </w:rPr>
        <w:t>6</w:t>
      </w:r>
      <w:r>
        <w:rPr>
          <w:szCs w:val="24"/>
        </w:rPr>
        <w:t>. Taisyklių 49</w:t>
      </w:r>
      <w:r>
        <w:rPr>
          <w:szCs w:val="24"/>
          <w:vertAlign w:val="superscript"/>
          <w:lang w:val="en-US"/>
        </w:rPr>
        <w:t>1</w:t>
      </w:r>
      <w:r>
        <w:rPr>
          <w:szCs w:val="24"/>
        </w:rPr>
        <w:t>–49</w:t>
      </w:r>
      <w:r>
        <w:rPr>
          <w:szCs w:val="24"/>
          <w:vertAlign w:val="superscript"/>
          <w:lang w:val="en-US"/>
        </w:rPr>
        <w:t>3</w:t>
      </w:r>
      <w:r>
        <w:rPr>
          <w:szCs w:val="24"/>
        </w:rPr>
        <w:t xml:space="preserve"> punktuose nenurodyta elektros tiekimo transportui infrastruktūra (motorinių transporto priemonių belaidžio įkrovimo prieigos, motorinių transporto priemonių akumuliatorių sukeitimas, L kategorijos motorinių transporto priemonių įkrovimo prieigos, elektra varomų autobusų įkrovimo prieigos, elektros tiekimas vidaus vandenų laivams nuo kranto) projektuojama, įrengiama ir bandoma pagal gamintojų techninėje dokumentacijoje nurodytas technines sąlygas, jeigu nėra priimtų atitinkamų Europos Sąjungos standartų. Tokiems standartams įsigaliojus, vadovaujamasi juose nustatytais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cbf060a66011e69ad4c8713b612d0f">
        <w:r w:rsidRPr="00532B9F">
          <w:rPr>
            <w:rFonts w:ascii="Times New Roman" w:eastAsia="MS Mincho" w:hAnsi="Times New Roman"/>
            <w:sz w:val="20"/>
            <w:i/>
            <w:iCs/>
            <w:color w:val="0000FF" w:themeColor="hyperlink"/>
            <w:u w:val="single"/>
          </w:rPr>
          <w:t>1-294</w:t>
        </w:r>
      </w:fldSimple>
      <w:r>
        <w:rPr>
          <w:rFonts w:ascii="Times New Roman" w:eastAsia="MS Mincho" w:hAnsi="Times New Roman"/>
          <w:sz w:val="20"/>
          <w:i/>
          <w:iCs/>
        </w:rPr>
        <w:t>,
2016-11-04,
paskelbta TAR 2016-11-09, i. k. 2016-26483        </w:t>
      </w:r>
    </w:p>
    <w:p/>
    <w:p>
      <w:pPr>
        <w:widowControl w:val="0"/>
        <w:ind w:firstLine="567"/>
        <w:jc w:val="both"/>
      </w:pPr>
      <w:r>
        <w:t>50</w:t>
      </w:r>
      <w:r>
        <w:t xml:space="preserve">. Elektros persiuntimo sąlygas ir vartotojo santykius su tiekėjais ir operatoriais reglamentuoja Elektros energijos tiekimo ir naudojimo taisyklės, patvirtintos Lietuvos Respublikos energetikos ministro 2010 m. vasario 11 d. įsakymu Nr. 1-38 (Žin., 2010, Nr. </w:t>
      </w:r>
      <w:hyperlink r:id="rId19" w:tgtFrame="_blank" w:history="1">
        <w:r>
          <w:rPr>
            <w:color w:val="0000FF" w:themeColor="hyperlink"/>
            <w:u w:val="single"/>
          </w:rPr>
          <w:t>20-957</w:t>
        </w:r>
      </w:hyperlink>
      <w:r>
        <w:t>), ir dvišalės sutartys.</w:t>
      </w:r>
    </w:p>
    <w:p>
      <w:pPr>
        <w:widowControl w:val="0"/>
        <w:ind w:firstLine="567"/>
        <w:jc w:val="both"/>
      </w:pPr>
    </w:p>
    <w:p>
      <w:pPr>
        <w:widowControl w:val="0"/>
        <w:jc w:val="center"/>
        <w:rPr>
          <w:b/>
        </w:rPr>
      </w:pPr>
      <w:r>
        <w:rPr>
          <w:b/>
        </w:rPr>
        <w:t>KETVIRTASIS</w:t>
      </w:r>
      <w:r>
        <w:rPr>
          <w:b/>
        </w:rPr>
        <w:t xml:space="preserve"> SKIRSNIS</w:t>
      </w:r>
    </w:p>
    <w:p>
      <w:pPr>
        <w:widowControl w:val="0"/>
        <w:jc w:val="center"/>
        <w:rPr>
          <w:b/>
        </w:rPr>
      </w:pPr>
      <w:r>
        <w:rPr>
          <w:b/>
        </w:rPr>
        <w:t xml:space="preserve">ĮTAMPOS LYGIAI IR JŲ REGULIAVIMAS. REAKTYVIOSIOS GALIOS REGULIAVIMAS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360"/>
          <w:tab w:val="left" w:pos="1440"/>
        </w:tabs>
        <w:ind w:firstLine="567"/>
        <w:jc w:val="both"/>
      </w:pPr>
      <w:r>
        <w:t>51</w:t>
      </w:r>
      <w:r>
        <w:t xml:space="preserve">. Elektrinėse ir elektros tinkluose turi būti įrengtos techninės priemonės, turinčios užtikrinti Lietuvos standarto LST EN 50160:2008 „Viešųjų skirstomųjų tinklų tiekiamos elektros įtampos charakteristikos“ reglamentuojamą žemosios ir vidutinės įtampos elektros kokybę. Tam reikalinga naudoti atitinkamą įtampos reguliavimą arba įtampos stabilizavimo priemones. </w:t>
      </w:r>
    </w:p>
    <w:p>
      <w:pPr>
        <w:widowControl w:val="0"/>
        <w:tabs>
          <w:tab w:val="left" w:pos="-180"/>
          <w:tab w:val="left" w:pos="180"/>
          <w:tab w:val="left" w:pos="360"/>
          <w:tab w:val="left" w:pos="1440"/>
        </w:tabs>
        <w:ind w:firstLine="567"/>
        <w:jc w:val="both"/>
      </w:pPr>
      <w:r>
        <w:t>52</w:t>
      </w:r>
      <w:r>
        <w:t>. Reaktyviosios galios šaltinių ir šuntuojančiųjų reaktorių išdėstymas sistemoje turi būti grindžiamas techniniais ir ekonominiais skaičiavimais, įvertinus įtampų reguliavimo sistemos mazginėse pastotėse poreikius.</w:t>
      </w:r>
    </w:p>
    <w:p>
      <w:pPr>
        <w:widowControl w:val="0"/>
        <w:tabs>
          <w:tab w:val="left" w:pos="-180"/>
          <w:tab w:val="left" w:pos="180"/>
          <w:tab w:val="left" w:pos="360"/>
          <w:tab w:val="left" w:pos="1440"/>
        </w:tabs>
        <w:ind w:firstLine="567"/>
        <w:jc w:val="both"/>
      </w:pPr>
      <w:r>
        <w:t>53</w:t>
      </w:r>
      <w:r>
        <w:t>. Reaktyvioji galia turi būti perduodama vartotojams iš elektros energetikos sistemos reaktyviosios galios šaltinių. Vartotojas, suderinęs su operatoriumi, turi teisę įrengti reaktyviosios galios šaltinius.</w:t>
      </w:r>
    </w:p>
    <w:p>
      <w:pPr>
        <w:widowControl w:val="0"/>
        <w:ind w:firstLine="567"/>
        <w:jc w:val="both"/>
        <w:rPr>
          <w:caps/>
        </w:rPr>
      </w:pPr>
    </w:p>
    <w:p>
      <w:pPr>
        <w:widowControl w:val="0"/>
        <w:jc w:val="center"/>
        <w:rPr>
          <w:b/>
          <w:caps/>
        </w:rPr>
      </w:pPr>
      <w:r>
        <w:rPr>
          <w:b/>
          <w:caps/>
        </w:rPr>
        <w:t>IV</w:t>
      </w:r>
      <w:r>
        <w:rPr>
          <w:b/>
          <w:caps/>
        </w:rPr>
        <w:t xml:space="preserve"> SKYRIUS</w:t>
      </w:r>
    </w:p>
    <w:p>
      <w:pPr>
        <w:widowControl w:val="0"/>
        <w:jc w:val="center"/>
        <w:rPr>
          <w:b/>
          <w:caps/>
        </w:rPr>
      </w:pPr>
      <w:r>
        <w:rPr>
          <w:b/>
          <w:caps/>
        </w:rPr>
        <w:t xml:space="preserve">LAIDININKŲ PARINKIMAS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3892"/>
          <w:tab w:val="left" w:pos="14034"/>
        </w:tabs>
        <w:jc w:val="center"/>
        <w:rPr>
          <w:b/>
        </w:rPr>
      </w:pPr>
      <w:r>
        <w:rPr>
          <w:b/>
        </w:rPr>
        <w:t>PIRMASIS</w:t>
      </w:r>
      <w:r>
        <w:rPr>
          <w:b/>
        </w:rPr>
        <w:t xml:space="preserve"> SKIRSNIS</w:t>
      </w:r>
    </w:p>
    <w:p>
      <w:pPr>
        <w:widowControl w:val="0"/>
        <w:tabs>
          <w:tab w:val="left" w:pos="13892"/>
          <w:tab w:val="left" w:pos="14034"/>
        </w:tabs>
        <w:jc w:val="center"/>
        <w:rPr>
          <w:b/>
        </w:rPr>
      </w:pPr>
      <w:r>
        <w:rPr>
          <w:b/>
        </w:rPr>
        <w:t xml:space="preserve">TAIKYMO SRITIS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360"/>
          <w:tab w:val="left" w:pos="720"/>
          <w:tab w:val="left" w:pos="1440"/>
          <w:tab w:val="left" w:pos="9498"/>
          <w:tab w:val="left" w:pos="12333"/>
        </w:tabs>
        <w:ind w:firstLine="567"/>
        <w:jc w:val="both"/>
      </w:pPr>
      <w:r>
        <w:t>54</w:t>
      </w:r>
      <w:r>
        <w:t>. Šis Taisyklių skyrius</w:t>
      </w:r>
      <w:r>
        <w:rPr>
          <w:caps/>
        </w:rPr>
        <w:t xml:space="preserve"> </w:t>
      </w:r>
      <w:r>
        <w:t>taikomas elektros laidininkų (izoliuotų ir neizoliuotų laidų, kabelių, šynų) skerspjūvių plotams (toliau – skerspjūviai) parinkti, atsižvelgiant į laidininkų įšilimą, vainikinį išlydį, terminį ir elektrodinaminį atsparumą trumpojo jungimo srovėms, mechaninį atsparumą, srovės perkrovas, įtampos nuostolius ir nuokrypius</w:t>
      </w:r>
      <w:r>
        <w:rPr>
          <w:caps/>
        </w:rPr>
        <w:t xml:space="preserve"> </w:t>
      </w:r>
      <w:r>
        <w:t>ir ekonomiškumą. Turi būti parenkamas didžiausias visas išvardytas sąlygas tenkinantis laidininko skerspjūvis.</w:t>
      </w:r>
    </w:p>
    <w:p>
      <w:pPr>
        <w:widowControl w:val="0"/>
        <w:tabs>
          <w:tab w:val="left" w:pos="-180"/>
          <w:tab w:val="left" w:pos="360"/>
          <w:tab w:val="left" w:pos="1440"/>
          <w:tab w:val="left" w:pos="6804"/>
          <w:tab w:val="left" w:pos="12333"/>
        </w:tabs>
        <w:ind w:firstLine="567"/>
        <w:jc w:val="both"/>
      </w:pPr>
      <w:r>
        <w:t>55</w:t>
      </w:r>
      <w:r>
        <w:t>. Leistinosios ilgalaikių srovių vertės, perkrovos ir pataisos koeficientai pagamintiems pagal GOST standartus eksploatuojamiems kabeliams ir izoliuotiems laidams pateikiami Taisyklių 1 priedo 1–26 lentelėse.</w:t>
      </w:r>
    </w:p>
    <w:p>
      <w:pPr>
        <w:widowControl w:val="0"/>
        <w:ind w:firstLine="567"/>
        <w:jc w:val="both"/>
      </w:pPr>
      <w:r>
        <w:t xml:space="preserve">Leistinosios ilgalaikės srovių vertės, perkrovos ir pataisos koeficientai kabeliams ir izoliuotiems laidams pagal Lietuvos </w:t>
      </w:r>
      <w:r>
        <w:rPr>
          <w:color w:val="000000"/>
        </w:rPr>
        <w:t>standartą LST HD 384.5.523 S2:2003 „</w:t>
      </w:r>
      <w:r>
        <w:t>Elektriniai pastatų įrenginiai. 5 dalis. Elektrinių įrenginių parinkimas ir įrengimas. 523 podalis. Kabelių ir laidų sistemų srovinės apkrovos geba (IEC 60364-5-523:1999, modifikuotas)“ pateikiami Taisyklių 2 priedo 1–16 lentelėse.</w:t>
      </w:r>
    </w:p>
    <w:p>
      <w:pPr>
        <w:widowControl w:val="0"/>
        <w:tabs>
          <w:tab w:val="left" w:pos="-180"/>
          <w:tab w:val="left" w:pos="360"/>
          <w:tab w:val="left" w:pos="1440"/>
        </w:tabs>
        <w:ind w:firstLine="567"/>
        <w:jc w:val="both"/>
      </w:pPr>
      <w:r>
        <w:t>Leistinosios ilgalaikės srovių vertės pagal GOST standartus pagamintiems eksploatuojamiems neizoliuotiems laidams ir šynoms pateikiamos Taisyklių 2 priedo 17</w:t>
        <w:noBreakHyphen/>
        <w:t>27 lentelėse.</w:t>
      </w:r>
    </w:p>
    <w:p>
      <w:pPr>
        <w:widowControl w:val="0"/>
        <w:ind w:firstLine="567"/>
        <w:jc w:val="both"/>
      </w:pPr>
    </w:p>
    <w:p>
      <w:pPr>
        <w:widowControl w:val="0"/>
        <w:tabs>
          <w:tab w:val="left" w:pos="12333"/>
        </w:tabs>
        <w:jc w:val="center"/>
        <w:outlineLvl w:val="3"/>
        <w:rPr>
          <w:b/>
        </w:rPr>
      </w:pPr>
      <w:r>
        <w:rPr>
          <w:b/>
        </w:rPr>
        <w:t>ANTRASIS</w:t>
      </w:r>
      <w:r>
        <w:rPr>
          <w:b/>
        </w:rPr>
        <w:t xml:space="preserve"> SKIRSNIS</w:t>
      </w:r>
    </w:p>
    <w:p>
      <w:pPr>
        <w:widowControl w:val="0"/>
        <w:tabs>
          <w:tab w:val="left" w:pos="12333"/>
        </w:tabs>
        <w:jc w:val="center"/>
        <w:outlineLvl w:val="3"/>
        <w:rPr>
          <w:b/>
        </w:rPr>
      </w:pPr>
      <w:r>
        <w:rPr>
          <w:b/>
        </w:rPr>
        <w:t xml:space="preserve">LAIDININKŲ SKERSPJŪVIŲ PARINKIMAS ĮŠILTI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80"/>
          <w:tab w:val="left" w:pos="1440"/>
          <w:tab w:val="left" w:pos="6804"/>
          <w:tab w:val="left" w:pos="8080"/>
          <w:tab w:val="left" w:pos="11624"/>
          <w:tab w:val="left" w:pos="13750"/>
        </w:tabs>
        <w:ind w:firstLine="567"/>
        <w:jc w:val="both"/>
      </w:pPr>
      <w:r>
        <w:t>56</w:t>
      </w:r>
      <w:r>
        <w:t>. Bet kurios paskirties laidininkai turi atitikti jų ribinio leistino įšilimo reikalavimus, veikdami ne tik įprastiniu, bet ir remonto režimu ar po avarijos (esant galimam netolygiam elektros srovių pasiskirstymui tarp linijų, šynų sekcijų ir pan.). Laidininkų įšilimas turi būti tikrinamas pagal didžiausią vidutinę pusvalandžio trukmės srovę.</w:t>
      </w:r>
    </w:p>
    <w:p>
      <w:pPr>
        <w:widowControl w:val="0"/>
        <w:tabs>
          <w:tab w:val="left" w:pos="-180"/>
          <w:tab w:val="left" w:pos="180"/>
          <w:tab w:val="left" w:pos="720"/>
          <w:tab w:val="left" w:pos="1440"/>
          <w:tab w:val="left" w:pos="6804"/>
          <w:tab w:val="left" w:pos="11482"/>
        </w:tabs>
        <w:ind w:firstLine="567"/>
        <w:jc w:val="both"/>
      </w:pPr>
      <w:r>
        <w:t>57</w:t>
      </w:r>
      <w:r>
        <w:t xml:space="preserve">. Esant trumpalaikiam kartotiniam ir trumpalaikiam elektros imtuvų veikimo režimams (jei bendra ciklo trukmė – iki 10 minučių, o </w:t>
      </w:r>
      <w:r>
        <w:rPr>
          <w:bCs/>
        </w:rPr>
        <w:t xml:space="preserve">veikimo </w:t>
      </w:r>
      <w:r>
        <w:t xml:space="preserve">periodo trukmė – ne didesnė kaip 4 minutės), skaičiuojamąja srove, parenkant laidininkų skerspjūvį įšilti, reikia laikyti ilgalaikio </w:t>
      </w:r>
      <w:r>
        <w:rPr>
          <w:bCs/>
        </w:rPr>
        <w:t xml:space="preserve">veikimo </w:t>
      </w:r>
      <w:r>
        <w:t>režimo srovę. Šiuo atveju:</w:t>
      </w:r>
    </w:p>
    <w:p>
      <w:pPr>
        <w:widowControl w:val="0"/>
        <w:tabs>
          <w:tab w:val="left" w:pos="-180"/>
          <w:tab w:val="left" w:pos="180"/>
          <w:tab w:val="left" w:pos="567"/>
          <w:tab w:val="left" w:pos="1440"/>
          <w:tab w:val="left" w:pos="14004"/>
          <w:tab w:val="left" w:pos="14034"/>
        </w:tabs>
        <w:ind w:firstLine="567"/>
        <w:jc w:val="both"/>
      </w:pPr>
      <w:r>
        <w:t>57.1</w:t>
      </w:r>
      <w:r>
        <w:t>. variniams iki 6 mm</w:t>
      </w:r>
      <w:r>
        <w:rPr>
          <w:vertAlign w:val="superscript"/>
        </w:rPr>
        <w:t xml:space="preserve">2 </w:t>
      </w:r>
      <w:r>
        <w:t>skerspjūvio ir aliumininiams iki 10 mm</w:t>
      </w:r>
      <w:r>
        <w:rPr>
          <w:vertAlign w:val="superscript"/>
        </w:rPr>
        <w:t xml:space="preserve">2 </w:t>
      </w:r>
      <w:r>
        <w:t>skerspjūvio laidininkams skaičiuojamosios srovės parenkamos kaip ilgalaikio veikimo režimo įrenginiams;</w:t>
      </w:r>
    </w:p>
    <w:p>
      <w:pPr>
        <w:widowControl w:val="0"/>
        <w:tabs>
          <w:tab w:val="left" w:pos="-180"/>
          <w:tab w:val="left" w:pos="180"/>
          <w:tab w:val="left" w:pos="567"/>
          <w:tab w:val="left" w:pos="1440"/>
          <w:tab w:val="left" w:pos="6804"/>
          <w:tab w:val="left" w:pos="11482"/>
        </w:tabs>
        <w:ind w:firstLine="567"/>
        <w:jc w:val="both"/>
      </w:pPr>
      <w:r>
        <w:t>57.2</w:t>
      </w:r>
      <w:r>
        <w:t>. variniams didesnio nei 6 mm</w:t>
      </w:r>
      <w:r>
        <w:rPr>
          <w:vertAlign w:val="superscript"/>
        </w:rPr>
        <w:t>2</w:t>
      </w:r>
      <w:r>
        <w:t xml:space="preserve"> ir aliumininiams didesnio nei 10 mm</w:t>
      </w:r>
      <w:r>
        <w:rPr>
          <w:vertAlign w:val="superscript"/>
        </w:rPr>
        <w:t>2</w:t>
      </w:r>
      <w:r>
        <w:t xml:space="preserve"> skerspjūvio laidininkams skaičiuojamosios srovės nustatomos pagal formulę:</w:t>
      </w:r>
    </w:p>
    <w:p>
      <w:pPr>
        <w:widowControl w:val="0"/>
        <w:tabs>
          <w:tab w:val="left" w:pos="-180"/>
          <w:tab w:val="left" w:pos="0"/>
          <w:tab w:val="left" w:pos="1440"/>
          <w:tab w:val="left" w:pos="6804"/>
          <w:tab w:val="left" w:pos="11482"/>
        </w:tabs>
        <w:ind w:firstLine="567"/>
        <w:jc w:val="both"/>
      </w:pPr>
    </w:p>
    <w:p>
      <w:pPr>
        <w:widowControl w:val="0"/>
        <w:tabs>
          <w:tab w:val="right" w:pos="9071"/>
        </w:tabs>
        <w:ind w:firstLine="720"/>
        <w:jc w:val="center"/>
      </w:pPr>
      <w:r>
        <w:rPr>
          <w:position w:val="-36"/>
        </w:rPr>
        <w:object w:dxaOrig="138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8pt;height:36.8pt" o:ole="" fillcolor="window">
            <v:imagedata r:id="rId20" o:title=""/>
          </v:shape>
          <o:OLEObject Type="Embed" ProgID="Equation.3" ShapeID="_x0000_i1026" DrawAspect="Content" ObjectID="_0000000001" r:id="rId21"/>
        </w:object>
      </w:r>
      <w:r>
        <w:t>;</w:t>
        <w:tab/>
        <w:t>(1)</w:t>
      </w:r>
    </w:p>
    <w:p>
      <w:pPr>
        <w:widowControl w:val="0"/>
        <w:tabs>
          <w:tab w:val="left" w:pos="-180"/>
          <w:tab w:val="left" w:pos="0"/>
          <w:tab w:val="left" w:pos="1440"/>
          <w:tab w:val="left" w:pos="6804"/>
          <w:tab w:val="left" w:pos="11482"/>
        </w:tabs>
        <w:ind w:firstLine="567"/>
        <w:jc w:val="both"/>
      </w:pPr>
    </w:p>
    <w:p>
      <w:pPr>
        <w:widowControl w:val="0"/>
        <w:tabs>
          <w:tab w:val="left" w:pos="-180"/>
          <w:tab w:val="left" w:pos="180"/>
          <w:tab w:val="left" w:pos="709"/>
          <w:tab w:val="left" w:pos="1134"/>
          <w:tab w:val="left" w:pos="1418"/>
          <w:tab w:val="left" w:pos="1701"/>
        </w:tabs>
        <w:ind w:firstLine="567"/>
        <w:jc w:val="both"/>
      </w:pPr>
      <w:r>
        <w:t>čia:    I</w:t>
      </w:r>
      <w:r>
        <w:rPr>
          <w:vertAlign w:val="subscript"/>
        </w:rPr>
        <w:t>il</w:t>
        <w:tab/>
        <w:t xml:space="preserve"> </w:t>
      </w:r>
      <w:r>
        <w:t xml:space="preserve">– leistinoji ilgalaikė srovė; </w:t>
      </w:r>
    </w:p>
    <w:p>
      <w:pPr>
        <w:widowControl w:val="0"/>
        <w:tabs>
          <w:tab w:val="left" w:pos="-180"/>
          <w:tab w:val="left" w:pos="1134"/>
          <w:tab w:val="left" w:pos="1418"/>
          <w:tab w:val="left" w:pos="1701"/>
        </w:tabs>
        <w:ind w:firstLine="567"/>
        <w:jc w:val="both"/>
      </w:pPr>
      <w:r>
        <w:t>T</w:t>
      </w:r>
      <w:r>
        <w:rPr>
          <w:vertAlign w:val="subscript"/>
        </w:rPr>
        <w:t xml:space="preserve">įj </w:t>
      </w:r>
      <w:r>
        <w:t>– veikimo trukmė santykiniais vienetais viso periodo trukmės atžvilgiu (prijungimo trukmės ir viso ciklo trukmės santykis).</w:t>
      </w:r>
    </w:p>
    <w:p>
      <w:pPr>
        <w:widowControl w:val="0"/>
        <w:tabs>
          <w:tab w:val="left" w:pos="-180"/>
          <w:tab w:val="left" w:pos="180"/>
          <w:tab w:val="left" w:pos="1440"/>
        </w:tabs>
        <w:ind w:firstLine="567"/>
        <w:jc w:val="both"/>
      </w:pPr>
      <w:r>
        <w:t>58</w:t>
      </w:r>
      <w:r>
        <w:t>. Esant trumpalaikiam elektros imtuvų</w:t>
      </w:r>
      <w:r>
        <w:rPr>
          <w:b/>
        </w:rPr>
        <w:t xml:space="preserve"> </w:t>
      </w:r>
      <w:r>
        <w:t>veikimo režimui, kai darbo trukmė ne ilgesnė kaip 4 minutės ir pertraukos tarp įjungimų yra pakankamos, kad laidininkai atauštų iki aplinkos temperatūros, didžiausias leistinąsias sroves reikia pasirinkti pagal trumpalaikiam kartotiniam veikimo režimui nustatytus reikalavimus. Kai veikimo trukmė ilgesnė nei 4 minutės ir pertraukos tarp įjungimų nėra ilgos, didžiausias leistinąsias sroves reikia pasirinkti pagal ilgalaikio veikimo režimo įrenginiams nustatytus reikalavimus (Taisyklių 57 punktas).</w:t>
      </w:r>
    </w:p>
    <w:p>
      <w:pPr>
        <w:widowControl w:val="0"/>
        <w:tabs>
          <w:tab w:val="left" w:pos="-180"/>
          <w:tab w:val="left" w:pos="180"/>
          <w:tab w:val="left" w:pos="1440"/>
        </w:tabs>
        <w:ind w:firstLine="567"/>
        <w:jc w:val="both"/>
      </w:pPr>
      <w:r>
        <w:t>59</w:t>
      </w:r>
      <w:r>
        <w:t>. 10 kV ir žemesnės įtampos kabeliams įmirkyta popierine izoliacija, esant mažesnei už vardinę apkrovai, galima trumpalaikė perkrova (Taisyklių 1 priedo 1 lentelė).</w:t>
      </w:r>
    </w:p>
    <w:p>
      <w:pPr>
        <w:widowControl w:val="0"/>
        <w:tabs>
          <w:tab w:val="left" w:pos="-180"/>
          <w:tab w:val="left" w:pos="180"/>
          <w:tab w:val="left" w:pos="1440"/>
          <w:tab w:val="left" w:pos="6804"/>
          <w:tab w:val="left" w:pos="11482"/>
        </w:tabs>
        <w:ind w:firstLine="567"/>
        <w:jc w:val="both"/>
      </w:pPr>
      <w:r>
        <w:t>60</w:t>
      </w:r>
      <w:r>
        <w:t>. Veikiant režimu po avarijos ne daugiau kaip 5 paras iš eilės (ne ilgiau kaip 6 valandas per parą) kabeliai polietilenine izoliacija neturi būti perkraunami daugiau kaip 10 proc., o polivinilchloridinės izoliacijos kabeliai iki 15 proc. didžiausių apkrovų, jei kitu paros metu apkrovos neviršija vardinės apkrovos.</w:t>
      </w:r>
    </w:p>
    <w:p>
      <w:pPr>
        <w:widowControl w:val="0"/>
        <w:tabs>
          <w:tab w:val="left" w:pos="-180"/>
          <w:tab w:val="left" w:pos="180"/>
          <w:tab w:val="left" w:pos="1440"/>
          <w:tab w:val="left" w:pos="6804"/>
          <w:tab w:val="left" w:pos="11482"/>
        </w:tabs>
        <w:ind w:firstLine="567"/>
        <w:jc w:val="both"/>
      </w:pPr>
      <w:r>
        <w:t>Iki 10 kV įtampos kabelius su įmirkyta popierine izoliacija, veikiant režimu po avarijos ne daugiau kaip 5 paras iš eilės, neturi būti perkraunami daugiau, kaip nurodyta Taisyklių 1 priedo 2 lentelėje.</w:t>
      </w:r>
    </w:p>
    <w:p>
      <w:pPr>
        <w:widowControl w:val="0"/>
        <w:tabs>
          <w:tab w:val="left" w:pos="-180"/>
          <w:tab w:val="left" w:pos="180"/>
          <w:tab w:val="left" w:pos="1440"/>
          <w:tab w:val="left" w:pos="6804"/>
          <w:tab w:val="left" w:pos="11482"/>
        </w:tabs>
        <w:ind w:firstLine="567"/>
        <w:jc w:val="both"/>
      </w:pPr>
      <w:r>
        <w:t>Kabelių linijoms, eksploatuojamoms ilgiau kaip 15 metų, perkrovas būtina sumažinti 10 proc.</w:t>
      </w:r>
    </w:p>
    <w:p>
      <w:pPr>
        <w:widowControl w:val="0"/>
        <w:numPr>
          <w:ilvl w:val="12"/>
          <w:numId w:val="0"/>
        </w:numPr>
        <w:tabs>
          <w:tab w:val="left" w:pos="-180"/>
          <w:tab w:val="left" w:pos="180"/>
          <w:tab w:val="left" w:pos="720"/>
          <w:tab w:val="left" w:pos="1440"/>
          <w:tab w:val="left" w:pos="6804"/>
          <w:tab w:val="left" w:pos="11482"/>
        </w:tabs>
        <w:ind w:firstLine="567"/>
        <w:jc w:val="both"/>
      </w:pPr>
      <w:r>
        <w:t>61</w:t>
      </w:r>
      <w:r>
        <w:t>. Kabelių jungtys ir galūnės turi būti parinktos ne mažesnėms kaip kabelių leistinosioms ilgalaikėms srovėms. Jų perkrovai keliami tokie pat reikalavimai kaip ir kabelių perkrovai veikimo po avarijos režimais.</w:t>
      </w:r>
    </w:p>
    <w:p>
      <w:pPr>
        <w:widowControl w:val="0"/>
        <w:numPr>
          <w:ilvl w:val="12"/>
          <w:numId w:val="0"/>
        </w:numPr>
        <w:tabs>
          <w:tab w:val="left" w:pos="-180"/>
          <w:tab w:val="left" w:pos="180"/>
          <w:tab w:val="left" w:pos="720"/>
          <w:tab w:val="left" w:pos="1440"/>
          <w:tab w:val="left" w:pos="6804"/>
          <w:tab w:val="left" w:pos="11482"/>
        </w:tabs>
        <w:ind w:firstLine="567"/>
        <w:jc w:val="both"/>
      </w:pPr>
      <w:r>
        <w:t>62</w:t>
      </w:r>
      <w:r>
        <w:t>. Esant vienfazei apkrovai, vienfazių dvilaidžių ir trilaidžių linijų, trifazių keturlaidžių ir penkialaidžių linijų nulinių (N) laidininkų skerspjūvis turi būti lygus fazinių laidų skerspjūviui.</w:t>
      </w:r>
    </w:p>
    <w:p>
      <w:pPr>
        <w:widowControl w:val="0"/>
        <w:numPr>
          <w:ilvl w:val="12"/>
          <w:numId w:val="0"/>
        </w:numPr>
        <w:tabs>
          <w:tab w:val="left" w:pos="-180"/>
          <w:tab w:val="left" w:pos="180"/>
          <w:tab w:val="left" w:pos="720"/>
          <w:tab w:val="left" w:pos="1440"/>
          <w:tab w:val="left" w:pos="6804"/>
          <w:tab w:val="left" w:pos="11482"/>
        </w:tabs>
        <w:ind w:firstLine="567"/>
        <w:jc w:val="both"/>
      </w:pPr>
      <w:r>
        <w:t>Esant trifazei simetrinei apkrovai, trifazių keturlaidžių ir penkialaidžių linijų nulinių (N) laidininkų skerspjūvis turi būti lygus fazinių laidininkų skerspjūviui, jei fazinių varinių laidininkų skerspjūvis yra iki 16 mm</w:t>
      </w:r>
      <w:r>
        <w:rPr>
          <w:vertAlign w:val="superscript"/>
        </w:rPr>
        <w:t>2</w:t>
      </w:r>
      <w:r>
        <w:t>, o aliumininių – iki 25 mm</w:t>
      </w:r>
      <w:r>
        <w:rPr>
          <w:vertAlign w:val="superscript"/>
        </w:rPr>
        <w:t>2</w:t>
      </w:r>
      <w:r>
        <w:t>. Jei skerspjūviai didesni, tai nulinių laidininkų skerspjūvis turi būti ne mažesnis kaip 50 proc. fazinių laidininkų skerspjūvio.</w:t>
      </w:r>
    </w:p>
    <w:p>
      <w:pPr>
        <w:widowControl w:val="0"/>
        <w:numPr>
          <w:ilvl w:val="12"/>
          <w:numId w:val="0"/>
        </w:numPr>
        <w:tabs>
          <w:tab w:val="left" w:pos="-180"/>
          <w:tab w:val="left" w:pos="180"/>
          <w:tab w:val="left" w:pos="720"/>
          <w:tab w:val="left" w:pos="1440"/>
          <w:tab w:val="left" w:pos="6804"/>
          <w:tab w:val="left" w:pos="11482"/>
        </w:tabs>
        <w:ind w:firstLine="567"/>
        <w:jc w:val="both"/>
        <w:rPr>
          <w:b/>
        </w:rPr>
      </w:pPr>
      <w:r>
        <w:t>Apsauginių nulinių (PEN) laidininkų skerspjūvis turi būti ne mažesnis kaip nulinių (N) laidininkų (Taisyklių 231 punktas).</w:t>
      </w:r>
    </w:p>
    <w:p>
      <w:pPr>
        <w:widowControl w:val="0"/>
        <w:numPr>
          <w:ilvl w:val="12"/>
          <w:numId w:val="0"/>
        </w:numPr>
        <w:tabs>
          <w:tab w:val="left" w:pos="-180"/>
          <w:tab w:val="left" w:pos="180"/>
          <w:tab w:val="left" w:pos="720"/>
          <w:tab w:val="left" w:pos="1440"/>
          <w:tab w:val="left" w:pos="11482"/>
        </w:tabs>
        <w:ind w:firstLine="567"/>
        <w:jc w:val="both"/>
      </w:pPr>
      <w:r>
        <w:t>63</w:t>
      </w:r>
      <w:r>
        <w:t>. Kabelių, izoliuotų ir neizoliuotų laidų, standžiųjų ir lanksčiųjų šynų faktinė leistinoji ilgalaikė srovė apskaičiuojama koreguojant lentelėse pateiktas srovių vertes priklausomai nuo faktinės vietos aplinkos temperatūros, lygiagrečiai nutiestų grandinių skaičiaus ir jų skerspjūvių ir juos supančios aplinkos šilumos laidumo. Leistinoji ilgalaikė srovė (I</w:t>
      </w:r>
      <w:r>
        <w:rPr>
          <w:vertAlign w:val="subscript"/>
        </w:rPr>
        <w:t>l</w:t>
      </w:r>
      <w:r>
        <w:t>) apskaičiuojama:</w:t>
      </w:r>
    </w:p>
    <w:p>
      <w:pPr>
        <w:widowControl w:val="0"/>
        <w:tabs>
          <w:tab w:val="left" w:pos="-180"/>
          <w:tab w:val="left" w:pos="0"/>
          <w:tab w:val="left" w:pos="1440"/>
          <w:tab w:val="left" w:pos="6804"/>
          <w:tab w:val="left" w:pos="11482"/>
        </w:tabs>
        <w:ind w:firstLine="567"/>
        <w:jc w:val="both"/>
      </w:pPr>
    </w:p>
    <w:p>
      <w:pPr>
        <w:widowControl w:val="0"/>
        <w:numPr>
          <w:ilvl w:val="12"/>
          <w:numId w:val="0"/>
        </w:numPr>
        <w:tabs>
          <w:tab w:val="left" w:pos="-180"/>
          <w:tab w:val="right" w:pos="9071"/>
        </w:tabs>
        <w:ind w:firstLine="709"/>
        <w:jc w:val="center"/>
      </w:pPr>
      <w:r>
        <w:t>I</w:t>
      </w:r>
      <w:r>
        <w:rPr>
          <w:vertAlign w:val="subscript"/>
        </w:rPr>
        <w:t>l</w:t>
      </w:r>
      <w:r>
        <w:t xml:space="preserve"> = k</w:t>
      </w:r>
      <w:r>
        <w:rPr>
          <w:vertAlign w:val="subscript"/>
        </w:rPr>
        <w:t>1</w:t>
      </w:r>
      <w:r>
        <w:t>*k</w:t>
      </w:r>
      <w:r>
        <w:rPr>
          <w:vertAlign w:val="subscript"/>
        </w:rPr>
        <w:t>2</w:t>
      </w:r>
      <w:r>
        <w:t>*k</w:t>
      </w:r>
      <w:r>
        <w:rPr>
          <w:vertAlign w:val="subscript"/>
        </w:rPr>
        <w:t>3</w:t>
      </w:r>
      <w:r>
        <w:t>*k</w:t>
      </w:r>
      <w:r>
        <w:rPr>
          <w:vertAlign w:val="subscript"/>
        </w:rPr>
        <w:t>4</w:t>
      </w:r>
      <w:r>
        <w:t>*I</w:t>
      </w:r>
      <w:r>
        <w:rPr>
          <w:vertAlign w:val="subscript"/>
        </w:rPr>
        <w:t>0</w:t>
      </w:r>
      <w:r>
        <w:t>;</w:t>
        <w:tab/>
        <w:t>(2)</w:t>
      </w:r>
    </w:p>
    <w:p>
      <w:pPr>
        <w:widowControl w:val="0"/>
        <w:tabs>
          <w:tab w:val="left" w:pos="-180"/>
          <w:tab w:val="left" w:pos="0"/>
          <w:tab w:val="left" w:pos="1440"/>
          <w:tab w:val="left" w:pos="6804"/>
          <w:tab w:val="left" w:pos="11482"/>
        </w:tabs>
        <w:ind w:firstLine="567"/>
        <w:jc w:val="both"/>
      </w:pPr>
    </w:p>
    <w:p>
      <w:pPr>
        <w:widowControl w:val="0"/>
        <w:numPr>
          <w:ilvl w:val="12"/>
          <w:numId w:val="0"/>
        </w:numPr>
        <w:tabs>
          <w:tab w:val="left" w:pos="-180"/>
          <w:tab w:val="left" w:pos="1134"/>
          <w:tab w:val="left" w:pos="1418"/>
          <w:tab w:val="left" w:pos="1701"/>
          <w:tab w:val="left" w:pos="11482"/>
        </w:tabs>
        <w:ind w:firstLine="567"/>
        <w:jc w:val="both"/>
      </w:pPr>
      <w:r>
        <w:t>čia: k</w:t>
      </w:r>
      <w:r>
        <w:rPr>
          <w:vertAlign w:val="subscript"/>
        </w:rPr>
        <w:t xml:space="preserve">1 </w:t>
      </w:r>
      <w:r>
        <w:t>– pataisos koeficientas, įvertinantis faktinę aplinkos temperatūrą;</w:t>
      </w:r>
    </w:p>
    <w:p>
      <w:pPr>
        <w:widowControl w:val="0"/>
        <w:tabs>
          <w:tab w:val="left" w:pos="-180"/>
          <w:tab w:val="left" w:pos="1134"/>
          <w:tab w:val="left" w:pos="1418"/>
          <w:tab w:val="left" w:pos="1701"/>
          <w:tab w:val="left" w:pos="6804"/>
          <w:tab w:val="left" w:pos="11482"/>
        </w:tabs>
        <w:ind w:firstLine="567"/>
        <w:jc w:val="both"/>
      </w:pPr>
      <w:r>
        <w:t>k</w:t>
      </w:r>
      <w:r>
        <w:rPr>
          <w:vertAlign w:val="subscript"/>
        </w:rPr>
        <w:t>2</w:t>
      </w:r>
      <w:r>
        <w:t xml:space="preserve"> – pataisos koeficientas, įvertinantis lygiagrečiai einančių grandžių skaičių ir atstumus tarp jų;</w:t>
      </w:r>
    </w:p>
    <w:p>
      <w:pPr>
        <w:widowControl w:val="0"/>
        <w:numPr>
          <w:ilvl w:val="12"/>
          <w:numId w:val="0"/>
        </w:numPr>
        <w:tabs>
          <w:tab w:val="left" w:pos="-180"/>
          <w:tab w:val="left" w:pos="1134"/>
          <w:tab w:val="left" w:pos="1418"/>
          <w:tab w:val="left" w:pos="1701"/>
          <w:tab w:val="left" w:pos="11482"/>
        </w:tabs>
        <w:ind w:firstLine="567"/>
        <w:jc w:val="both"/>
      </w:pPr>
      <w:r>
        <w:t>k</w:t>
      </w:r>
      <w:r>
        <w:rPr>
          <w:vertAlign w:val="subscript"/>
        </w:rPr>
        <w:t>3</w:t>
      </w:r>
      <w:r>
        <w:t xml:space="preserve"> – pataisos koeficientas, įvertinantis supančios aplinkos šilumos laidumą;</w:t>
      </w:r>
    </w:p>
    <w:p>
      <w:pPr>
        <w:widowControl w:val="0"/>
        <w:tabs>
          <w:tab w:val="left" w:pos="-180"/>
          <w:tab w:val="left" w:pos="1134"/>
          <w:tab w:val="left" w:pos="1418"/>
          <w:tab w:val="left" w:pos="1701"/>
          <w:tab w:val="left" w:pos="6804"/>
          <w:tab w:val="left" w:pos="11482"/>
        </w:tabs>
        <w:ind w:firstLine="567"/>
        <w:jc w:val="both"/>
      </w:pPr>
      <w:r>
        <w:t>k</w:t>
      </w:r>
      <w:r>
        <w:rPr>
          <w:vertAlign w:val="subscript"/>
        </w:rPr>
        <w:t>4</w:t>
      </w:r>
      <w:r>
        <w:t xml:space="preserve"> – pataisos koeficientas, įvertinantis lygiagrečiai nutiestų grandinių skirtingą įšilimą ir skerspjūvius;</w:t>
      </w:r>
    </w:p>
    <w:p>
      <w:pPr>
        <w:widowControl w:val="0"/>
        <w:tabs>
          <w:tab w:val="left" w:pos="-180"/>
          <w:tab w:val="left" w:pos="1134"/>
          <w:tab w:val="left" w:pos="1418"/>
          <w:tab w:val="left" w:pos="1701"/>
          <w:tab w:val="left" w:pos="6804"/>
          <w:tab w:val="left" w:pos="11482"/>
        </w:tabs>
        <w:ind w:firstLine="567"/>
        <w:jc w:val="both"/>
      </w:pPr>
      <w:r>
        <w:t>I</w:t>
      </w:r>
      <w:r>
        <w:rPr>
          <w:vertAlign w:val="subscript"/>
        </w:rPr>
        <w:t>0</w:t>
      </w:r>
      <w:r>
        <w:t xml:space="preserve"> – leistinoji ilgalaikė srovė, esant vienai viengyslių kabelių (laidų) grandžiai arba vienam daugiagysliam kabeliui, bazinei aplinkos temperatūrai ir baziniam supančios aplinkos šilumos laidumui.</w:t>
      </w:r>
    </w:p>
    <w:p>
      <w:pPr>
        <w:widowControl w:val="0"/>
        <w:tabs>
          <w:tab w:val="left" w:pos="-180"/>
          <w:tab w:val="left" w:pos="180"/>
          <w:tab w:val="left" w:pos="1440"/>
        </w:tabs>
        <w:ind w:firstLine="567"/>
        <w:jc w:val="both"/>
      </w:pPr>
      <w:r>
        <w:t>64</w:t>
      </w:r>
      <w:r>
        <w:t>. Nustatant kabelių, izoliuotų ir neizoliuotų laidų, standžių ir lanksčių šynų leistinąsias ilgalaikes sroves, esant kitokiai nei Taisyklių 1 priedo 4–11, 13–25 ir 27–29 lentelėse nurodytai oro ir žemės temperatūrai, pateiktos leistinosios ilgalaikės srovės turi būti koreguojamos dauginant jas iš Taisyklių 1 priedo 3 lentelėje nurodytų pataisos koeficientų.</w:t>
      </w:r>
    </w:p>
    <w:p>
      <w:pPr>
        <w:widowControl w:val="0"/>
        <w:ind w:firstLine="567"/>
        <w:jc w:val="both"/>
      </w:pPr>
      <w:r>
        <w:t>65</w:t>
      </w:r>
      <w:r>
        <w:t xml:space="preserve">. Kabelių ir izoliuotų laidininkų leistinosios ilgalaikės srovės apskaičiuojamos naudojantis </w:t>
      </w:r>
      <w:r>
        <w:rPr>
          <w:color w:val="000000"/>
        </w:rPr>
        <w:t>dokumente IEC 60287-1-1</w:t>
      </w:r>
      <w:r>
        <w:t xml:space="preserve"> „Electric cables – Calculation of the current rating – Part 1–1: Current rating equations (100 percent load factor) and calculation of losses – General standarte“ pateikta metodika.</w:t>
      </w:r>
    </w:p>
    <w:p>
      <w:pPr>
        <w:widowControl w:val="0"/>
        <w:tabs>
          <w:tab w:val="left" w:pos="11482"/>
        </w:tabs>
        <w:ind w:firstLine="567"/>
        <w:jc w:val="both"/>
        <w:rPr>
          <w:caps/>
        </w:rPr>
      </w:pPr>
    </w:p>
    <w:p>
      <w:pPr>
        <w:widowControl w:val="0"/>
        <w:tabs>
          <w:tab w:val="left" w:pos="11482"/>
        </w:tabs>
        <w:jc w:val="center"/>
        <w:rPr>
          <w:b/>
          <w:caps/>
        </w:rPr>
      </w:pPr>
      <w:r>
        <w:rPr>
          <w:b/>
          <w:caps/>
        </w:rPr>
        <w:t>TREČIASIS</w:t>
      </w:r>
      <w:r>
        <w:rPr>
          <w:b/>
          <w:caps/>
        </w:rPr>
        <w:t xml:space="preserve"> SKIRSNIS</w:t>
      </w:r>
    </w:p>
    <w:p>
      <w:pPr>
        <w:widowControl w:val="0"/>
        <w:tabs>
          <w:tab w:val="left" w:pos="11482"/>
        </w:tabs>
        <w:jc w:val="center"/>
        <w:rPr>
          <w:b/>
        </w:rPr>
      </w:pPr>
      <w:r>
        <w:rPr>
          <w:b/>
          <w:caps/>
        </w:rPr>
        <w:t xml:space="preserve">LAIDŲ IR KABELIŲ GUMINE IR PLASTIKINE IZOLIACIJA LEISTINOJI ILGALAIKĖ SROVĖ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80"/>
          <w:tab w:val="left" w:pos="1440"/>
          <w:tab w:val="left" w:pos="6804"/>
          <w:tab w:val="left" w:pos="11482"/>
        </w:tabs>
        <w:ind w:firstLine="567"/>
        <w:jc w:val="both"/>
      </w:pPr>
      <w:r>
        <w:t>66</w:t>
      </w:r>
      <w:r>
        <w:t>. Laidų</w:t>
      </w:r>
      <w:r>
        <w:rPr>
          <w:caps/>
        </w:rPr>
        <w:t xml:space="preserve"> </w:t>
      </w:r>
      <w:r>
        <w:t xml:space="preserve">guminės arba polivinilchloridinės izoliacijos ir kabelių guminės arba plastikinės izoliacijos švininiais, polivinilchloridiniais ir guminiais apvalkalais leistinoji ilgalaikė srovė, esant +65 </w:t>
      </w:r>
      <w:r>
        <w:rPr>
          <w:vertAlign w:val="superscript"/>
        </w:rPr>
        <w:t>o</w:t>
      </w:r>
      <w:r>
        <w:t xml:space="preserve">C gyslos įšilimo temperatūrai, +25 </w:t>
      </w:r>
      <w:r>
        <w:rPr>
          <w:vertAlign w:val="superscript"/>
        </w:rPr>
        <w:t>o</w:t>
      </w:r>
      <w:r>
        <w:t xml:space="preserve">C oro ir +15 </w:t>
      </w:r>
      <w:r>
        <w:rPr>
          <w:vertAlign w:val="superscript"/>
        </w:rPr>
        <w:t>o</w:t>
      </w:r>
      <w:r>
        <w:t>C žemės temperatūrai, nurodyta Taisyklių 1 priedo 4–11 lentelėse.</w:t>
      </w:r>
    </w:p>
    <w:p>
      <w:pPr>
        <w:widowControl w:val="0"/>
        <w:tabs>
          <w:tab w:val="left" w:pos="-180"/>
          <w:tab w:val="left" w:pos="180"/>
          <w:tab w:val="left" w:pos="1440"/>
          <w:tab w:val="left" w:pos="6804"/>
          <w:tab w:val="left" w:pos="11482"/>
        </w:tabs>
        <w:ind w:firstLine="567"/>
        <w:jc w:val="both"/>
      </w:pPr>
      <w:r>
        <w:t>Nustatant laidų, tiesiamų viename vamzdyje (arba daugiagyslio laidininko gyslų), kiekį,</w:t>
      </w:r>
      <w:r>
        <w:rPr>
          <w:caps/>
        </w:rPr>
        <w:t xml:space="preserve"> </w:t>
      </w:r>
      <w:r>
        <w:t>keturių arba penkių laidų trifazio elektros tinklo sistemose N ir PEN laidininkai neskaičiuojami.</w:t>
      </w:r>
    </w:p>
    <w:p>
      <w:pPr>
        <w:widowControl w:val="0"/>
        <w:tabs>
          <w:tab w:val="left" w:pos="-180"/>
          <w:tab w:val="left" w:pos="180"/>
          <w:tab w:val="left" w:pos="1440"/>
          <w:tab w:val="left" w:pos="6804"/>
          <w:tab w:val="left" w:pos="11482"/>
        </w:tabs>
        <w:ind w:firstLine="567"/>
        <w:jc w:val="both"/>
      </w:pPr>
      <w:r>
        <w:t>Laidų leistinoji ilgalaikė srovė, nurodyta Taisyklių 1 priedo 4 ir 5 lentelėse, taikoma nepriklausomai nuo vamzdžių skaičiaus ir vamzdžių paklojimo vietos (ore, perdangose, pamatuose).</w:t>
      </w:r>
    </w:p>
    <w:p>
      <w:pPr>
        <w:widowControl w:val="0"/>
        <w:tabs>
          <w:tab w:val="left" w:pos="-180"/>
          <w:tab w:val="left" w:pos="180"/>
          <w:tab w:val="left" w:pos="1440"/>
          <w:tab w:val="left" w:pos="6804"/>
          <w:tab w:val="left" w:pos="11482"/>
        </w:tabs>
        <w:ind w:firstLine="567"/>
        <w:jc w:val="both"/>
      </w:pPr>
      <w:r>
        <w:t>Laidų, pluoštais nutiestų loviuose, leistinoji ilgalaikė srovė nustatoma kaip atskirų laidų, nutiestų vamzdžiuose (Taisyklių 1 priedo 4 ir 5 lentelės), o pluoštais loviuose nutiestų kabelių – kaip ore nutiestų laidų (Taisyklių 1 priedo 6–8 lentelės).</w:t>
      </w:r>
    </w:p>
    <w:p>
      <w:pPr>
        <w:widowControl w:val="0"/>
        <w:tabs>
          <w:tab w:val="left" w:pos="-180"/>
          <w:tab w:val="left" w:pos="180"/>
          <w:tab w:val="left" w:pos="1440"/>
          <w:tab w:val="left" w:pos="6804"/>
          <w:tab w:val="left" w:pos="11482"/>
        </w:tabs>
        <w:ind w:firstLine="567"/>
        <w:jc w:val="both"/>
      </w:pPr>
      <w:r>
        <w:t>Jei vamzdžiuose arba loviuose pluoštais nutiesta daugiau kaip po 4 laidininkus, leistinoji ilgalaikė srovė nurodyta Taisyklių 1 priedo 4 ir 5 lentelėse – kaip ore nutiestų laidų; jei nutiesti 5–6 laidai – taikomas pataisos koeficientas 0,68; jei 7–9 – pataisos koeficientas 0,63; jei nutiesta 10–12 laidų – pataisos koeficientas 0,6. Antrinių grandinių laidams pataisos koeficientas netaikomas.</w:t>
      </w:r>
    </w:p>
    <w:p>
      <w:pPr>
        <w:widowControl w:val="0"/>
        <w:tabs>
          <w:tab w:val="left" w:pos="-180"/>
          <w:tab w:val="left" w:pos="180"/>
          <w:tab w:val="left" w:pos="1440"/>
        </w:tabs>
        <w:ind w:firstLine="567"/>
        <w:jc w:val="both"/>
      </w:pPr>
      <w:r>
        <w:t>67</w:t>
      </w:r>
      <w:r>
        <w:t>. Laidų, vienu sluoksniu (ne pluoštu) nutiestų loviuose, leistinoji ilgalaikė srovė skaičiuojama kaip ir ore nutiestų laidų. Loviuose nutiestų laidų ir kabelių leistinoji ilgalaikė srovė nurodyta Taisyklių 1 priedo 4–7 lentelėse – kaip pavienių ore nutiestų laidų ir kabelių, taikant Taisyklių 1 priedo 12 lentelėje nurodytą pataisos koeficientą. Parenkant pataisos koeficientą, į kontrolinius ir rezervinius laidus ir kabelius neatsižvelgiama.</w:t>
      </w:r>
    </w:p>
    <w:p>
      <w:pPr>
        <w:widowControl w:val="0"/>
        <w:tabs>
          <w:tab w:val="left" w:pos="11482"/>
        </w:tabs>
        <w:ind w:firstLine="567"/>
        <w:jc w:val="both"/>
      </w:pPr>
    </w:p>
    <w:p>
      <w:pPr>
        <w:widowControl w:val="0"/>
        <w:tabs>
          <w:tab w:val="left" w:pos="11482"/>
        </w:tabs>
        <w:jc w:val="center"/>
        <w:rPr>
          <w:b/>
        </w:rPr>
      </w:pPr>
      <w:r>
        <w:rPr>
          <w:b/>
        </w:rPr>
        <w:t>KETVIRTASIS</w:t>
      </w:r>
      <w:r>
        <w:rPr>
          <w:b/>
        </w:rPr>
        <w:t xml:space="preserve"> SKIRSNIS</w:t>
      </w:r>
    </w:p>
    <w:p>
      <w:pPr>
        <w:widowControl w:val="0"/>
        <w:tabs>
          <w:tab w:val="left" w:pos="11482"/>
        </w:tabs>
        <w:jc w:val="center"/>
        <w:rPr>
          <w:b/>
        </w:rPr>
      </w:pPr>
      <w:r>
        <w:rPr>
          <w:b/>
        </w:rPr>
        <w:t xml:space="preserve">KABELIŲ ĮMIRKYTA POPIERINE IZOLIACIJA LEISTINOJI ILGALAIKĖ SROVĖ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80"/>
          <w:tab w:val="left" w:pos="1440"/>
        </w:tabs>
        <w:ind w:firstLine="567"/>
        <w:jc w:val="both"/>
      </w:pPr>
      <w:r>
        <w:t>68</w:t>
      </w:r>
      <w:r>
        <w:t xml:space="preserve">. Iki 35 kV įtampos kabelių įmirkyta popierine izoliacija švininiame, aliumininiame arba polivinilchloridiniame apvalkale leistinoji ilgalaikė srovė nustatoma pagal leistinąją kabelių įšilimo temperatūrą: iki 3 kV įtampos kabelių leistinoji įšilimo temperatūra yra +80 </w:t>
      </w:r>
      <w:r>
        <w:rPr>
          <w:vertAlign w:val="superscript"/>
        </w:rPr>
        <w:t>o</w:t>
      </w:r>
      <w:r>
        <w:t>C</w:t>
      </w:r>
      <w:r>
        <w:rPr>
          <w:bCs/>
        </w:rPr>
        <w:t>,</w:t>
      </w:r>
      <w:r>
        <w:rPr>
          <w:b/>
        </w:rPr>
        <w:t xml:space="preserve"> </w:t>
      </w:r>
      <w:r>
        <w:t xml:space="preserve">6 kV kabelių – +65 </w:t>
      </w:r>
      <w:r>
        <w:rPr>
          <w:vertAlign w:val="superscript"/>
        </w:rPr>
        <w:t>o</w:t>
      </w:r>
      <w:r>
        <w:t xml:space="preserve">C, 10 kV kabelių – +60 </w:t>
      </w:r>
      <w:r>
        <w:rPr>
          <w:vertAlign w:val="superscript"/>
        </w:rPr>
        <w:t>o</w:t>
      </w:r>
      <w:r>
        <w:t xml:space="preserve">C ir 20 ir 35 kV kabelių – +50 </w:t>
      </w:r>
      <w:r>
        <w:rPr>
          <w:vertAlign w:val="superscript"/>
        </w:rPr>
        <w:t>o</w:t>
      </w:r>
      <w:r>
        <w:t>C.</w:t>
      </w:r>
    </w:p>
    <w:p>
      <w:pPr>
        <w:widowControl w:val="0"/>
        <w:tabs>
          <w:tab w:val="left" w:pos="-180"/>
          <w:tab w:val="left" w:pos="180"/>
          <w:tab w:val="left" w:pos="1440"/>
        </w:tabs>
        <w:ind w:firstLine="567"/>
        <w:jc w:val="both"/>
      </w:pPr>
      <w:r>
        <w:t>69</w:t>
      </w:r>
      <w:r>
        <w:t>. Žemėje paklotų kabelių leistinoji ilgalaikė srovė nurodyta Taisyklių 1 priedo 13, 16, 19–22 lentelėse. Ji taikoma kabeliams, paklotiems</w:t>
      </w:r>
      <w:r>
        <w:rPr>
          <w:color w:val="0000FF"/>
        </w:rPr>
        <w:t xml:space="preserve"> </w:t>
      </w:r>
      <w:r>
        <w:t xml:space="preserve">0,7–1,0 m gylio tranšėjoje, esant +15 </w:t>
      </w:r>
      <w:r>
        <w:rPr>
          <w:vertAlign w:val="superscript"/>
        </w:rPr>
        <w:t>o</w:t>
      </w:r>
      <w:r>
        <w:t>C žemės temperatūrai ir 1,2 K·m/W savitajai šiluminei žemės varžai. Esant kitokiai savitajai šiluminei žemės varžai, taikomi Taisyklių 1 priedo 23 lentelėje pateikti pataisos koeficientai.</w:t>
      </w:r>
    </w:p>
    <w:p>
      <w:pPr>
        <w:widowControl w:val="0"/>
        <w:numPr>
          <w:ilvl w:val="12"/>
          <w:numId w:val="0"/>
        </w:numPr>
        <w:tabs>
          <w:tab w:val="left" w:pos="-180"/>
          <w:tab w:val="left" w:pos="180"/>
          <w:tab w:val="left" w:pos="1440"/>
        </w:tabs>
        <w:ind w:firstLine="567"/>
        <w:jc w:val="both"/>
      </w:pPr>
      <w:r>
        <w:t>70</w:t>
      </w:r>
      <w:r>
        <w:t xml:space="preserve">. Vandenyje nutiestų kabelių leistinoji ilgalaikė srovė, esant +15 </w:t>
      </w:r>
      <w:r>
        <w:rPr>
          <w:vertAlign w:val="superscript"/>
        </w:rPr>
        <w:t>o</w:t>
      </w:r>
      <w:r>
        <w:t>C vandens temperatūrai, nurodyta Taisyklių</w:t>
      </w:r>
      <w:r>
        <w:rPr>
          <w:b/>
        </w:rPr>
        <w:t xml:space="preserve"> </w:t>
      </w:r>
      <w:r>
        <w:t>1 priedo 14, 17, 21 ir 22 lentelėse.</w:t>
      </w:r>
    </w:p>
    <w:p>
      <w:pPr>
        <w:widowControl w:val="0"/>
        <w:numPr>
          <w:ilvl w:val="12"/>
          <w:numId w:val="0"/>
        </w:numPr>
        <w:tabs>
          <w:tab w:val="left" w:pos="-180"/>
          <w:tab w:val="left" w:pos="180"/>
          <w:tab w:val="left" w:pos="1440"/>
          <w:tab w:val="left" w:pos="11482"/>
        </w:tabs>
        <w:ind w:firstLine="567"/>
        <w:jc w:val="both"/>
      </w:pPr>
      <w:r>
        <w:t>71</w:t>
      </w:r>
      <w:r>
        <w:t xml:space="preserve">. Ore, pastatų išorėje ir viduje nutiestų kabelių leistinoji ilgalaikė srovė, esant +25 </w:t>
      </w:r>
      <w:r>
        <w:rPr>
          <w:vertAlign w:val="superscript"/>
        </w:rPr>
        <w:t>o</w:t>
      </w:r>
      <w:r>
        <w:t>C oro temperatūrai, nurodyta Taisyklių</w:t>
      </w:r>
      <w:r>
        <w:rPr>
          <w:b/>
        </w:rPr>
        <w:t xml:space="preserve"> </w:t>
      </w:r>
      <w:r>
        <w:t>1 priedo 15, 18, 24 ir 25 lentelėse (nepriklausomai nuo kabelių skaičiaus).</w:t>
      </w:r>
    </w:p>
    <w:p>
      <w:pPr>
        <w:widowControl w:val="0"/>
        <w:tabs>
          <w:tab w:val="left" w:pos="-180"/>
          <w:tab w:val="left" w:pos="180"/>
          <w:tab w:val="left" w:pos="1440"/>
        </w:tabs>
        <w:ind w:firstLine="567"/>
        <w:jc w:val="both"/>
      </w:pPr>
      <w:r>
        <w:rPr>
          <w:caps/>
        </w:rPr>
        <w:t>72</w:t>
      </w:r>
      <w:r>
        <w:rPr>
          <w:caps/>
        </w:rPr>
        <w:t>. p</w:t>
      </w:r>
      <w:r>
        <w:t>avienių kabelių, paklotų</w:t>
      </w:r>
      <w:r>
        <w:rPr>
          <w:color w:val="0000FF"/>
        </w:rPr>
        <w:t xml:space="preserve"> </w:t>
      </w:r>
      <w:r>
        <w:t>žemėje vamzdžiuose, leistinoji ilgalaikė srovė nustatoma kaip kabelių, nutiestų ore (oro temperatūra šiuo atveju prilyginama žemės temperatūrai).</w:t>
      </w:r>
    </w:p>
    <w:p>
      <w:pPr>
        <w:widowControl w:val="0"/>
        <w:numPr>
          <w:ilvl w:val="12"/>
          <w:numId w:val="0"/>
        </w:numPr>
        <w:tabs>
          <w:tab w:val="left" w:pos="-180"/>
          <w:tab w:val="left" w:pos="180"/>
          <w:tab w:val="left" w:pos="1440"/>
        </w:tabs>
        <w:ind w:firstLine="567"/>
        <w:jc w:val="both"/>
      </w:pPr>
      <w:r>
        <w:t>73</w:t>
      </w:r>
      <w:r>
        <w:t>. Kai kabelių linijų trasos ruožuose aušinimo sąlygos nėra vienodos, leistinoji ilgalaikė srovė nustatoma pagal blogiausiomis aušinimo sąlygomis pasižymintį trasos ruožą, jei jis nėra trumpesnis kaip 10 m.</w:t>
      </w:r>
    </w:p>
    <w:p>
      <w:pPr>
        <w:widowControl w:val="0"/>
        <w:numPr>
          <w:ilvl w:val="12"/>
          <w:numId w:val="0"/>
        </w:numPr>
        <w:tabs>
          <w:tab w:val="left" w:pos="-180"/>
          <w:tab w:val="left" w:pos="180"/>
          <w:tab w:val="left" w:pos="1440"/>
        </w:tabs>
        <w:ind w:firstLine="567"/>
        <w:jc w:val="both"/>
      </w:pPr>
      <w:r>
        <w:t>74</w:t>
      </w:r>
      <w:r>
        <w:t>. Klojant žemėje keletą kabelių (įskaitant klojamus vamzdžiuose), leistinoji ilgalaikė srovė turi būti sumažinama pagal Taisyklių</w:t>
      </w:r>
      <w:r>
        <w:rPr>
          <w:b/>
        </w:rPr>
        <w:t xml:space="preserve"> </w:t>
      </w:r>
      <w:r>
        <w:t>1 priedo 26 lentelėje pateiktus pataisos koeficientus (į rezervinius kabelius neatsižvelgiama). Daugiagysliai kabeliai vienas nuo kito klojami</w:t>
      </w:r>
      <w:r>
        <w:rPr>
          <w:color w:val="0000FF"/>
        </w:rPr>
        <w:t xml:space="preserve"> </w:t>
      </w:r>
      <w:r>
        <w:t>ne mažesniu kaip 100 mm atstumu.</w:t>
      </w:r>
    </w:p>
    <w:p>
      <w:pPr>
        <w:widowControl w:val="0"/>
        <w:numPr>
          <w:ilvl w:val="12"/>
          <w:numId w:val="0"/>
        </w:numPr>
        <w:ind w:firstLine="567"/>
        <w:jc w:val="both"/>
        <w:rPr>
          <w:b/>
          <w:bCs/>
        </w:rPr>
      </w:pPr>
    </w:p>
    <w:p>
      <w:pPr>
        <w:widowControl w:val="0"/>
        <w:numPr>
          <w:ilvl w:val="12"/>
          <w:numId w:val="0"/>
        </w:numPr>
        <w:jc w:val="center"/>
        <w:rPr>
          <w:b/>
        </w:rPr>
      </w:pPr>
      <w:r>
        <w:rPr>
          <w:b/>
        </w:rPr>
        <w:t>PENKTASIS</w:t>
      </w:r>
      <w:r>
        <w:rPr>
          <w:b/>
        </w:rPr>
        <w:t xml:space="preserve"> SKIRSNIS</w:t>
      </w:r>
    </w:p>
    <w:p>
      <w:pPr>
        <w:widowControl w:val="0"/>
        <w:numPr>
          <w:ilvl w:val="12"/>
          <w:numId w:val="0"/>
        </w:numPr>
        <w:jc w:val="center"/>
        <w:rPr>
          <w:b/>
        </w:rPr>
      </w:pPr>
      <w:r>
        <w:rPr>
          <w:b/>
        </w:rPr>
        <w:t xml:space="preserve">ORO KABELIŲ IR ORO LINIJŲ IZOLIUOTŲ LAIDŲ LEISTINOJI ILGALAIKĖ SROVĖ IR ELEKTRINIAI PARAMETRAI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80"/>
          <w:tab w:val="left" w:pos="1440"/>
        </w:tabs>
        <w:ind w:firstLine="567"/>
        <w:jc w:val="both"/>
      </w:pPr>
      <w:r>
        <w:t>75</w:t>
      </w:r>
      <w:r>
        <w:t>. 0,6/1 kV įtampos oro kabelių ir 12 kV, 24 kV ir 36 kV įtampos oro kabelių leistinoji ilgalaikė apkrovos srovė ir elektriniai parametrai pateikiami Taisyklių</w:t>
      </w:r>
      <w:r>
        <w:rPr>
          <w:b/>
        </w:rPr>
        <w:t xml:space="preserve"> </w:t>
      </w:r>
      <w:r>
        <w:t>1 priedo 27–29 lentelėse.</w:t>
      </w:r>
    </w:p>
    <w:p>
      <w:pPr>
        <w:widowControl w:val="0"/>
        <w:tabs>
          <w:tab w:val="left" w:pos="-180"/>
          <w:tab w:val="left" w:pos="180"/>
          <w:tab w:val="left" w:pos="1440"/>
        </w:tabs>
        <w:ind w:firstLine="567"/>
        <w:jc w:val="both"/>
      </w:pPr>
      <w:r>
        <w:t>76</w:t>
      </w:r>
      <w:r>
        <w:t>. Aukštesnės kaip 1000 V įtampos oro linijų izoliuotų laidų leistinoji ilgalaikės apkrovos srovė ir elektriniai parametrai pateikiami Taisyklių</w:t>
      </w:r>
      <w:r>
        <w:rPr>
          <w:b/>
        </w:rPr>
        <w:t xml:space="preserve"> </w:t>
      </w:r>
      <w:r>
        <w:t>1 priedo 30 lentelėje.</w:t>
      </w:r>
    </w:p>
    <w:p>
      <w:pPr>
        <w:widowControl w:val="0"/>
        <w:ind w:firstLine="567"/>
        <w:jc w:val="both"/>
        <w:rPr>
          <w:b/>
        </w:rPr>
      </w:pPr>
    </w:p>
    <w:p>
      <w:pPr>
        <w:widowControl w:val="0"/>
        <w:jc w:val="center"/>
        <w:rPr>
          <w:b/>
        </w:rPr>
      </w:pPr>
      <w:r>
        <w:rPr>
          <w:b/>
        </w:rPr>
        <w:t>ŠEŠTASIS</w:t>
      </w:r>
      <w:r>
        <w:rPr>
          <w:b/>
        </w:rPr>
        <w:t xml:space="preserve"> SKIRSNIS</w:t>
      </w:r>
    </w:p>
    <w:p>
      <w:pPr>
        <w:widowControl w:val="0"/>
        <w:jc w:val="center"/>
        <w:rPr>
          <w:b/>
        </w:rPr>
      </w:pPr>
      <w:r>
        <w:rPr>
          <w:b/>
        </w:rPr>
        <w:t xml:space="preserve">IKI 1000 V ĮTAMPOS KINTAMOSIOS IR IKI 1500 V ĮTAMPOS NUOLATINĖS SROVĖS IZOLIUOTŲ LAIDŲ IR KABELIŲ LEISTINOJI ILGALAIKĖ SROVĖ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80"/>
          <w:tab w:val="left" w:pos="1440"/>
        </w:tabs>
        <w:ind w:firstLine="567"/>
        <w:jc w:val="both"/>
      </w:pPr>
      <w:r>
        <w:t>77</w:t>
      </w:r>
      <w:r>
        <w:t>. Izoliuotų laidininkų leistinoji ilgalaikė srovė turi būti tokia, kad jų gyslų (metalinio apvalkalo) įšilimo temperatūra normalaus ilgalaikio eksploatavimo sąlygomis neviršytų šių verčių:</w:t>
      </w:r>
    </w:p>
    <w:p>
      <w:pPr>
        <w:widowControl w:val="0"/>
        <w:tabs>
          <w:tab w:val="left" w:pos="-180"/>
          <w:tab w:val="left" w:pos="180"/>
          <w:tab w:val="left" w:pos="567"/>
          <w:tab w:val="left" w:pos="1440"/>
        </w:tabs>
        <w:ind w:firstLine="567"/>
        <w:jc w:val="both"/>
      </w:pPr>
      <w:r>
        <w:t>77.1</w:t>
      </w:r>
      <w:r>
        <w:t xml:space="preserve">. naudojant polivinilchloridinę ir etilpropileninę–guminę izoliaciją +70 </w:t>
      </w:r>
      <w:r>
        <w:rPr>
          <w:vertAlign w:val="superscript"/>
        </w:rPr>
        <w:t>o</w:t>
      </w:r>
      <w:r>
        <w:t>C (laidininko);</w:t>
      </w:r>
    </w:p>
    <w:p>
      <w:pPr>
        <w:widowControl w:val="0"/>
        <w:tabs>
          <w:tab w:val="left" w:pos="-180"/>
          <w:tab w:val="left" w:pos="180"/>
          <w:tab w:val="left" w:pos="567"/>
          <w:tab w:val="left" w:pos="1440"/>
        </w:tabs>
        <w:ind w:firstLine="567"/>
        <w:jc w:val="both"/>
      </w:pPr>
      <w:r>
        <w:t>77.2</w:t>
      </w:r>
      <w:r>
        <w:t>. naudojant polietileninę (toliau – PE) izoliaciją +70 oc (laidininko);</w:t>
      </w:r>
    </w:p>
    <w:p>
      <w:pPr>
        <w:widowControl w:val="0"/>
        <w:tabs>
          <w:tab w:val="left" w:pos="-180"/>
          <w:tab w:val="left" w:pos="0"/>
          <w:tab w:val="left" w:pos="567"/>
          <w:tab w:val="left" w:pos="1440"/>
        </w:tabs>
        <w:ind w:firstLine="567"/>
        <w:jc w:val="both"/>
      </w:pPr>
      <w:r>
        <w:t>77.3</w:t>
      </w:r>
      <w:r>
        <w:t xml:space="preserve">. naudojant neorganinę izoliaciją (polivinilchloridinė išorinė danga arba visai be dangos) +70 </w:t>
      </w:r>
      <w:r>
        <w:rPr>
          <w:vertAlign w:val="superscript"/>
        </w:rPr>
        <w:t>o</w:t>
      </w:r>
      <w:r>
        <w:t>C (apvalkalo);</w:t>
      </w:r>
    </w:p>
    <w:p>
      <w:pPr>
        <w:widowControl w:val="0"/>
        <w:ind w:firstLine="567"/>
        <w:jc w:val="both"/>
      </w:pPr>
      <w:r>
        <w:t>77.4</w:t>
      </w:r>
      <w:r>
        <w:t xml:space="preserve">. naudojant neorganinę izoliaciją (be išorinės dangos, turi būti tiesiamos tik ant ne žemesnės kaip A1, A2 degumo klasės statybos produktų (medžiagų) +105 </w:t>
      </w:r>
      <w:r>
        <w:rPr>
          <w:vertAlign w:val="superscript"/>
        </w:rPr>
        <w:t>o</w:t>
      </w:r>
      <w:r>
        <w:t xml:space="preserve">C (apvalkalo). </w:t>
      </w:r>
    </w:p>
    <w:p>
      <w:pPr>
        <w:widowControl w:val="0"/>
        <w:ind w:firstLine="567"/>
        <w:jc w:val="both"/>
      </w:pPr>
      <w:r>
        <w:t xml:space="preserve">Tuo atveju, kai laidininko temperatūra viršija +70 </w:t>
      </w:r>
      <w:r>
        <w:rPr>
          <w:vertAlign w:val="superscript"/>
        </w:rPr>
        <w:t>o</w:t>
      </w:r>
      <w:r>
        <w:t>C, turi būti patikrinta įrenginio prijungimo, esant tokiai temperatūrai, laidininko galimybė;</w:t>
      </w:r>
    </w:p>
    <w:p>
      <w:pPr>
        <w:widowControl w:val="0"/>
        <w:tabs>
          <w:tab w:val="left" w:pos="-180"/>
          <w:tab w:val="left" w:pos="0"/>
          <w:tab w:val="left" w:pos="1440"/>
        </w:tabs>
        <w:ind w:firstLine="567"/>
        <w:jc w:val="both"/>
      </w:pPr>
      <w:r>
        <w:t>77.5</w:t>
      </w:r>
      <w:r>
        <w:t>. įšilimo temperatūros nurodomos pagal šiuos Lietuvos standartus:</w:t>
      </w:r>
    </w:p>
    <w:p>
      <w:pPr>
        <w:widowControl w:val="0"/>
        <w:tabs>
          <w:tab w:val="left" w:pos="-180"/>
          <w:tab w:val="left" w:pos="0"/>
          <w:tab w:val="left" w:pos="1440"/>
        </w:tabs>
        <w:ind w:firstLine="567"/>
        <w:jc w:val="both"/>
      </w:pPr>
      <w:r>
        <w:t>77.5.1</w:t>
      </w:r>
      <w:r>
        <w:t>. Lietuvos standartą LST EN 60702-1:2003 „Ne didesnės kaip 750 V vardinės įtampos kabeliai su mineraline izoliacija ir jų galų paruošimas. 1 dalis. Kabeliai (IEC 60702-1:2002)“;</w:t>
      </w:r>
    </w:p>
    <w:p>
      <w:pPr>
        <w:widowControl w:val="0"/>
        <w:tabs>
          <w:tab w:val="left" w:pos="-180"/>
          <w:tab w:val="left" w:pos="0"/>
          <w:tab w:val="left" w:pos="1440"/>
        </w:tabs>
        <w:ind w:firstLine="567"/>
        <w:jc w:val="both"/>
      </w:pPr>
      <w:r>
        <w:t>77.5.2</w:t>
      </w:r>
      <w:r>
        <w:t>. Lietuvos standartą LST EN 60702-2:2003 „Ne didesnės kaip 750 V vardinės įtampos kabeliai su mineraline izoliacija ir jų galų paruošimas. 2 dalis. Galų paruošimas (IEC 60702-2:2002)“.</w:t>
      </w:r>
    </w:p>
    <w:p>
      <w:pPr>
        <w:widowControl w:val="0"/>
        <w:tabs>
          <w:tab w:val="left" w:pos="-180"/>
          <w:tab w:val="left" w:pos="0"/>
          <w:tab w:val="left" w:pos="1440"/>
        </w:tabs>
        <w:ind w:firstLine="567"/>
        <w:jc w:val="both"/>
      </w:pPr>
      <w:r>
        <w:t>78</w:t>
      </w:r>
      <w:r>
        <w:t>. Taisyklių 2 priedo 1 lentelėje pateikiama izoliuotų laidų ir kabelių instaliacijos būdų klasifikacija, jų sutartinis žymuo ir nuorodos, kuriose lentelėse ir kur tose jų grafose nurodyta leistinoji ilgalaikė šių instaliacijos būdų srovė. Taisyklių 2 priedo 2 lentelėje pateikiamas instaliacijos būdų sąrašas, jų charakteristika ir nuorodos, kurioms pagrindinių instaliacijos būdų grupėms, pateiktoms Taisyklių</w:t>
      </w:r>
      <w:r>
        <w:rPr>
          <w:b/>
        </w:rPr>
        <w:t xml:space="preserve"> </w:t>
      </w:r>
      <w:r>
        <w:t xml:space="preserve">2 priedo 1 lentelėje, jie priskiriami. </w:t>
      </w:r>
    </w:p>
    <w:p>
      <w:pPr>
        <w:widowControl w:val="0"/>
        <w:tabs>
          <w:tab w:val="left" w:pos="-180"/>
          <w:tab w:val="left" w:pos="0"/>
          <w:tab w:val="left" w:pos="1440"/>
        </w:tabs>
        <w:ind w:firstLine="567"/>
        <w:jc w:val="both"/>
      </w:pPr>
      <w:r>
        <w:t>Instaliacijos būdų klasifikacija ir žymėjimas parengti pagal Lietuvos standartą LST HD 384.5.523 S2:2003 „</w:t>
      </w:r>
      <w:r>
        <w:rPr>
          <w:color w:val="141437"/>
        </w:rPr>
        <w:t>Elektriniai pastatų įrenginiai. 5 dalis. Elektrinių įrenginių parinkimas ir įrengimas. 523 podalis. Kabelių ir laidų sistemų srovinės apkrovos geba (IEC 60364-5- 523:1999, modifikuotas)“</w:t>
      </w:r>
      <w:r>
        <w:t>.</w:t>
      </w:r>
    </w:p>
    <w:p>
      <w:pPr>
        <w:widowControl w:val="0"/>
        <w:tabs>
          <w:tab w:val="left" w:pos="-180"/>
          <w:tab w:val="left" w:pos="0"/>
          <w:tab w:val="left" w:pos="1440"/>
        </w:tabs>
        <w:ind w:firstLine="567"/>
        <w:jc w:val="both"/>
      </w:pPr>
      <w:r>
        <w:t>79</w:t>
      </w:r>
      <w:r>
        <w:t>. Izoliuotų laidų ir daugiagyslių ir viengyslių kabelių varinėmis ir aliumininėmis gyslomis ore, daugiagyslių ir viengyslių kabelių žemėje arba žemėje vamzdžiuose, dviejų ir trijų apkrautų gyslų polivinilchloridine (toliau – PVC) ir vulkanizuoto polietileno/etileno propileno gumine (toliau – XLPE/EPR) izoliacija, esant vienai viengyslių kabelių arba izoliuotų laidų grandžiai ar vienam daugiagysliam kabeliui, leistinoji ilgalaikė srovė nurodoma Taisyklių</w:t>
      </w:r>
      <w:r>
        <w:rPr>
          <w:b/>
        </w:rPr>
        <w:t xml:space="preserve"> </w:t>
      </w:r>
      <w:r>
        <w:t xml:space="preserve">2 priedo 3 ir 4 lentelėse. Ji nurodoma A1, A2, B1, B2, C ir D instaliacijos būdams, esant +30 </w:t>
      </w:r>
      <w:r>
        <w:rPr>
          <w:vertAlign w:val="superscript"/>
        </w:rPr>
        <w:t>o</w:t>
      </w:r>
      <w:r>
        <w:t xml:space="preserve">C oro, +20 </w:t>
      </w:r>
      <w:r>
        <w:rPr>
          <w:vertAlign w:val="superscript"/>
        </w:rPr>
        <w:t>o</w:t>
      </w:r>
      <w:r>
        <w:t>C žemės temperatūrai ir 2,5 K·m/W žemės savitajai šiluminei varžai.</w:t>
      </w:r>
    </w:p>
    <w:p>
      <w:pPr>
        <w:widowControl w:val="0"/>
        <w:tabs>
          <w:tab w:val="left" w:pos="-180"/>
          <w:tab w:val="left" w:pos="0"/>
          <w:tab w:val="left" w:pos="1440"/>
        </w:tabs>
        <w:ind w:firstLine="567"/>
        <w:jc w:val="both"/>
      </w:pPr>
      <w:r>
        <w:t>80</w:t>
      </w:r>
      <w:r>
        <w:t xml:space="preserve">. Daugiagyslių ir viengyslių kabelių variniu apvalkalu ir varinėmis neorganine izoliacija izoliuotomis gyslomis, išorine PVC danga ar be jos leistinoji ilgalaikė srovė, esant vienai viengyslių kabelių grandžiai arba vienam daugiagysliam kabeliui, kai apvalkalo įšilimo temperatūra +70 </w:t>
      </w:r>
      <w:r>
        <w:rPr>
          <w:vertAlign w:val="superscript"/>
        </w:rPr>
        <w:t>o</w:t>
      </w:r>
      <w:r>
        <w:t xml:space="preserve">C ir +105 </w:t>
      </w:r>
      <w:r>
        <w:rPr>
          <w:vertAlign w:val="superscript"/>
        </w:rPr>
        <w:t>o</w:t>
      </w:r>
      <w:r>
        <w:t>C, pateikiama Taisyklių</w:t>
      </w:r>
      <w:r>
        <w:rPr>
          <w:b/>
        </w:rPr>
        <w:t xml:space="preserve"> </w:t>
      </w:r>
      <w:r>
        <w:t xml:space="preserve">2 priedo 5 lentelėje. Vertikalioje ir horizontalioje plokštumoje be tarpų ir dobilo lapo forma išdėstytų viengyslių kabelių srovės skaičiuojamos pagal C instaliacijos būdą, esant +30 </w:t>
      </w:r>
      <w:r>
        <w:rPr>
          <w:vertAlign w:val="superscript"/>
        </w:rPr>
        <w:t>o</w:t>
      </w:r>
      <w:r>
        <w:t>C oro temperatūrai.</w:t>
      </w:r>
    </w:p>
    <w:p>
      <w:pPr>
        <w:widowControl w:val="0"/>
        <w:tabs>
          <w:tab w:val="left" w:pos="-180"/>
          <w:tab w:val="left" w:pos="0"/>
          <w:tab w:val="left" w:pos="1440"/>
        </w:tabs>
        <w:ind w:firstLine="567"/>
        <w:jc w:val="both"/>
      </w:pPr>
      <w:r>
        <w:t>81</w:t>
      </w:r>
      <w:r>
        <w:t xml:space="preserve">. Daugiagyslių ir viengyslių kabelių variniu apvalkalu ir varinėmis neorganine izoliacija izoliuotomis gyslomis, išorine PVC danga ar be jos leistinoji ilgalaikė srovė, esant vienai viengyslių kabelių ar izoliuotų laidų grandžiai arba vienam daugiagysliam kabeliui, kai apvalkalo įšilimo temperatūra +70 </w:t>
      </w:r>
      <w:r>
        <w:rPr>
          <w:vertAlign w:val="superscript"/>
        </w:rPr>
        <w:t>o</w:t>
      </w:r>
      <w:r>
        <w:t xml:space="preserve">C ir +105 </w:t>
      </w:r>
      <w:r>
        <w:rPr>
          <w:vertAlign w:val="superscript"/>
        </w:rPr>
        <w:t>o</w:t>
      </w:r>
      <w:r>
        <w:t>C, pateikiama Taisyklių</w:t>
      </w:r>
      <w:r>
        <w:rPr>
          <w:b/>
        </w:rPr>
        <w:t xml:space="preserve"> </w:t>
      </w:r>
      <w:r>
        <w:t xml:space="preserve">2 priedo 6 lentelėje. Pateikiamos srovės nustatytos vertikalioje ir horizontalioje be tarpų ir su tarpais ir dobilo lapo forma išdėstytų viengyslių kabelių ir vieno daugiagyslio kabelio E, F ir G instaliacijos būdams, esant +30 </w:t>
      </w:r>
      <w:r>
        <w:rPr>
          <w:vertAlign w:val="superscript"/>
        </w:rPr>
        <w:t>o</w:t>
      </w:r>
      <w:r>
        <w:t>C oro temperatūrai.</w:t>
      </w:r>
    </w:p>
    <w:p>
      <w:pPr>
        <w:widowControl w:val="0"/>
        <w:tabs>
          <w:tab w:val="left" w:pos="-180"/>
          <w:tab w:val="left" w:pos="0"/>
          <w:tab w:val="left" w:pos="1440"/>
        </w:tabs>
        <w:ind w:firstLine="567"/>
        <w:jc w:val="both"/>
      </w:pPr>
      <w:r>
        <w:t>82</w:t>
      </w:r>
      <w:r>
        <w:t>. Daugiagyslių ir viengyslių kabelių varinėmis ir aliumininėmis PVC izoliacija izoliuotomis gyslomis leistinoji ilgalaikė srovė, esant vienai viengyslių kabelių ar izoliuotų laidų grandžiai arba vienam daugiagysliam kabeliui, pateikiama Taisyklių</w:t>
      </w:r>
      <w:r>
        <w:rPr>
          <w:b/>
        </w:rPr>
        <w:t xml:space="preserve"> </w:t>
      </w:r>
      <w:r>
        <w:t xml:space="preserve">2 priedo 7 lentelėje. Pateikta srovė nustatyta vertikalioje ir horizontalioje plokštumoje be tarpų ir su tarpais ir dobilo lapo forma išdėstytų viengyslių kabelių ir vieno daugiagyslio kabelio E, F ir G instaliacijos būdams, esant +30 </w:t>
      </w:r>
      <w:r>
        <w:rPr>
          <w:vertAlign w:val="superscript"/>
        </w:rPr>
        <w:t>o</w:t>
      </w:r>
      <w:r>
        <w:t>C oro temperatūrai.</w:t>
      </w:r>
    </w:p>
    <w:p>
      <w:pPr>
        <w:widowControl w:val="0"/>
        <w:tabs>
          <w:tab w:val="left" w:pos="-180"/>
          <w:tab w:val="left" w:pos="0"/>
          <w:tab w:val="left" w:pos="1440"/>
        </w:tabs>
        <w:ind w:firstLine="567"/>
        <w:jc w:val="both"/>
      </w:pPr>
      <w:r>
        <w:t>83</w:t>
      </w:r>
      <w:r>
        <w:t xml:space="preserve">. Daugiagyslių ir viengyslių kabelių varinėmis ir aliumininėmis XLPE/EPR izoliacija izoliuotomis gyslomis leistinoji ilgalaikė srovė, esant vienai viengyslių kabelių arba izoliuotų laidų grandžiai ar vienam daugiagysliam kabeliui, pateikiama Taisyklių 2 priedo 8 lentelėje. Srovė nustatyta vertikalioje ir horizontalioje plokštumoje be tarpų ir su tarpais ir dobilo lapo forma išdėstytų viengyslių kabelių ir vieno daugiagyslio kabelio E, F ir G instaliacijos būdams, esant +30 </w:t>
      </w:r>
      <w:r>
        <w:rPr>
          <w:vertAlign w:val="superscript"/>
        </w:rPr>
        <w:t>o</w:t>
      </w:r>
      <w:r>
        <w:t>C oro temperatūrai.</w:t>
      </w:r>
    </w:p>
    <w:p>
      <w:pPr>
        <w:widowControl w:val="0"/>
        <w:tabs>
          <w:tab w:val="left" w:pos="-180"/>
          <w:tab w:val="left" w:pos="0"/>
          <w:tab w:val="left" w:pos="1440"/>
        </w:tabs>
        <w:ind w:firstLine="567"/>
        <w:jc w:val="both"/>
      </w:pPr>
      <w:r>
        <w:t>84</w:t>
      </w:r>
      <w:r>
        <w:t xml:space="preserve">. Kabelių PVC, XLPE, EPR ir neorganine izoliacija, tiesiamų ore, leistinosios ilgalaikės srovės pataisos koeficientai, esant kitokiai nei +30 </w:t>
      </w:r>
      <w:r>
        <w:rPr>
          <w:vertAlign w:val="superscript"/>
        </w:rPr>
        <w:t>o</w:t>
      </w:r>
      <w:r>
        <w:t xml:space="preserve">C oro temperatūrai, žemėje arba žemėje vamzdžiuose tiesiamų kabelių leistinosios ilgalaikės srovės pataisos koeficientai, esant kitokiai nei +20 </w:t>
      </w:r>
      <w:r>
        <w:rPr>
          <w:vertAlign w:val="superscript"/>
        </w:rPr>
        <w:t>o</w:t>
      </w:r>
      <w:r>
        <w:t>C žemės temperatūrai, pateikiami Taisyklių</w:t>
      </w:r>
      <w:r>
        <w:rPr>
          <w:b/>
        </w:rPr>
        <w:t xml:space="preserve"> </w:t>
      </w:r>
      <w:r>
        <w:t>2 priedo 9 ir 10 lentelėse.</w:t>
      </w:r>
    </w:p>
    <w:p>
      <w:pPr>
        <w:widowControl w:val="0"/>
        <w:tabs>
          <w:tab w:val="left" w:pos="-180"/>
          <w:tab w:val="left" w:pos="0"/>
          <w:tab w:val="left" w:pos="1440"/>
        </w:tabs>
        <w:ind w:firstLine="567"/>
        <w:jc w:val="both"/>
      </w:pPr>
      <w:r>
        <w:t>85</w:t>
      </w:r>
      <w:r>
        <w:t>. Kabelių PVC, XLPE ir EPR izoliacija, klojamų žemėje (žemėje vamzdžiuose), 0,8 m ir didesniame gylyje, leistinosios ilgalaikės srovės pataisos koeficientai, esant kitokiai nei 2,5 K·m/W žemės savitajai šiluminei varžai, pateikiami Taisyklių</w:t>
      </w:r>
      <w:r>
        <w:rPr>
          <w:b/>
        </w:rPr>
        <w:t xml:space="preserve"> </w:t>
      </w:r>
      <w:r>
        <w:t>2 priedo 11 lentelėje.</w:t>
      </w:r>
    </w:p>
    <w:p>
      <w:pPr>
        <w:widowControl w:val="0"/>
        <w:tabs>
          <w:tab w:val="left" w:pos="-180"/>
          <w:tab w:val="left" w:pos="0"/>
          <w:tab w:val="left" w:pos="1440"/>
        </w:tabs>
        <w:ind w:firstLine="567"/>
        <w:jc w:val="both"/>
      </w:pPr>
      <w:r>
        <w:t>86</w:t>
      </w:r>
      <w:r>
        <w:t xml:space="preserve">. Ore tiesiamų kabelių leistinosios ilgalaikės srovės pataisos koeficientai, esant daugiau kaip vienai grandžiai viengyslių kabelių arba vienam daugiagysliam kabeliui grupėje ir kitokiai nei +30 </w:t>
      </w:r>
      <w:r>
        <w:rPr>
          <w:vertAlign w:val="superscript"/>
        </w:rPr>
        <w:t>o</w:t>
      </w:r>
      <w:r>
        <w:t>C oro temperatūrai, pateikiami Taisyklių</w:t>
      </w:r>
      <w:r>
        <w:rPr>
          <w:b/>
        </w:rPr>
        <w:t xml:space="preserve"> </w:t>
      </w:r>
      <w:r>
        <w:t>2 priedo 12</w:t>
      </w:r>
      <w:r>
        <w:rPr>
          <w:b/>
        </w:rPr>
        <w:t>–</w:t>
      </w:r>
      <w:r>
        <w:t>16 lentelėse.</w:t>
      </w:r>
    </w:p>
    <w:p>
      <w:pPr>
        <w:widowControl w:val="0"/>
        <w:tabs>
          <w:tab w:val="left" w:pos="-180"/>
          <w:tab w:val="left" w:pos="0"/>
          <w:tab w:val="left" w:pos="1440"/>
        </w:tabs>
        <w:ind w:firstLine="567"/>
        <w:jc w:val="both"/>
      </w:pPr>
      <w:r>
        <w:t>87</w:t>
      </w:r>
      <w:r>
        <w:t>. Taisyklių</w:t>
      </w:r>
      <w:r>
        <w:rPr>
          <w:b/>
        </w:rPr>
        <w:t xml:space="preserve"> </w:t>
      </w:r>
      <w:r>
        <w:t>1 ir 2 priedo lentelėse pateikiama leistinoji ilgalaikė srovė netaikoma šarvuotiems kabeliams.</w:t>
      </w:r>
    </w:p>
    <w:p>
      <w:pPr>
        <w:widowControl w:val="0"/>
        <w:tabs>
          <w:tab w:val="left" w:pos="0"/>
        </w:tabs>
        <w:ind w:firstLine="567"/>
        <w:jc w:val="both"/>
      </w:pPr>
    </w:p>
    <w:p>
      <w:pPr>
        <w:widowControl w:val="0"/>
        <w:numPr>
          <w:ilvl w:val="12"/>
          <w:numId w:val="0"/>
        </w:numPr>
        <w:tabs>
          <w:tab w:val="left" w:pos="11482"/>
        </w:tabs>
        <w:jc w:val="center"/>
        <w:rPr>
          <w:b/>
        </w:rPr>
      </w:pPr>
      <w:r>
        <w:rPr>
          <w:b/>
        </w:rPr>
        <w:t>SEPTINTASIS</w:t>
      </w:r>
      <w:r>
        <w:rPr>
          <w:b/>
        </w:rPr>
        <w:t xml:space="preserve"> SKIRSNIS</w:t>
      </w:r>
    </w:p>
    <w:p>
      <w:pPr>
        <w:widowControl w:val="0"/>
        <w:numPr>
          <w:ilvl w:val="12"/>
          <w:numId w:val="0"/>
        </w:numPr>
        <w:tabs>
          <w:tab w:val="left" w:pos="11482"/>
        </w:tabs>
        <w:jc w:val="center"/>
        <w:rPr>
          <w:b/>
        </w:rPr>
      </w:pPr>
      <w:r>
        <w:rPr>
          <w:b/>
        </w:rPr>
        <w:t xml:space="preserve">NEIZOLIUOTŲ LAIDŲ IR ŠYNŲ LEISTINOJI ILGALAIKĖ SROVĖ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numPr>
          <w:ilvl w:val="12"/>
          <w:numId w:val="0"/>
        </w:numPr>
        <w:tabs>
          <w:tab w:val="left" w:pos="-180"/>
          <w:tab w:val="left" w:pos="0"/>
          <w:tab w:val="left" w:pos="1440"/>
          <w:tab w:val="left" w:pos="6804"/>
          <w:tab w:val="left" w:pos="11482"/>
        </w:tabs>
        <w:ind w:firstLine="567"/>
        <w:jc w:val="both"/>
      </w:pPr>
      <w:r>
        <w:t>88</w:t>
      </w:r>
      <w:r>
        <w:t>. Neizoliuotų šynų ilgalaikė įšilimo temperatūra turi neviršyti:</w:t>
      </w:r>
    </w:p>
    <w:p>
      <w:pPr>
        <w:widowControl w:val="0"/>
        <w:numPr>
          <w:ilvl w:val="12"/>
          <w:numId w:val="0"/>
        </w:numPr>
        <w:tabs>
          <w:tab w:val="left" w:pos="-180"/>
          <w:tab w:val="left" w:pos="0"/>
          <w:tab w:val="left" w:pos="567"/>
          <w:tab w:val="left" w:pos="1440"/>
          <w:tab w:val="left" w:pos="11482"/>
        </w:tabs>
        <w:ind w:firstLine="567"/>
        <w:jc w:val="both"/>
      </w:pPr>
      <w:r>
        <w:t>88.1</w:t>
      </w:r>
      <w:r>
        <w:t xml:space="preserve">. suvirintų varinių ir aliumininių +100 </w:t>
      </w:r>
      <w:r>
        <w:rPr>
          <w:vertAlign w:val="superscript"/>
        </w:rPr>
        <w:t>o</w:t>
      </w:r>
      <w:r>
        <w:t>C;</w:t>
      </w:r>
    </w:p>
    <w:p>
      <w:pPr>
        <w:widowControl w:val="0"/>
        <w:numPr>
          <w:ilvl w:val="12"/>
          <w:numId w:val="0"/>
        </w:numPr>
        <w:tabs>
          <w:tab w:val="left" w:pos="-180"/>
          <w:tab w:val="left" w:pos="0"/>
          <w:tab w:val="left" w:pos="567"/>
          <w:tab w:val="left" w:pos="1440"/>
          <w:tab w:val="left" w:pos="11482"/>
        </w:tabs>
        <w:ind w:firstLine="567"/>
        <w:jc w:val="both"/>
      </w:pPr>
      <w:r>
        <w:t>88.2</w:t>
      </w:r>
      <w:r>
        <w:t xml:space="preserve">. sujungtų varžtais arba presuotų varinių +85 </w:t>
      </w:r>
      <w:r>
        <w:rPr>
          <w:vertAlign w:val="superscript"/>
        </w:rPr>
        <w:t>o</w:t>
      </w:r>
      <w:r>
        <w:t>C;</w:t>
      </w:r>
    </w:p>
    <w:p>
      <w:pPr>
        <w:widowControl w:val="0"/>
        <w:numPr>
          <w:ilvl w:val="12"/>
          <w:numId w:val="0"/>
        </w:numPr>
        <w:tabs>
          <w:tab w:val="left" w:pos="-180"/>
          <w:tab w:val="left" w:pos="0"/>
          <w:tab w:val="left" w:pos="567"/>
          <w:tab w:val="left" w:pos="1440"/>
          <w:tab w:val="left" w:pos="11482"/>
        </w:tabs>
        <w:ind w:firstLine="567"/>
        <w:jc w:val="both"/>
      </w:pPr>
      <w:r>
        <w:t>88.3</w:t>
      </w:r>
      <w:r>
        <w:t xml:space="preserve">. sujungtų varžtais arba presuotų aliumininių +70 </w:t>
      </w:r>
      <w:r>
        <w:rPr>
          <w:vertAlign w:val="superscript"/>
        </w:rPr>
        <w:t>o</w:t>
      </w:r>
      <w:r>
        <w:t>C.</w:t>
      </w:r>
    </w:p>
    <w:p>
      <w:pPr>
        <w:widowControl w:val="0"/>
        <w:numPr>
          <w:ilvl w:val="12"/>
          <w:numId w:val="0"/>
        </w:numPr>
        <w:tabs>
          <w:tab w:val="left" w:pos="-180"/>
          <w:tab w:val="left" w:pos="0"/>
          <w:tab w:val="left" w:pos="567"/>
          <w:tab w:val="left" w:pos="1440"/>
          <w:tab w:val="left" w:pos="11482"/>
        </w:tabs>
        <w:ind w:firstLine="567"/>
        <w:jc w:val="both"/>
      </w:pPr>
      <w:r>
        <w:t xml:space="preserve">Neizoliuotų plieninių aliumininių, varinių ir aliumininių laidų ilgalaikė įšilimo temperatūra lauke turi neviršyti +80 </w:t>
      </w:r>
      <w:r>
        <w:rPr>
          <w:vertAlign w:val="superscript"/>
        </w:rPr>
        <w:t>o</w:t>
      </w:r>
      <w:r>
        <w:t>C.</w:t>
      </w:r>
    </w:p>
    <w:p>
      <w:pPr>
        <w:widowControl w:val="0"/>
        <w:tabs>
          <w:tab w:val="left" w:pos="-180"/>
          <w:tab w:val="left" w:pos="0"/>
          <w:tab w:val="left" w:pos="1440"/>
        </w:tabs>
        <w:ind w:firstLine="567"/>
        <w:jc w:val="both"/>
      </w:pPr>
      <w:r>
        <w:t>89</w:t>
      </w:r>
      <w:r>
        <w:t xml:space="preserve">. Neizoliuotų laidų ir dažytų šynų leistinoji ilgalaikė srovė nurodyta Taisyklių 2 priedo 17–26 lentelėse, kai leistinoji jų įšilimo temperatūra +70 </w:t>
      </w:r>
      <w:r>
        <w:rPr>
          <w:vertAlign w:val="superscript"/>
        </w:rPr>
        <w:t>o</w:t>
      </w:r>
      <w:r>
        <w:t xml:space="preserve">C ir oro temperatūra +25 </w:t>
      </w:r>
      <w:r>
        <w:rPr>
          <w:vertAlign w:val="superscript"/>
        </w:rPr>
        <w:t>o</w:t>
      </w:r>
      <w:r>
        <w:t>C. Išdėstant stačiakampio skerspjūvio šynas plokščiuoju šonu, Taisyklių 2 priedo 21 ir 22 lentelėse nurodyta srovė šynoms, kurių juostos plotis iki 60 mm, turi būti sumažinta 5 proc., o šynoms, kurių juostos platesnės kaip 60 mm – 8 proc.</w:t>
      </w:r>
    </w:p>
    <w:p>
      <w:pPr>
        <w:widowControl w:val="0"/>
        <w:tabs>
          <w:tab w:val="left" w:pos="-180"/>
          <w:tab w:val="left" w:pos="0"/>
          <w:tab w:val="left" w:pos="1440"/>
        </w:tabs>
        <w:ind w:firstLine="567"/>
        <w:jc w:val="both"/>
      </w:pPr>
      <w:r>
        <w:t>90</w:t>
      </w:r>
      <w:r>
        <w:t>. Parenkant didelių skerspjūvių šynas, reikia numatyti ekonomiškiausius konstrukcijos sprendinius pagal jų laidumo sąlygas, užtikrinančias geriausią aušinimą ir mažiausius papildomus nuostolius dėl paviršiaus ir artumo efektų (juostų skaičiaus sumažinimas pakete, racionali paketo konstrukcija, profilinių šynų panaudojimas ir pan.).</w:t>
      </w:r>
    </w:p>
    <w:p>
      <w:pPr>
        <w:widowControl w:val="0"/>
        <w:tabs>
          <w:tab w:val="left" w:pos="0"/>
        </w:tabs>
        <w:ind w:firstLine="567"/>
        <w:jc w:val="both"/>
      </w:pPr>
    </w:p>
    <w:p>
      <w:pPr>
        <w:widowControl w:val="0"/>
        <w:tabs>
          <w:tab w:val="left" w:pos="11482"/>
        </w:tabs>
        <w:jc w:val="center"/>
        <w:rPr>
          <w:b/>
        </w:rPr>
      </w:pPr>
      <w:r>
        <w:rPr>
          <w:b/>
        </w:rPr>
        <w:t>AŠTUNTASIS</w:t>
      </w:r>
      <w:r>
        <w:rPr>
          <w:b/>
        </w:rPr>
        <w:t xml:space="preserve"> SKIRSNIS</w:t>
      </w:r>
    </w:p>
    <w:p>
      <w:pPr>
        <w:widowControl w:val="0"/>
        <w:tabs>
          <w:tab w:val="left" w:pos="11482"/>
        </w:tabs>
        <w:jc w:val="center"/>
        <w:rPr>
          <w:b/>
        </w:rPr>
      </w:pPr>
      <w:r>
        <w:rPr>
          <w:b/>
        </w:rPr>
        <w:t xml:space="preserve">LAIDININKŲ SKERSPJŪVIŲ EKONOMINIS PARINKIMAS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 w:val="left" w:pos="6804"/>
          <w:tab w:val="left" w:pos="11482"/>
        </w:tabs>
        <w:ind w:firstLine="567"/>
        <w:jc w:val="both"/>
      </w:pPr>
      <w:r>
        <w:t>91</w:t>
      </w:r>
      <w:r>
        <w:t>. 35–110 kV oro linijoms, 04–10 kV oro ir oro kabelių linijoms ir požeminiams kabeliams parenkamų laidų ekonomiškumas turi būti patikrinamas techniniais ir ekonominiais skaičiavimais. Ekonomiškiems laidininkų skerspjūvių dydžiams apskaičiuoti naudojami ekonomiškų srovių tankio intervalai, kuriais laidininkų skerspjūvis S, mm</w:t>
      </w:r>
      <w:r>
        <w:rPr>
          <w:rFonts w:ascii="TimesLT" w:hAnsi="TimesLT"/>
          <w:vertAlign w:val="superscript"/>
        </w:rPr>
        <w:t>2</w:t>
      </w:r>
      <w:r>
        <w:t>, nustatomas pagal formulę :</w:t>
      </w:r>
    </w:p>
    <w:p>
      <w:pPr>
        <w:widowControl w:val="0"/>
        <w:tabs>
          <w:tab w:val="left" w:pos="-180"/>
          <w:tab w:val="left" w:pos="0"/>
          <w:tab w:val="left" w:pos="1440"/>
          <w:tab w:val="left" w:pos="6804"/>
          <w:tab w:val="left" w:pos="11482"/>
        </w:tabs>
        <w:ind w:firstLine="720"/>
        <w:jc w:val="both"/>
      </w:pPr>
    </w:p>
    <w:p>
      <w:pPr>
        <w:widowControl w:val="0"/>
        <w:tabs>
          <w:tab w:val="right" w:pos="9071"/>
        </w:tabs>
        <w:ind w:firstLine="567"/>
        <w:jc w:val="both"/>
      </w:pPr>
      <w:r>
        <w:rPr>
          <w:position w:val="-30"/>
        </w:rPr>
        <w:object w:dxaOrig="795" w:dyaOrig="675">
          <v:shape id="_x0000_i1027" type="#_x0000_t75" style="width:40pt;height:33.6pt" o:ole="">
            <v:imagedata r:id="rId22" o:title=""/>
          </v:shape>
          <o:OLEObject Type="Embed" ProgID="Equation.3" ShapeID="_x0000_i1027" DrawAspect="Content" ObjectID="_0000000001" r:id="rId23"/>
        </w:object>
      </w:r>
      <w:r>
        <w:t>;</w:t>
        <w:tab/>
        <w:t>(3)</w:t>
      </w:r>
    </w:p>
    <w:p>
      <w:pPr>
        <w:widowControl w:val="0"/>
        <w:tabs>
          <w:tab w:val="left" w:pos="-180"/>
          <w:tab w:val="left" w:pos="0"/>
          <w:tab w:val="left" w:pos="1440"/>
          <w:tab w:val="left" w:pos="6804"/>
          <w:tab w:val="left" w:pos="11482"/>
        </w:tabs>
        <w:ind w:firstLine="567"/>
        <w:jc w:val="both"/>
      </w:pPr>
    </w:p>
    <w:p>
      <w:pPr>
        <w:widowControl w:val="0"/>
        <w:tabs>
          <w:tab w:val="left" w:pos="1134"/>
          <w:tab w:val="left" w:pos="1440"/>
          <w:tab w:val="left" w:pos="1701"/>
        </w:tabs>
        <w:ind w:firstLine="567"/>
        <w:jc w:val="both"/>
      </w:pPr>
      <w:r>
        <w:t>čia: I – skaičiuojamoji linijos srovė, A;</w:t>
      </w:r>
    </w:p>
    <w:p>
      <w:pPr>
        <w:widowControl w:val="0"/>
        <w:tabs>
          <w:tab w:val="left" w:pos="-180"/>
          <w:tab w:val="left" w:pos="1134"/>
          <w:tab w:val="left" w:pos="1276"/>
          <w:tab w:val="left" w:pos="1440"/>
          <w:tab w:val="left" w:pos="1560"/>
          <w:tab w:val="left" w:pos="1701"/>
        </w:tabs>
        <w:ind w:firstLine="567"/>
        <w:jc w:val="both"/>
      </w:pPr>
      <w:r>
        <w:t>J</w:t>
      </w:r>
      <w:r>
        <w:rPr>
          <w:vertAlign w:val="subscript"/>
        </w:rPr>
        <w:t>ek</w:t>
      </w:r>
      <w:r>
        <w:t xml:space="preserve"> – normuotos ekonomiško srovės tankio intervalo vertės, A/mm</w:t>
      </w:r>
      <w:r>
        <w:rPr>
          <w:rFonts w:ascii="TimesLT" w:hAnsi="TimesLT"/>
          <w:vertAlign w:val="superscript"/>
        </w:rPr>
        <w:t>2</w:t>
      </w:r>
      <w:r>
        <w:t>, parenkamos pagal Taisyklių 2 priedo 28 lentelę.</w:t>
      </w:r>
    </w:p>
    <w:p>
      <w:pPr>
        <w:widowControl w:val="0"/>
        <w:tabs>
          <w:tab w:val="left" w:pos="-180"/>
          <w:tab w:val="left" w:pos="0"/>
          <w:tab w:val="left" w:pos="1440"/>
          <w:tab w:val="left" w:pos="6804"/>
          <w:tab w:val="left" w:pos="11482"/>
        </w:tabs>
        <w:ind w:firstLine="567"/>
        <w:jc w:val="both"/>
      </w:pPr>
      <w:r>
        <w:t>92</w:t>
      </w:r>
      <w:r>
        <w:t>. Ekonomiško srovių tankio intervalai, keičiantis ekonominiams rodikliams, turi būti tikslinami. Skaičiuojant ekonomišką laidų skerspjūvį, apkrovos srove laikoma didžiausioji normalaus veikimo režimo srovė, o tų objektų, kurių apkrovos srovė natūraliai auga, turi būti įvertintas ir jos didėjimas.</w:t>
      </w:r>
    </w:p>
    <w:p>
      <w:pPr>
        <w:widowControl w:val="0"/>
        <w:tabs>
          <w:tab w:val="left" w:pos="-180"/>
          <w:tab w:val="left" w:pos="0"/>
          <w:tab w:val="left" w:pos="1440"/>
          <w:tab w:val="left" w:pos="6804"/>
          <w:tab w:val="left" w:pos="11482"/>
        </w:tabs>
        <w:ind w:firstLine="567"/>
        <w:jc w:val="both"/>
      </w:pPr>
      <w:r>
        <w:t>93</w:t>
      </w:r>
      <w:r>
        <w:t>. Nuolatinės ir kintamosios srovės 330 kV ir aukštesnės įtampos linijoms, sisteminių ryšių linijoms, taip pat didelio skerspjūvio standiesiems ir lankstiesiems srovėlaidžiams laidų skerspjūvis parenkamas techniniais ir ekonominiais skaičiavimais, neatsižvelgiant į ekonomiško srovių tankio intervalus.</w:t>
      </w:r>
    </w:p>
    <w:p>
      <w:pPr>
        <w:widowControl w:val="0"/>
        <w:tabs>
          <w:tab w:val="left" w:pos="-180"/>
          <w:tab w:val="left" w:pos="0"/>
          <w:tab w:val="left" w:pos="1440"/>
          <w:tab w:val="left" w:pos="6804"/>
          <w:tab w:val="left" w:pos="11482"/>
        </w:tabs>
        <w:ind w:firstLine="567"/>
        <w:jc w:val="both"/>
      </w:pPr>
      <w:r>
        <w:t>94</w:t>
      </w:r>
      <w:r>
        <w:t>. Jeigu reikia linijų arba grandžių skaičių padidinti daugiau, negu tai būtina elektros tiekimo patikimumui užtikrinti, vadovaujamasi techniniais ir ekonominiais skaičiavimais. Šiais reikalavimais vadovaujamasi, kai, didėjant apkrovoms, esamus laidus numatoma keisti didesnio skerspjūvio laidais arba ketinama tiesti papildomas linijas. Šiuo atveju būtina užtikrinti ekonomiškus srovės tankius, kurie turėtų būti numatomi dvigubai didesni. Atliekant ekonominius skaičiavimus taip pat turi būti įvertinama visų linijos įrenginių įrengimo ir išmontavimo darbų vertė, įskaitant aparatų ir statybos produktų kainas.</w:t>
      </w:r>
    </w:p>
    <w:p>
      <w:pPr>
        <w:widowControl w:val="0"/>
        <w:tabs>
          <w:tab w:val="left" w:pos="-180"/>
          <w:tab w:val="left" w:pos="0"/>
          <w:tab w:val="left" w:pos="567"/>
          <w:tab w:val="left" w:pos="1440"/>
          <w:tab w:val="left" w:pos="6804"/>
          <w:tab w:val="left" w:pos="11482"/>
        </w:tabs>
        <w:ind w:firstLine="567"/>
        <w:jc w:val="both"/>
      </w:pPr>
      <w:r>
        <w:t>95</w:t>
      </w:r>
      <w:r>
        <w:t>. Pagal ekonomiško srovių tankio intervalus netikrinama:</w:t>
      </w:r>
    </w:p>
    <w:p>
      <w:pPr>
        <w:widowControl w:val="0"/>
        <w:tabs>
          <w:tab w:val="left" w:pos="-180"/>
          <w:tab w:val="left" w:pos="0"/>
          <w:tab w:val="left" w:pos="567"/>
          <w:tab w:val="left" w:pos="993"/>
          <w:tab w:val="left" w:pos="1440"/>
          <w:tab w:val="left" w:pos="11482"/>
        </w:tabs>
        <w:ind w:firstLine="567"/>
        <w:jc w:val="both"/>
      </w:pPr>
      <w:r>
        <w:t>95.1</w:t>
      </w:r>
      <w:r>
        <w:t>. iki 1000 V įtampos statinių elektros inžinerinės sistemos;</w:t>
      </w:r>
    </w:p>
    <w:p>
      <w:pPr>
        <w:widowControl w:val="0"/>
        <w:tabs>
          <w:tab w:val="left" w:pos="-180"/>
          <w:tab w:val="left" w:pos="0"/>
          <w:tab w:val="left" w:pos="567"/>
          <w:tab w:val="left" w:pos="993"/>
          <w:tab w:val="left" w:pos="1440"/>
          <w:tab w:val="left" w:pos="11482"/>
        </w:tabs>
        <w:ind w:firstLine="567"/>
        <w:jc w:val="both"/>
      </w:pPr>
      <w:r>
        <w:t>95.2</w:t>
      </w:r>
      <w:r>
        <w:t>. 35–110 kV įtampos rezervinės linijos;</w:t>
      </w:r>
    </w:p>
    <w:p>
      <w:pPr>
        <w:widowControl w:val="0"/>
        <w:tabs>
          <w:tab w:val="left" w:pos="-180"/>
          <w:tab w:val="left" w:pos="0"/>
          <w:tab w:val="left" w:pos="567"/>
          <w:tab w:val="left" w:pos="993"/>
          <w:tab w:val="left" w:pos="1440"/>
          <w:tab w:val="left" w:pos="11482"/>
        </w:tabs>
        <w:ind w:firstLine="567"/>
        <w:jc w:val="both"/>
      </w:pPr>
      <w:r>
        <w:t>95.3</w:t>
      </w:r>
      <w:r>
        <w:t>. atšakos į atskirus iki 1000 V įtampos elektros imtuvus, gatvių apšvietimo, gyvenamosios ir visuomeninės paskirties pastatų apšvietimo inžinerinės sistemos;</w:t>
      </w:r>
    </w:p>
    <w:p>
      <w:pPr>
        <w:widowControl w:val="0"/>
        <w:tabs>
          <w:tab w:val="left" w:pos="-180"/>
          <w:tab w:val="left" w:pos="0"/>
          <w:tab w:val="left" w:pos="567"/>
          <w:tab w:val="left" w:pos="993"/>
          <w:tab w:val="left" w:pos="1440"/>
          <w:tab w:val="left" w:pos="11482"/>
        </w:tabs>
        <w:ind w:firstLine="567"/>
        <w:jc w:val="both"/>
      </w:pPr>
      <w:r>
        <w:t>95.4</w:t>
      </w:r>
      <w:r>
        <w:t>. visų įtampų elektros įrenginių magistralinės šynos atvirosiose ir uždarosiose skirstyklose;</w:t>
      </w:r>
    </w:p>
    <w:p>
      <w:pPr>
        <w:widowControl w:val="0"/>
        <w:tabs>
          <w:tab w:val="left" w:pos="-180"/>
          <w:tab w:val="left" w:pos="0"/>
          <w:tab w:val="left" w:pos="567"/>
          <w:tab w:val="left" w:pos="993"/>
          <w:tab w:val="left" w:pos="1440"/>
          <w:tab w:val="left" w:pos="11482"/>
        </w:tabs>
        <w:ind w:firstLine="567"/>
        <w:jc w:val="both"/>
      </w:pPr>
      <w:r>
        <w:t>95.5</w:t>
      </w:r>
      <w:r>
        <w:t>. paleidimo varžos, paleidžiamieji aparatai ir panašūs jungiamieji laidininkai;</w:t>
      </w:r>
    </w:p>
    <w:p>
      <w:pPr>
        <w:widowControl w:val="0"/>
        <w:tabs>
          <w:tab w:val="left" w:pos="-180"/>
          <w:tab w:val="left" w:pos="0"/>
          <w:tab w:val="left" w:pos="567"/>
          <w:tab w:val="left" w:pos="993"/>
          <w:tab w:val="left" w:pos="1440"/>
          <w:tab w:val="left" w:pos="11482"/>
        </w:tabs>
        <w:ind w:firstLine="567"/>
        <w:jc w:val="both"/>
      </w:pPr>
      <w:r>
        <w:t>95.6</w:t>
      </w:r>
      <w:r>
        <w:t>. laikinųjų statinių elektros inžinerinės sistemos;</w:t>
      </w:r>
    </w:p>
    <w:p>
      <w:pPr>
        <w:widowControl w:val="0"/>
        <w:tabs>
          <w:tab w:val="left" w:pos="-180"/>
          <w:tab w:val="left" w:pos="0"/>
          <w:tab w:val="left" w:pos="567"/>
          <w:tab w:val="left" w:pos="993"/>
          <w:tab w:val="left" w:pos="1440"/>
          <w:tab w:val="left" w:pos="11482"/>
        </w:tabs>
        <w:ind w:firstLine="567"/>
        <w:jc w:val="both"/>
      </w:pPr>
      <w:r>
        <w:t>95.7</w:t>
      </w:r>
      <w:r>
        <w:t>. 16 mm</w:t>
      </w:r>
      <w:r>
        <w:rPr>
          <w:rFonts w:ascii="TimesLT" w:hAnsi="TimesLT"/>
          <w:vertAlign w:val="superscript"/>
        </w:rPr>
        <w:t>2</w:t>
      </w:r>
      <w:r>
        <w:t xml:space="preserve"> ir mažesnio skerspjūvio laidininkai, kuriais maitinami pavieniai elektros imtuvai arba jų grupės.</w:t>
      </w:r>
    </w:p>
    <w:p>
      <w:pPr>
        <w:widowControl w:val="0"/>
        <w:tabs>
          <w:tab w:val="left" w:pos="-180"/>
          <w:tab w:val="left" w:pos="0"/>
          <w:tab w:val="left" w:pos="567"/>
          <w:tab w:val="left" w:pos="1440"/>
          <w:tab w:val="left" w:pos="6804"/>
          <w:tab w:val="left" w:pos="11482"/>
        </w:tabs>
        <w:ind w:firstLine="567"/>
        <w:jc w:val="both"/>
      </w:pPr>
      <w:r>
        <w:t>96</w:t>
      </w:r>
      <w:r>
        <w:t>. Linijose su atšakomis laidininkų skerspjūvis parenkamas atliekant techninius ir ekonominius skaičiavimus kiekvienai linijos atkarpai (remiantis jos skaičiuojamąja srove). Linijų atšakoms ekonominis laidininkų skerspjūvis parenkamas pagal skaičiuojamąją šios atšakos srovę.</w:t>
      </w:r>
    </w:p>
    <w:p>
      <w:pPr>
        <w:widowControl w:val="0"/>
        <w:tabs>
          <w:tab w:val="left" w:pos="-180"/>
          <w:tab w:val="left" w:pos="0"/>
          <w:tab w:val="left" w:pos="567"/>
          <w:tab w:val="left" w:pos="1440"/>
          <w:tab w:val="left" w:pos="6804"/>
          <w:tab w:val="left" w:pos="11482"/>
        </w:tabs>
        <w:ind w:firstLine="567"/>
        <w:jc w:val="both"/>
      </w:pPr>
      <w:r>
        <w:t>97</w:t>
      </w:r>
      <w:r>
        <w:t>. 0,4–10 kV linijų laidininkų ekonomiški skerspjūviai turi būti ne mažesni už skerspjūvius, kurie užtikrina ant elektros imtuvų gnybtų leistinuosius įtampos nuokrypius.</w:t>
      </w:r>
    </w:p>
    <w:p>
      <w:pPr>
        <w:widowControl w:val="0"/>
        <w:tabs>
          <w:tab w:val="left" w:pos="0"/>
          <w:tab w:val="left" w:pos="12333"/>
        </w:tabs>
        <w:ind w:firstLine="567"/>
        <w:jc w:val="both"/>
        <w:rPr>
          <w:b/>
          <w:caps/>
        </w:rPr>
      </w:pPr>
    </w:p>
    <w:p>
      <w:pPr>
        <w:widowControl w:val="0"/>
        <w:tabs>
          <w:tab w:val="left" w:pos="12333"/>
        </w:tabs>
        <w:jc w:val="center"/>
        <w:rPr>
          <w:b/>
          <w:caps/>
        </w:rPr>
      </w:pPr>
      <w:r>
        <w:rPr>
          <w:b/>
          <w:caps/>
        </w:rPr>
        <w:t>DEVINTASIS</w:t>
      </w:r>
      <w:r>
        <w:rPr>
          <w:b/>
          <w:caps/>
        </w:rPr>
        <w:t xml:space="preserve"> SKIRSNIS</w:t>
      </w:r>
    </w:p>
    <w:p>
      <w:pPr>
        <w:widowControl w:val="0"/>
        <w:tabs>
          <w:tab w:val="left" w:pos="12333"/>
        </w:tabs>
        <w:jc w:val="center"/>
        <w:rPr>
          <w:caps/>
        </w:rPr>
      </w:pPr>
      <w:r>
        <w:rPr>
          <w:b/>
          <w:caps/>
        </w:rPr>
        <w:t xml:space="preserve">LAIDININKŲ SKERSPJŪVIŲ TIKRINIMAS PAGAL VAINIKINIO IŠLYDŽIO IR RADIJO TRIKDŽIŲ POVEIKĮ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numPr>
          <w:ilvl w:val="12"/>
          <w:numId w:val="0"/>
        </w:numPr>
        <w:tabs>
          <w:tab w:val="left" w:pos="-180"/>
          <w:tab w:val="left" w:pos="0"/>
          <w:tab w:val="left" w:pos="1440"/>
          <w:tab w:val="left" w:pos="11482"/>
        </w:tabs>
        <w:ind w:firstLine="567"/>
        <w:jc w:val="both"/>
      </w:pPr>
      <w:r>
        <w:rPr>
          <w:caps/>
        </w:rPr>
        <w:t>98</w:t>
      </w:r>
      <w:r>
        <w:rPr>
          <w:caps/>
        </w:rPr>
        <w:t xml:space="preserve">. 110 </w:t>
      </w:r>
      <w:r>
        <w:t>k</w:t>
      </w:r>
      <w:r>
        <w:rPr>
          <w:caps/>
        </w:rPr>
        <w:t xml:space="preserve">V </w:t>
      </w:r>
      <w:r>
        <w:t>ir aukštesnės įtampos laidai turi būti tikrinami pagal vainikinio išlydžio poveikį, atsižvelgiant į vidutinį metinį oro tankį ir temperatūrą, įrenginio įrengimo aukštį, laidų ekvivalentinį skersmenį, taip pat laido nelygumo koeficientą.</w:t>
      </w:r>
    </w:p>
    <w:p>
      <w:pPr>
        <w:widowControl w:val="0"/>
        <w:numPr>
          <w:ilvl w:val="12"/>
          <w:numId w:val="0"/>
        </w:numPr>
        <w:tabs>
          <w:tab w:val="left" w:pos="-180"/>
          <w:tab w:val="left" w:pos="0"/>
          <w:tab w:val="left" w:pos="1440"/>
          <w:tab w:val="left" w:pos="11482"/>
        </w:tabs>
        <w:ind w:firstLine="567"/>
        <w:jc w:val="both"/>
      </w:pPr>
      <w:r>
        <w:t>Laidai turi būti tikrinami pagal vainikinio išlydžio sukeltų radijo trikdžių poveikį.</w:t>
      </w:r>
    </w:p>
    <w:p>
      <w:pPr>
        <w:widowControl w:val="0"/>
        <w:numPr>
          <w:ilvl w:val="12"/>
          <w:numId w:val="0"/>
        </w:numPr>
        <w:tabs>
          <w:tab w:val="left" w:pos="0"/>
          <w:tab w:val="left" w:pos="11482"/>
        </w:tabs>
        <w:ind w:firstLine="567"/>
        <w:jc w:val="both"/>
        <w:rPr>
          <w:b/>
        </w:rPr>
      </w:pPr>
    </w:p>
    <w:p>
      <w:pPr>
        <w:widowControl w:val="0"/>
        <w:numPr>
          <w:ilvl w:val="12"/>
          <w:numId w:val="0"/>
        </w:numPr>
        <w:tabs>
          <w:tab w:val="left" w:pos="0"/>
          <w:tab w:val="left" w:pos="11482"/>
        </w:tabs>
        <w:jc w:val="center"/>
        <w:rPr>
          <w:b/>
        </w:rPr>
      </w:pPr>
      <w:r>
        <w:rPr>
          <w:b/>
        </w:rPr>
        <w:t>DEŠIMTASIS</w:t>
      </w:r>
      <w:r>
        <w:rPr>
          <w:b/>
        </w:rPr>
        <w:t xml:space="preserve"> SKIRSNIS</w:t>
      </w:r>
    </w:p>
    <w:p>
      <w:pPr>
        <w:widowControl w:val="0"/>
        <w:numPr>
          <w:ilvl w:val="12"/>
          <w:numId w:val="0"/>
        </w:numPr>
        <w:tabs>
          <w:tab w:val="left" w:pos="0"/>
          <w:tab w:val="left" w:pos="11482"/>
        </w:tabs>
        <w:jc w:val="center"/>
        <w:rPr>
          <w:b/>
        </w:rPr>
      </w:pPr>
      <w:r>
        <w:rPr>
          <w:b/>
        </w:rPr>
        <w:t xml:space="preserve">ORO LINIJŲ LAIDŲ SKERSPJŪVIŲ MECHANINIO ATSPARUMO REIKALAVIMAI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99</w:t>
      </w:r>
      <w:r>
        <w:t>. Oro linijų laidų mechaninis atsparumas turi tenkinti Elektros linijų ir instaliacijos įrengimo taisyklių reikalavimus.</w:t>
      </w:r>
    </w:p>
    <w:p>
      <w:pPr>
        <w:widowControl w:val="0"/>
        <w:tabs>
          <w:tab w:val="left" w:pos="-180"/>
          <w:tab w:val="left" w:pos="0"/>
          <w:tab w:val="left" w:pos="567"/>
          <w:tab w:val="left" w:pos="1440"/>
        </w:tabs>
        <w:ind w:firstLine="567"/>
        <w:jc w:val="both"/>
      </w:pPr>
    </w:p>
    <w:p>
      <w:pPr>
        <w:widowControl w:val="0"/>
        <w:tabs>
          <w:tab w:val="left" w:pos="11482"/>
        </w:tabs>
        <w:jc w:val="center"/>
        <w:rPr>
          <w:b/>
        </w:rPr>
      </w:pPr>
      <w:r>
        <w:rPr>
          <w:b/>
        </w:rPr>
        <w:t>V</w:t>
      </w:r>
      <w:r>
        <w:rPr>
          <w:b/>
        </w:rPr>
        <w:t xml:space="preserve"> SKYRIUS</w:t>
      </w:r>
    </w:p>
    <w:p>
      <w:pPr>
        <w:widowControl w:val="0"/>
        <w:tabs>
          <w:tab w:val="left" w:pos="11482"/>
        </w:tabs>
        <w:jc w:val="center"/>
        <w:rPr>
          <w:b/>
        </w:rPr>
      </w:pPr>
      <w:r>
        <w:rPr>
          <w:b/>
        </w:rPr>
        <w:t xml:space="preserve">ELEKTROS APARATŲ IR ELEKTROS LINIJŲ LAIDININKŲ PARINKIMAS PAGAL TRUMPOJO JUNGIMO SROVĖS POVEIKIO SĄLYGAS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1482"/>
        </w:tabs>
        <w:jc w:val="center"/>
        <w:rPr>
          <w:b/>
        </w:rPr>
      </w:pPr>
      <w:r>
        <w:rPr>
          <w:b/>
        </w:rPr>
        <w:t>PIRMASIS</w:t>
      </w:r>
      <w:r>
        <w:rPr>
          <w:b/>
        </w:rPr>
        <w:t xml:space="preserve"> SKIRSNIS</w:t>
      </w:r>
    </w:p>
    <w:p>
      <w:pPr>
        <w:widowControl w:val="0"/>
        <w:tabs>
          <w:tab w:val="left" w:pos="11482"/>
        </w:tabs>
        <w:jc w:val="center"/>
        <w:rPr>
          <w:b/>
        </w:rPr>
      </w:pPr>
      <w:r>
        <w:rPr>
          <w:b/>
        </w:rPr>
        <w:t xml:space="preserve">TAIKYMO SRITIS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100</w:t>
      </w:r>
      <w:r>
        <w:t>. Šio Taisyklių skyriaus reikalavimai taikomi visų įtampų elektros aparatų ir elektros linijų laidininkams parinkti (pagal trumpojo jungimo srovę) kintamosios srovės 50 Hz dažnio elektros įrenginiuose.</w:t>
      </w:r>
    </w:p>
    <w:p>
      <w:pPr>
        <w:widowControl w:val="0"/>
        <w:jc w:val="both"/>
      </w:pPr>
    </w:p>
    <w:p>
      <w:pPr>
        <w:widowControl w:val="0"/>
        <w:jc w:val="center"/>
        <w:rPr>
          <w:b/>
        </w:rPr>
      </w:pPr>
      <w:r>
        <w:rPr>
          <w:b/>
        </w:rPr>
        <w:t>ANTRASIS</w:t>
      </w:r>
      <w:r>
        <w:rPr>
          <w:b/>
        </w:rPr>
        <w:t xml:space="preserve"> SKIRSNIS</w:t>
      </w:r>
    </w:p>
    <w:p>
      <w:pPr>
        <w:widowControl w:val="0"/>
        <w:jc w:val="center"/>
        <w:rPr>
          <w:b/>
        </w:rPr>
      </w:pPr>
      <w:r>
        <w:rPr>
          <w:b/>
        </w:rPr>
        <w:t xml:space="preserve">BENDRIEJI REIKALAVIMAI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101</w:t>
      </w:r>
      <w:r>
        <w:t>. Aukštesnės kaip 1000 V įtampos elektros įrenginiuose pagal trumpojo jungimo srovės poveikio sąlygas tikrinami:</w:t>
      </w:r>
    </w:p>
    <w:p>
      <w:pPr>
        <w:widowControl w:val="0"/>
        <w:tabs>
          <w:tab w:val="left" w:pos="-180"/>
          <w:tab w:val="left" w:pos="0"/>
          <w:tab w:val="left" w:pos="567"/>
          <w:tab w:val="left" w:pos="709"/>
          <w:tab w:val="left" w:pos="993"/>
          <w:tab w:val="left" w:pos="1440"/>
        </w:tabs>
        <w:ind w:firstLine="567"/>
        <w:jc w:val="both"/>
      </w:pPr>
      <w:r>
        <w:t>101.1</w:t>
      </w:r>
      <w:r>
        <w:t>. elektros aparatai, srovėlaidžiai, kabeliai ir kiti laidininkai, taip pat konstrukcijos, prie kurių jie tvirtinami;</w:t>
      </w:r>
    </w:p>
    <w:p>
      <w:pPr>
        <w:widowControl w:val="0"/>
        <w:tabs>
          <w:tab w:val="left" w:pos="-180"/>
          <w:tab w:val="left" w:pos="0"/>
          <w:tab w:val="left" w:pos="567"/>
          <w:tab w:val="left" w:pos="709"/>
          <w:tab w:val="left" w:pos="993"/>
          <w:tab w:val="left" w:pos="1440"/>
        </w:tabs>
        <w:ind w:firstLine="567"/>
        <w:jc w:val="both"/>
      </w:pPr>
      <w:r>
        <w:t>101.2</w:t>
      </w:r>
      <w:r>
        <w:t>. oro linijos, esant 50 kA ir didesnei smūginei trumpojo jungimo srovei, siekiant išvengti laidų susijungimo, mechaniškai veikiant trumpojo jungimo srovėms.</w:t>
      </w:r>
    </w:p>
    <w:p>
      <w:pPr>
        <w:widowControl w:val="0"/>
        <w:tabs>
          <w:tab w:val="left" w:pos="-180"/>
          <w:tab w:val="left" w:pos="0"/>
          <w:tab w:val="left" w:pos="567"/>
          <w:tab w:val="left" w:pos="1440"/>
        </w:tabs>
        <w:ind w:firstLine="567"/>
        <w:jc w:val="both"/>
      </w:pPr>
      <w:r>
        <w:t>Linijose su išskaidytais laidais fazėse turi būti tikrinami atstumai tarp spyrių, siekiant išvengti laidų susijungimo ir galimo jų ir spyrių sugadinimo.</w:t>
      </w:r>
    </w:p>
    <w:p>
      <w:pPr>
        <w:widowControl w:val="0"/>
        <w:tabs>
          <w:tab w:val="left" w:pos="-180"/>
          <w:tab w:val="left" w:pos="0"/>
          <w:tab w:val="left" w:pos="567"/>
          <w:tab w:val="left" w:pos="1440"/>
        </w:tabs>
        <w:ind w:firstLine="567"/>
        <w:jc w:val="both"/>
      </w:pPr>
      <w:r>
        <w:t>Linijose, kuriose naudojamas automatinis kartotinis įjungimas, tikrinamas ir terminis trumpojo jungimo srovių poveikis laidams.</w:t>
      </w:r>
    </w:p>
    <w:p>
      <w:pPr>
        <w:widowControl w:val="0"/>
        <w:tabs>
          <w:tab w:val="left" w:pos="-180"/>
          <w:tab w:val="left" w:pos="0"/>
          <w:tab w:val="left" w:pos="567"/>
          <w:tab w:val="left" w:pos="1440"/>
        </w:tabs>
        <w:ind w:firstLine="567"/>
        <w:jc w:val="both"/>
      </w:pPr>
      <w:r>
        <w:t>102</w:t>
      </w:r>
      <w:r>
        <w:t>. Iki 1000 V įtampos elektros įrenginiuose gamintojų turi būti tikrinami trumpojo jungimo srovės poveikis skirstomiesiems skydams, spintoms ir srovėlaidžiams. Trumpojo jungimo srovės poveikis srovės transformatoriams netikrinamas.</w:t>
      </w:r>
    </w:p>
    <w:p>
      <w:pPr>
        <w:widowControl w:val="0"/>
        <w:tabs>
          <w:tab w:val="left" w:pos="-180"/>
          <w:tab w:val="left" w:pos="0"/>
          <w:tab w:val="left" w:pos="567"/>
          <w:tab w:val="left" w:pos="1440"/>
        </w:tabs>
        <w:ind w:firstLine="567"/>
        <w:jc w:val="both"/>
      </w:pPr>
      <w:r>
        <w:t>Aparatai, skirti trumpojo jungimo srovėms išjungti, privalo gebėti jungti trumpai sujungtą grandinę elektriškai, mechaniškai ar kitaip, tų aparatų nesugadindami ar nedeformuodami.</w:t>
      </w:r>
    </w:p>
    <w:p>
      <w:pPr>
        <w:widowControl w:val="0"/>
        <w:tabs>
          <w:tab w:val="left" w:pos="-180"/>
          <w:tab w:val="left" w:pos="0"/>
          <w:tab w:val="left" w:pos="567"/>
          <w:tab w:val="left" w:pos="1440"/>
        </w:tabs>
        <w:ind w:firstLine="567"/>
        <w:jc w:val="both"/>
      </w:pPr>
      <w:r>
        <w:t>Atsparūs skaičiuotinoms trumpojo jungimo srovėms yra tie aparatai ir laidininkai, kurie elektriškai, mechaniškai ar kaip kitaip nesugadinami ir kurie nėra deformuojami tiek, kad jie toliau negalėtų normaliai veikti.</w:t>
      </w:r>
    </w:p>
    <w:p>
      <w:pPr>
        <w:widowControl w:val="0"/>
        <w:tabs>
          <w:tab w:val="left" w:pos="-180"/>
          <w:tab w:val="left" w:pos="0"/>
          <w:tab w:val="left" w:pos="567"/>
          <w:tab w:val="left" w:pos="1440"/>
        </w:tabs>
        <w:ind w:firstLine="567"/>
        <w:jc w:val="both"/>
      </w:pPr>
      <w:r>
        <w:t>103</w:t>
      </w:r>
      <w:r>
        <w:t>. Pagal trumpojo jungimo srovių poveikio sąlygas netikrinami šie aukštesnės kaip 1000 V įtampos įrenginiai:</w:t>
      </w:r>
    </w:p>
    <w:p>
      <w:pPr>
        <w:widowControl w:val="0"/>
        <w:tabs>
          <w:tab w:val="left" w:pos="-180"/>
          <w:tab w:val="left" w:pos="0"/>
          <w:tab w:val="left" w:pos="567"/>
          <w:tab w:val="left" w:pos="1440"/>
        </w:tabs>
        <w:ind w:firstLine="567"/>
        <w:jc w:val="both"/>
      </w:pPr>
      <w:r>
        <w:t>103.1</w:t>
      </w:r>
      <w:r>
        <w:t>. aparatų ir laidininkų, saugomų iki 63 A vardinės srovės lydžiaisiais saugikliais, – mechaninis atsparumas;</w:t>
      </w:r>
    </w:p>
    <w:p>
      <w:pPr>
        <w:widowControl w:val="0"/>
        <w:tabs>
          <w:tab w:val="left" w:pos="-180"/>
          <w:tab w:val="left" w:pos="0"/>
          <w:tab w:val="left" w:pos="567"/>
          <w:tab w:val="left" w:pos="1440"/>
        </w:tabs>
        <w:ind w:firstLine="567"/>
        <w:jc w:val="both"/>
      </w:pPr>
      <w:r>
        <w:t>103.2</w:t>
      </w:r>
      <w:r>
        <w:t>. aparatų ir laidininkų, saugomų lydžiaisiais saugikliais, nepriklausomai nuo jų vardinės srovės – terminis atsparumas;</w:t>
      </w:r>
    </w:p>
    <w:p>
      <w:pPr>
        <w:widowControl w:val="0"/>
        <w:tabs>
          <w:tab w:val="left" w:pos="-180"/>
          <w:tab w:val="left" w:pos="0"/>
          <w:tab w:val="left" w:pos="567"/>
          <w:tab w:val="left" w:pos="1440"/>
        </w:tabs>
        <w:ind w:firstLine="567"/>
        <w:jc w:val="both"/>
      </w:pPr>
      <w:r>
        <w:t>103.3</w:t>
      </w:r>
      <w:r>
        <w:t>. laidininkai, maitinantys individualius elektros imtuvus, tarp jų ir iki 2,5 MVA galios iki 10 kV įtampos transformatorius, jeigu elektrotechnikos arba technologijos dalyje nustatytas reikiamas rezervavimas ir tokių imtuvų jungimas nesutrikdo technologinio proceso, laidininko sugadinimas trumpojo jungimo metu nesukelia sprogimo arba gaisro, sugadintas laidininkas nesunkiai pakeičiamas;</w:t>
      </w:r>
    </w:p>
    <w:p>
      <w:pPr>
        <w:widowControl w:val="0"/>
        <w:tabs>
          <w:tab w:val="left" w:pos="-180"/>
          <w:tab w:val="left" w:pos="0"/>
          <w:tab w:val="left" w:pos="567"/>
          <w:tab w:val="left" w:pos="1440"/>
        </w:tabs>
        <w:ind w:firstLine="567"/>
        <w:jc w:val="both"/>
      </w:pPr>
      <w:r>
        <w:t>103.4</w:t>
      </w:r>
      <w:r>
        <w:t>. laidininkai, maitinantys individualius elektros imtuvus, nurodytus Taisyklių 103.3 punkte, taip pat nedidelius skirstomuosius punktus, jeigu šie imtuvai ir skirstomieji punktai nėra svarbūs ir jeigu jie atitinka Taisyklių 103.3 punkto sąlygas;</w:t>
      </w:r>
    </w:p>
    <w:p>
      <w:pPr>
        <w:widowControl w:val="0"/>
        <w:tabs>
          <w:tab w:val="left" w:pos="-180"/>
          <w:tab w:val="left" w:pos="0"/>
          <w:tab w:val="left" w:pos="567"/>
          <w:tab w:val="left" w:pos="1440"/>
        </w:tabs>
        <w:ind w:firstLine="567"/>
        <w:jc w:val="both"/>
      </w:pPr>
      <w:r>
        <w:t>103.5</w:t>
      </w:r>
      <w:r>
        <w:t>. iki 10 kV įtampos srovės transformatoriai, esantys grandinėse, maitinančiose galios transformatorius arba per reaktorius prijungtas linijas, tuo atveju, kai pagal trumpojo jungimo sroves parinkti srovės transformatoriai negali užtikrinti prijungtų matavimo prietaisų (pavyzdžiui, komercinių skaitiklių) tikslumo klasės;</w:t>
      </w:r>
    </w:p>
    <w:p>
      <w:pPr>
        <w:widowControl w:val="0"/>
        <w:tabs>
          <w:tab w:val="left" w:pos="-180"/>
          <w:tab w:val="left" w:pos="0"/>
          <w:tab w:val="left" w:pos="567"/>
          <w:tab w:val="left" w:pos="1440"/>
        </w:tabs>
        <w:ind w:firstLine="567"/>
        <w:jc w:val="both"/>
      </w:pPr>
      <w:r>
        <w:t>103.6</w:t>
      </w:r>
      <w:r>
        <w:t xml:space="preserve">. oro linijų laidai (išimtis – Taisyklių 103.1 punkto sąlyga); </w:t>
      </w:r>
    </w:p>
    <w:p>
      <w:pPr>
        <w:widowControl w:val="0"/>
        <w:tabs>
          <w:tab w:val="left" w:pos="-180"/>
          <w:tab w:val="left" w:pos="0"/>
          <w:tab w:val="left" w:pos="567"/>
          <w:tab w:val="left" w:pos="1440"/>
        </w:tabs>
        <w:ind w:firstLine="567"/>
        <w:jc w:val="both"/>
      </w:pPr>
      <w:r>
        <w:t>103.7</w:t>
      </w:r>
      <w:r>
        <w:t>. aparatai ir šynos įtampos transformatorių grandinėse, jeigu jie įrengti atskiroje kameroje arba prijungti per rezistorių.</w:t>
      </w:r>
    </w:p>
    <w:p>
      <w:pPr>
        <w:widowControl w:val="0"/>
        <w:tabs>
          <w:tab w:val="left" w:pos="-180"/>
          <w:tab w:val="left" w:pos="0"/>
          <w:tab w:val="left" w:pos="567"/>
          <w:tab w:val="left" w:pos="1440"/>
        </w:tabs>
        <w:ind w:firstLine="567"/>
        <w:jc w:val="both"/>
      </w:pPr>
      <w:r>
        <w:t>104</w:t>
      </w:r>
      <w:r>
        <w:t>. Apskaičiuojant trumpojo jungimo srovę reikia vadovautis normalia eksploatavimui būdinga objekto schema. Į trumpalaikius schemos pakeitimus neatsižvelgiama. Poavariniai ir remonto režimai trumpalaikiais schemos pakeitimais nelaikomi.</w:t>
      </w:r>
    </w:p>
    <w:p>
      <w:pPr>
        <w:widowControl w:val="0"/>
        <w:tabs>
          <w:tab w:val="left" w:pos="-180"/>
          <w:tab w:val="left" w:pos="0"/>
          <w:tab w:val="left" w:pos="567"/>
          <w:tab w:val="left" w:pos="1440"/>
        </w:tabs>
        <w:ind w:firstLine="567"/>
        <w:jc w:val="both"/>
      </w:pPr>
      <w:r>
        <w:t>105</w:t>
      </w:r>
      <w:r>
        <w:t>. Skaičiuojamąja trumpojo jungimo srove laikoma:</w:t>
      </w:r>
    </w:p>
    <w:p>
      <w:pPr>
        <w:widowControl w:val="0"/>
        <w:tabs>
          <w:tab w:val="left" w:pos="-180"/>
          <w:tab w:val="left" w:pos="0"/>
          <w:tab w:val="left" w:pos="567"/>
          <w:tab w:val="left" w:pos="1440"/>
        </w:tabs>
        <w:ind w:firstLine="567"/>
        <w:jc w:val="both"/>
      </w:pPr>
      <w:r>
        <w:t>105.1</w:t>
      </w:r>
      <w:r>
        <w:t>. nustatant elektros aparatų ir standžių šynų ir jų tvirtinimo konstrukcijų mechaninį atsparumą – trifazio trumpojo jungimo srovė;</w:t>
      </w:r>
    </w:p>
    <w:p>
      <w:pPr>
        <w:widowControl w:val="0"/>
        <w:tabs>
          <w:tab w:val="left" w:pos="-180"/>
          <w:tab w:val="left" w:pos="0"/>
          <w:tab w:val="left" w:pos="567"/>
          <w:tab w:val="left" w:pos="709"/>
          <w:tab w:val="left" w:pos="993"/>
          <w:tab w:val="left" w:pos="1440"/>
        </w:tabs>
        <w:ind w:firstLine="567"/>
        <w:jc w:val="both"/>
      </w:pPr>
      <w:r>
        <w:t>105.2</w:t>
      </w:r>
      <w:r>
        <w:t>. nustatant elektros aparatų ir laidininkų terminį atsparumą trumpojo jungimo srovei – trifazio trumpojo jungimo srovė, o elektrinėse generatoriaus įtampos pusėje – trifazio arba dvifazio trumpojo jungimo srovė (priklausomai nuo to, dėl kurios iš jų aparatai ar laidininkai įšyla daugiau);</w:t>
      </w:r>
    </w:p>
    <w:p>
      <w:pPr>
        <w:widowControl w:val="0"/>
        <w:tabs>
          <w:tab w:val="left" w:pos="-180"/>
          <w:tab w:val="left" w:pos="0"/>
          <w:tab w:val="left" w:pos="567"/>
          <w:tab w:val="left" w:pos="709"/>
          <w:tab w:val="left" w:pos="993"/>
          <w:tab w:val="left" w:pos="1440"/>
        </w:tabs>
        <w:ind w:firstLine="567"/>
        <w:jc w:val="both"/>
      </w:pPr>
      <w:r>
        <w:t>105.3</w:t>
      </w:r>
      <w:r>
        <w:t>. parenkant aparatus pagal komutacinę galią – didesnioji trifazio arba vienfazio trumpojo jungimo su žeme srovė (tinkluose su įžeminta neutrale); jeigu jungtuvo komutacinė galia apibūdinama dviem dydžiais – trifazio ir vienfazio trumpojo jungimo su</w:t>
      </w:r>
      <w:r>
        <w:rPr>
          <w:i/>
        </w:rPr>
        <w:t xml:space="preserve"> </w:t>
      </w:r>
      <w:r>
        <w:t>žeme srovė.</w:t>
      </w:r>
    </w:p>
    <w:p>
      <w:pPr>
        <w:widowControl w:val="0"/>
        <w:tabs>
          <w:tab w:val="left" w:pos="-180"/>
          <w:tab w:val="left" w:pos="0"/>
          <w:tab w:val="left" w:pos="567"/>
          <w:tab w:val="left" w:pos="1440"/>
        </w:tabs>
        <w:ind w:firstLine="567"/>
        <w:jc w:val="both"/>
      </w:pPr>
      <w:r>
        <w:t>106</w:t>
      </w:r>
      <w:r>
        <w:t xml:space="preserve">. Skaičiuojamąja trumpojo jungimo srove laikoma tokiame nagrinėjamos grandinės taške apskaičiuota srovė, kuriame, įvykus trumpajam jungimui, aparatams ir laidininkams būtų sunkiausios sąlygos (išimtys – Taisyklių 108 ir 118 punktų sąlygos). Nevertintini atvejai, kai skirtingos fazės vienu metu įžemėja dviejose skirtingose vietose. </w:t>
      </w:r>
    </w:p>
    <w:p>
      <w:pPr>
        <w:widowControl w:val="0"/>
        <w:tabs>
          <w:tab w:val="left" w:pos="-180"/>
          <w:tab w:val="left" w:pos="0"/>
          <w:tab w:val="left" w:pos="567"/>
          <w:tab w:val="left" w:pos="1440"/>
        </w:tabs>
        <w:ind w:firstLine="567"/>
        <w:jc w:val="both"/>
      </w:pPr>
      <w:r>
        <w:t>107</w:t>
      </w:r>
      <w:r>
        <w:t>. Uždarosiose skirstyklose per reaktorius prijungtų linijų grandinėse prieš reaktorių įrengiami aparatai ir laidininkai turi būti parenkami pagal trumpojo jungimo srovę už reaktoriaus, jeigu jie skiriamosiomis lentynomis, perdangomis ir pan. atskirti nuo maitinančiųjų šynų (linijų atšakose – nuo pagrindinių grandžių elementų) ir jeigu reaktorius, esantis tame pačiame pastate, yra prijungtas šynomis.</w:t>
      </w:r>
    </w:p>
    <w:p>
      <w:pPr>
        <w:widowControl w:val="0"/>
        <w:tabs>
          <w:tab w:val="left" w:pos="-180"/>
          <w:tab w:val="left" w:pos="0"/>
          <w:tab w:val="left" w:pos="567"/>
          <w:tab w:val="left" w:pos="1440"/>
        </w:tabs>
        <w:ind w:firstLine="567"/>
        <w:jc w:val="both"/>
      </w:pPr>
      <w:r>
        <w:t>108</w:t>
      </w:r>
      <w:r>
        <w:t>. Tikrinant laidininkų terminį atsparumą trumpojo jungimo srovės tekėjimo trukme laikoma artimiausio nuo trumpojo jungimo vietos jungtuvo pagrindinės apsaugos poveikio trukmės (įvertinant ir automatinio kartotinio jungimo poveikio trukmę) ir šio jungtuvo išjungimo trukmės (įvertinant elektros lanko degimo trukmę – 0,03–0,05 sekundės) suma.</w:t>
      </w:r>
    </w:p>
    <w:p>
      <w:pPr>
        <w:widowControl w:val="0"/>
        <w:tabs>
          <w:tab w:val="left" w:pos="-180"/>
          <w:tab w:val="left" w:pos="0"/>
          <w:tab w:val="left" w:pos="567"/>
          <w:tab w:val="left" w:pos="1440"/>
        </w:tabs>
        <w:ind w:firstLine="567"/>
        <w:jc w:val="both"/>
      </w:pPr>
      <w:r>
        <w:t>Jeigu pagrindinė apsauga turi nejautros zoną (srovės, įtampos ir pan. atžvilgiu), tai terminiam atsparumui papildomai turi būti patikrinama apsauga, reaguojanti į gedimą šioje zonoje. Skaičiuojamąja srove reikia laikyti trumpojo jungimo srovę nagrinėjamame taške.</w:t>
      </w:r>
    </w:p>
    <w:p>
      <w:pPr>
        <w:widowControl w:val="0"/>
        <w:tabs>
          <w:tab w:val="left" w:pos="-180"/>
          <w:tab w:val="left" w:pos="0"/>
          <w:tab w:val="left" w:pos="567"/>
          <w:tab w:val="left" w:pos="1440"/>
        </w:tabs>
        <w:ind w:firstLine="567"/>
        <w:jc w:val="both"/>
      </w:pPr>
      <w:r>
        <w:t>60 MVA ir didesnės galios generatorių grandinėse ir tokios pat galios generatorių transformatorių blokų grandinėse esantys aparatai ir srovėlaidžiai turi būti tikrinami pagal 4 sekundžių trukmės trumpojo jungimo srovės terminio poveikio sąlygas.</w:t>
      </w:r>
    </w:p>
    <w:p>
      <w:pPr>
        <w:widowControl w:val="0"/>
        <w:ind w:firstLine="567"/>
        <w:jc w:val="both"/>
        <w:rPr>
          <w:b/>
        </w:rPr>
      </w:pPr>
    </w:p>
    <w:p>
      <w:pPr>
        <w:widowControl w:val="0"/>
        <w:jc w:val="center"/>
        <w:rPr>
          <w:b/>
        </w:rPr>
      </w:pPr>
      <w:r>
        <w:rPr>
          <w:b/>
        </w:rPr>
        <w:t>TREČIASIS</w:t>
      </w:r>
      <w:r>
        <w:rPr>
          <w:b/>
        </w:rPr>
        <w:t xml:space="preserve"> SKIRSNIS</w:t>
      </w:r>
    </w:p>
    <w:p>
      <w:pPr>
        <w:widowControl w:val="0"/>
        <w:jc w:val="center"/>
        <w:rPr>
          <w:b/>
        </w:rPr>
      </w:pPr>
      <w:r>
        <w:rPr>
          <w:b/>
        </w:rPr>
        <w:t xml:space="preserve">APARATŲ IR LAIDININKŲ PARINKIMAS PAGAL TRUMPOJO JUNGIMO SROVES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109</w:t>
      </w:r>
      <w:r>
        <w:t>. Visų įtampų</w:t>
      </w:r>
      <w:r>
        <w:rPr>
          <w:color w:val="0000FF"/>
        </w:rPr>
        <w:t xml:space="preserve"> </w:t>
      </w:r>
      <w:r>
        <w:t>elektros įrenginiuose aparatų, laidininkų ir laikančiųjų konstrukcijų trumpojo jungimo srovė skaičiuojama įvertinus šias sąlygas:</w:t>
      </w:r>
    </w:p>
    <w:p>
      <w:pPr>
        <w:widowControl w:val="0"/>
        <w:tabs>
          <w:tab w:val="left" w:pos="-180"/>
          <w:tab w:val="left" w:pos="0"/>
          <w:tab w:val="left" w:pos="567"/>
          <w:tab w:val="left" w:pos="709"/>
          <w:tab w:val="left" w:pos="993"/>
          <w:tab w:val="left" w:pos="1440"/>
        </w:tabs>
        <w:ind w:firstLine="567"/>
        <w:jc w:val="both"/>
      </w:pPr>
      <w:r>
        <w:t>109.1</w:t>
      </w:r>
      <w:r>
        <w:t>. visi elektros energijos šaltiniai, maitinantys skaičiuojamąjį trumpojo jungimo tašką, veikia vienu metu vardine galia;</w:t>
      </w:r>
    </w:p>
    <w:p>
      <w:pPr>
        <w:widowControl w:val="0"/>
        <w:tabs>
          <w:tab w:val="left" w:pos="-180"/>
          <w:tab w:val="left" w:pos="0"/>
          <w:tab w:val="left" w:pos="567"/>
          <w:tab w:val="left" w:pos="709"/>
          <w:tab w:val="left" w:pos="993"/>
          <w:tab w:val="left" w:pos="1440"/>
        </w:tabs>
        <w:ind w:firstLine="567"/>
        <w:jc w:val="both"/>
      </w:pPr>
      <w:r>
        <w:t>109.2</w:t>
      </w:r>
      <w:r>
        <w:t>. sinchroninės mašinos turi automatinius įtampos reguliatorius ir žadinimo forsavimo įtaisus;</w:t>
      </w:r>
    </w:p>
    <w:p>
      <w:pPr>
        <w:widowControl w:val="0"/>
        <w:tabs>
          <w:tab w:val="left" w:pos="-180"/>
          <w:tab w:val="left" w:pos="0"/>
          <w:tab w:val="left" w:pos="567"/>
          <w:tab w:val="left" w:pos="1440"/>
        </w:tabs>
        <w:ind w:firstLine="567"/>
        <w:jc w:val="both"/>
      </w:pPr>
      <w:r>
        <w:t>109.3</w:t>
      </w:r>
      <w:r>
        <w:t>. trumpasis jungimas vyksta tuo momentu, kai jo srovė yra didžiausia;</w:t>
      </w:r>
    </w:p>
    <w:p>
      <w:pPr>
        <w:widowControl w:val="0"/>
        <w:tabs>
          <w:tab w:val="left" w:pos="-180"/>
          <w:tab w:val="left" w:pos="0"/>
          <w:tab w:val="left" w:pos="567"/>
          <w:tab w:val="left" w:pos="1440"/>
        </w:tabs>
        <w:ind w:firstLine="567"/>
        <w:jc w:val="both"/>
      </w:pPr>
      <w:r>
        <w:t>109.4</w:t>
      </w:r>
      <w:r>
        <w:t>. visų maitinimo šaltinių elektrovaros jėgų fazės sutampa;</w:t>
      </w:r>
    </w:p>
    <w:p>
      <w:pPr>
        <w:widowControl w:val="0"/>
        <w:tabs>
          <w:tab w:val="left" w:pos="-180"/>
          <w:tab w:val="left" w:pos="0"/>
          <w:tab w:val="left" w:pos="567"/>
          <w:tab w:val="left" w:pos="1440"/>
        </w:tabs>
        <w:ind w:firstLine="567"/>
        <w:jc w:val="both"/>
      </w:pPr>
      <w:r>
        <w:t>109.5</w:t>
      </w:r>
      <w:r>
        <w:t>. kiekvienos įtampos tinkle laipto skaičiuojamoji įtampa yra 5 proc. didesnė už vardinę;</w:t>
      </w:r>
    </w:p>
    <w:p>
      <w:pPr>
        <w:widowControl w:val="0"/>
        <w:tabs>
          <w:tab w:val="left" w:pos="-180"/>
          <w:tab w:val="left" w:pos="0"/>
          <w:tab w:val="left" w:pos="567"/>
          <w:tab w:val="left" w:pos="1440"/>
        </w:tabs>
        <w:ind w:firstLine="567"/>
        <w:jc w:val="both"/>
      </w:pPr>
      <w:r>
        <w:t>109.6</w:t>
      </w:r>
      <w:r>
        <w:t>. visi prie tinklo prijungti sinchroniniai ir asinchroniniai varikliai maitina trumpojo jungimo tašką. Nevertintini iki 100 kW galios elektros varikliai, jeigu jie nuo trumpojo jungimo taško atskirti vienu transformavimo laiptu, ir bet kokios galios varikliai, jeigu jie nuo trumpojo jungimo taškų atskirti dviem (ir daugiau) transformavimo laiptais. Nevertintini ir tokie varikliai, kurių srovė į trumpojo jungimo tašką teka per didelę varžą turinčius grandinės elementus (ilgas linijas, transformatorius ir pan.), per kuriuos teka pagrindinis trumpojo jungimo srovės srautas.</w:t>
      </w:r>
    </w:p>
    <w:p>
      <w:pPr>
        <w:widowControl w:val="0"/>
        <w:tabs>
          <w:tab w:val="left" w:pos="-180"/>
          <w:tab w:val="left" w:pos="0"/>
          <w:tab w:val="left" w:pos="567"/>
          <w:tab w:val="left" w:pos="1440"/>
        </w:tabs>
        <w:ind w:firstLine="567"/>
        <w:jc w:val="both"/>
      </w:pPr>
      <w:r>
        <w:t>110</w:t>
      </w:r>
      <w:r>
        <w:t>. Skaičiuojant trumpojo jungimo sroves aukštesnės kaip 1000 V įtampos elektros įrenginiuose, vertinamos reaktyviosios elektros mašinų, galios transformatorių ir autotransformatorių, reaktorių, oro ir kabelių linijų ir srovėlaidžių varžos. Aktyviosios varžos vertintinos tik ilgose mažų skerspjūvių kabelių linijose.</w:t>
      </w:r>
    </w:p>
    <w:p>
      <w:pPr>
        <w:widowControl w:val="0"/>
        <w:tabs>
          <w:tab w:val="left" w:pos="-180"/>
          <w:tab w:val="left" w:pos="0"/>
          <w:tab w:val="left" w:pos="567"/>
          <w:tab w:val="left" w:pos="1440"/>
        </w:tabs>
        <w:ind w:firstLine="567"/>
        <w:jc w:val="both"/>
      </w:pPr>
      <w:r>
        <w:t>111</w:t>
      </w:r>
      <w:r>
        <w:t xml:space="preserve">. Skaičiuojant trumpojo jungimo srovę iki 1000 V įtampos elektros įrenginiuose, vertinamos induktyviosios ir aktyviosios visų tinklo elementų varžos ir aktyviosios pereinamųjų kontaktų varžos. </w:t>
      </w:r>
    </w:p>
    <w:p>
      <w:pPr>
        <w:widowControl w:val="0"/>
        <w:tabs>
          <w:tab w:val="left" w:pos="-180"/>
          <w:tab w:val="left" w:pos="0"/>
          <w:tab w:val="left" w:pos="567"/>
          <w:tab w:val="left" w:pos="1440"/>
        </w:tabs>
        <w:ind w:firstLine="567"/>
        <w:jc w:val="both"/>
      </w:pPr>
      <w:r>
        <w:t>112</w:t>
      </w:r>
      <w:r>
        <w:t>. Skaičiuojant trumpojo jungimo srovę iki 1000 V įtampos elektros tinkluose, būtina įvertinti tai, kad jų pirminės transformatorių apvijos įtampa yra vardinė.</w:t>
      </w:r>
    </w:p>
    <w:p>
      <w:pPr>
        <w:widowControl w:val="0"/>
        <w:tabs>
          <w:tab w:val="left" w:pos="-180"/>
          <w:tab w:val="left" w:pos="0"/>
          <w:tab w:val="left" w:pos="567"/>
          <w:tab w:val="left" w:pos="1440"/>
        </w:tabs>
        <w:ind w:firstLine="567"/>
        <w:jc w:val="both"/>
      </w:pPr>
      <w:r>
        <w:t>113</w:t>
      </w:r>
      <w:r>
        <w:t>. Tikrinamas elektros grandinių elementų, saugomų srovę ribojančių lydžiųjų saugiklių, mechaninis atsparumas pagal didžiausią momentinę saugikliui leistinąją trumpojo jungimo srovę.</w:t>
      </w:r>
    </w:p>
    <w:p>
      <w:pPr>
        <w:widowControl w:val="0"/>
        <w:ind w:firstLine="567"/>
        <w:jc w:val="both"/>
      </w:pPr>
    </w:p>
    <w:p>
      <w:pPr>
        <w:widowControl w:val="0"/>
        <w:jc w:val="center"/>
        <w:rPr>
          <w:b/>
        </w:rPr>
      </w:pPr>
      <w:r>
        <w:rPr>
          <w:b/>
        </w:rPr>
        <w:t>KETVIRTASIS</w:t>
      </w:r>
      <w:r>
        <w:rPr>
          <w:b/>
        </w:rPr>
        <w:t xml:space="preserve"> SKIRSNIS</w:t>
      </w:r>
    </w:p>
    <w:p>
      <w:pPr>
        <w:widowControl w:val="0"/>
        <w:jc w:val="center"/>
        <w:rPr>
          <w:b/>
        </w:rPr>
      </w:pPr>
      <w:r>
        <w:rPr>
          <w:b/>
        </w:rPr>
        <w:t xml:space="preserve">LAIDININKŲ IR IZOLIATORIŲ PARINKIMAS. LAIKANČIŲJŲ KONSTRUKCIJŲ ATSPARUMAS MECHANINIAM TRUMPOJO JUNGIMO SROVĖS POVEIKIUI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114</w:t>
      </w:r>
      <w:r>
        <w:t>. Jėgas, veikiančias standžias šynas, jas laikančius izoliatorius ir kitas standžias konstrukcijas, reikia skaičiuoti pagal didžiausią trifazio trumpojo jungimo srovę, įvertinant skirtumą srovių fazėse. Šynų ir jų konstrukcijų mechaniniai svyravimai vertinami tik tam tikrais atvejais, pavyzdžiui, skaičiuojant ribinius įtempius.</w:t>
      </w:r>
    </w:p>
    <w:p>
      <w:pPr>
        <w:widowControl w:val="0"/>
        <w:tabs>
          <w:tab w:val="left" w:pos="-180"/>
          <w:tab w:val="left" w:pos="0"/>
          <w:tab w:val="left" w:pos="1440"/>
        </w:tabs>
        <w:ind w:firstLine="567"/>
        <w:jc w:val="both"/>
      </w:pPr>
      <w:r>
        <w:t>Jėgų impulsai, veikiantys lanksčius laidininkus ir juos laikančius izoliatorius, įvadus ir konstrukcijas, skaičiuojami pagal dvifazio trumpojo jungimo tarp gretimų fazių vidutinę kvadratinę srovę. Jei fazė išskaidyta, trumpojo jungimo srovių sąveika tos pačios fazės laiduose nustatoma pagal efektinę trifazio trumpojo jungimo srovę. Lankstūs laidininkai turi nesusijungti esant trumpajam jungimui.</w:t>
      </w:r>
    </w:p>
    <w:p>
      <w:pPr>
        <w:widowControl w:val="0"/>
        <w:tabs>
          <w:tab w:val="left" w:pos="-180"/>
          <w:tab w:val="left" w:pos="0"/>
          <w:tab w:val="left" w:pos="1440"/>
        </w:tabs>
        <w:ind w:firstLine="567"/>
        <w:jc w:val="both"/>
      </w:pPr>
      <w:r>
        <w:t>115</w:t>
      </w:r>
      <w:r>
        <w:t>. Pagal Taisyklių 114 punkto reikalavimus apskaičiuoti trumpojo jungimo srovių mechaniniai įtempiai standžiose šynose, veikiantys laikančiuosius atraminius ir pereinamuosius izoliatorius, turi būti ne didesni kaip 60 proc. jų ribinių ardančiųjų įtempių – viengubiems izoliatoriams ir 100 proc. vieno izoliatoriaus ribinių ardančiųjų įtempių – dviem izoliatoriams.</w:t>
      </w:r>
    </w:p>
    <w:p>
      <w:pPr>
        <w:widowControl w:val="0"/>
        <w:tabs>
          <w:tab w:val="left" w:pos="-180"/>
          <w:tab w:val="left" w:pos="0"/>
          <w:tab w:val="left" w:pos="1440"/>
        </w:tabs>
        <w:ind w:firstLine="567"/>
        <w:jc w:val="both"/>
      </w:pPr>
      <w:r>
        <w:t>Naudojant šynų paketus, mechaniniai įtempiai nustatomi sudedant nuo kitų fazių sąveikos ir dėl tos pačios fazės kitų paketo šynų sąveikos atsirandančius įtempius.</w:t>
      </w:r>
    </w:p>
    <w:p>
      <w:pPr>
        <w:widowControl w:val="0"/>
        <w:tabs>
          <w:tab w:val="left" w:pos="-180"/>
          <w:tab w:val="left" w:pos="0"/>
          <w:tab w:val="left" w:pos="1440"/>
        </w:tabs>
        <w:ind w:firstLine="567"/>
        <w:jc w:val="both"/>
      </w:pPr>
      <w:r>
        <w:t>Didžiausi mechaniniai įtempiai šynose turi neviršyti 70 proc. ribinių trūkio įtempių, leidžiamų šynoms.</w:t>
      </w:r>
    </w:p>
    <w:p>
      <w:pPr>
        <w:widowControl w:val="0"/>
        <w:ind w:firstLine="567"/>
        <w:jc w:val="both"/>
      </w:pPr>
    </w:p>
    <w:p>
      <w:pPr>
        <w:widowControl w:val="0"/>
        <w:jc w:val="center"/>
        <w:outlineLvl w:val="1"/>
        <w:rPr>
          <w:b/>
        </w:rPr>
      </w:pPr>
      <w:r>
        <w:rPr>
          <w:b/>
        </w:rPr>
        <w:t>PENKTASIS</w:t>
      </w:r>
      <w:r>
        <w:rPr>
          <w:b/>
        </w:rPr>
        <w:t xml:space="preserve"> SKIRSNIS</w:t>
      </w:r>
    </w:p>
    <w:p>
      <w:pPr>
        <w:widowControl w:val="0"/>
        <w:jc w:val="center"/>
        <w:outlineLvl w:val="1"/>
        <w:rPr>
          <w:b/>
        </w:rPr>
      </w:pPr>
      <w:r>
        <w:rPr>
          <w:b/>
        </w:rPr>
        <w:t xml:space="preserve">LAIDININKŲ PARINKIMAS PAGAL JŲ TERMINĮ ATSPARUMĄ TRUMPOJO JUNGIMO SROVEI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116</w:t>
      </w:r>
      <w:r>
        <w:t>. Laidininkų įšilimo temperatūra trumpojo jungimo metu turi būti ne didesnė kaip:</w:t>
      </w:r>
    </w:p>
    <w:p>
      <w:pPr>
        <w:widowControl w:val="0"/>
        <w:tabs>
          <w:tab w:val="left" w:pos="-180"/>
          <w:tab w:val="left" w:pos="0"/>
          <w:tab w:val="left" w:pos="709"/>
          <w:tab w:val="left" w:pos="993"/>
          <w:tab w:val="left" w:pos="1440"/>
          <w:tab w:val="left" w:pos="5812"/>
        </w:tabs>
        <w:ind w:firstLine="567"/>
        <w:jc w:val="both"/>
      </w:pPr>
      <w:r>
        <w:t>116.1</w:t>
      </w:r>
      <w:r>
        <w:t xml:space="preserve">. varinių šynų – +300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116.2</w:t>
      </w:r>
      <w:r>
        <w:t xml:space="preserve">. aliumininių šynų – +200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116.3</w:t>
      </w:r>
      <w:r>
        <w:t xml:space="preserve">. plieninių šynų, tiesiogiai nesujungtų su aparatais, – +400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116.4</w:t>
      </w:r>
      <w:r>
        <w:t xml:space="preserve">. plieninių šynų, sujungtų su aparatais, – +300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116.5</w:t>
      </w:r>
      <w:r>
        <w:t xml:space="preserve">. iki 10 kV įtampos kabelių įmirkyta popierine izoliacija – +200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116.6</w:t>
      </w:r>
      <w:r>
        <w:t xml:space="preserve">. 35–220 kV įtampos kabelių – +125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116.7</w:t>
      </w:r>
      <w:r>
        <w:t xml:space="preserve">. kabelių ir izoliuotų laidų su varinėmis ir aliumininėmis gyslomis polietilenine izoliacija – +105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116.8</w:t>
      </w:r>
      <w:r>
        <w:t xml:space="preserve">. kabelių ir izoliuotų laidų su varinėmis ir aliumininėmis gyslomis polivinilchloridine ir gumine izoliacija – +120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116.9</w:t>
      </w:r>
      <w:r>
        <w:t xml:space="preserve">. kabelių ir izoliuotų laidų su varinėmis ir aliumininėmis gyslomis vulkanizuoto polietileno (XLPE) izoliacija – +250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116.10</w:t>
      </w:r>
      <w:r>
        <w:t>. varinių neizoliuotų laidų, kai jų įtempis mažesnis kaip 20 N/mm</w:t>
      </w:r>
      <w:r>
        <w:rPr>
          <w:vertAlign w:val="superscript"/>
        </w:rPr>
        <w:t>2</w:t>
      </w:r>
      <w:r>
        <w:t xml:space="preserve">, – +250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116.11</w:t>
      </w:r>
      <w:r>
        <w:t>. varinių neizoliuotų laidų, kai jų įtempis 20 N/mm</w:t>
      </w:r>
      <w:r>
        <w:rPr>
          <w:vertAlign w:val="superscript"/>
        </w:rPr>
        <w:t>2</w:t>
      </w:r>
      <w:r>
        <w:t xml:space="preserve"> ir didesnis, – +200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116.12</w:t>
      </w:r>
      <w:r>
        <w:t>. aliumininių neizoliuotų laidų, kai jų įtempis iki 10 N/mm</w:t>
      </w:r>
      <w:r>
        <w:rPr>
          <w:vertAlign w:val="superscript"/>
        </w:rPr>
        <w:t>2</w:t>
      </w:r>
      <w:r>
        <w:t xml:space="preserve">, – +200 </w:t>
      </w:r>
      <w:r>
        <w:rPr>
          <w:vertAlign w:val="superscript"/>
        </w:rPr>
        <w:t>o</w:t>
      </w:r>
      <w:r>
        <w:t>C;</w:t>
      </w:r>
    </w:p>
    <w:p>
      <w:pPr>
        <w:widowControl w:val="0"/>
        <w:tabs>
          <w:tab w:val="left" w:pos="-180"/>
          <w:tab w:val="left" w:pos="0"/>
          <w:tab w:val="left" w:pos="709"/>
          <w:tab w:val="left" w:pos="993"/>
          <w:tab w:val="left" w:pos="1440"/>
          <w:tab w:val="left" w:pos="5812"/>
        </w:tabs>
        <w:ind w:firstLine="567"/>
        <w:jc w:val="both"/>
      </w:pPr>
      <w:r>
        <w:t>116.13</w:t>
      </w:r>
      <w:r>
        <w:t>. aliumininių neizoliuotų laidų, kai jų įtempis 10 N/mm</w:t>
      </w:r>
      <w:r>
        <w:rPr>
          <w:vertAlign w:val="superscript"/>
        </w:rPr>
        <w:t>2</w:t>
      </w:r>
      <w:r>
        <w:t xml:space="preserve"> ir didesnis, – +160 oc;</w:t>
      </w:r>
    </w:p>
    <w:p>
      <w:pPr>
        <w:widowControl w:val="0"/>
        <w:tabs>
          <w:tab w:val="left" w:pos="-180"/>
          <w:tab w:val="left" w:pos="0"/>
          <w:tab w:val="left" w:pos="709"/>
          <w:tab w:val="left" w:pos="993"/>
          <w:tab w:val="left" w:pos="1440"/>
          <w:tab w:val="left" w:pos="5812"/>
        </w:tabs>
        <w:ind w:firstLine="567"/>
        <w:jc w:val="both"/>
      </w:pPr>
      <w:r>
        <w:t>116.14</w:t>
      </w:r>
      <w:r>
        <w:t xml:space="preserve">. plieninių aliumininių laidų – +200 </w:t>
      </w:r>
      <w:r>
        <w:rPr>
          <w:vertAlign w:val="superscript"/>
        </w:rPr>
        <w:t>o</w:t>
      </w:r>
      <w:r>
        <w:t>C.</w:t>
      </w:r>
    </w:p>
    <w:p>
      <w:pPr>
        <w:widowControl w:val="0"/>
        <w:tabs>
          <w:tab w:val="left" w:pos="-180"/>
          <w:tab w:val="left" w:pos="0"/>
          <w:tab w:val="left" w:pos="567"/>
          <w:tab w:val="left" w:pos="1440"/>
        </w:tabs>
        <w:ind w:firstLine="567"/>
        <w:jc w:val="both"/>
      </w:pPr>
      <w:r>
        <w:t>117</w:t>
      </w:r>
      <w:r>
        <w:t>. Pagal Taisyklių 101 ir 102 punktų reikalavimus tikrinant kabelių terminį atsparumą, trumpojo jungimo srovė apskaičiuojama:</w:t>
      </w:r>
    </w:p>
    <w:p>
      <w:pPr>
        <w:widowControl w:val="0"/>
        <w:tabs>
          <w:tab w:val="left" w:pos="-180"/>
          <w:tab w:val="left" w:pos="0"/>
          <w:tab w:val="left" w:pos="567"/>
          <w:tab w:val="left" w:pos="709"/>
          <w:tab w:val="left" w:pos="993"/>
          <w:tab w:val="left" w:pos="1440"/>
        </w:tabs>
        <w:ind w:firstLine="567"/>
        <w:jc w:val="both"/>
      </w:pPr>
      <w:r>
        <w:t>117.1</w:t>
      </w:r>
      <w:r>
        <w:t>. pavienių vieno statybinio ilgio kabelių – kabelio pradžioje;</w:t>
      </w:r>
    </w:p>
    <w:p>
      <w:pPr>
        <w:widowControl w:val="0"/>
        <w:tabs>
          <w:tab w:val="left" w:pos="-180"/>
          <w:tab w:val="left" w:pos="0"/>
          <w:tab w:val="left" w:pos="567"/>
          <w:tab w:val="left" w:pos="709"/>
          <w:tab w:val="left" w:pos="993"/>
          <w:tab w:val="left" w:pos="1440"/>
        </w:tabs>
        <w:ind w:firstLine="567"/>
        <w:jc w:val="both"/>
      </w:pPr>
      <w:r>
        <w:t>117.2</w:t>
      </w:r>
      <w:r>
        <w:t>. pavienių laiptuoto skerspjūvio kabelių linijų – kiekvieno skirtingo skerspjūvio kabelio ruožo pradžioje;</w:t>
      </w:r>
    </w:p>
    <w:p>
      <w:pPr>
        <w:widowControl w:val="0"/>
        <w:tabs>
          <w:tab w:val="left" w:pos="-180"/>
          <w:tab w:val="left" w:pos="0"/>
          <w:tab w:val="left" w:pos="567"/>
          <w:tab w:val="left" w:pos="709"/>
          <w:tab w:val="left" w:pos="993"/>
          <w:tab w:val="left" w:pos="1440"/>
        </w:tabs>
        <w:ind w:firstLine="567"/>
        <w:jc w:val="both"/>
      </w:pPr>
      <w:r>
        <w:t>117.3</w:t>
      </w:r>
      <w:r>
        <w:t>. lygiagrečiai sujungtų kabelių pluošto – artimiausiame taške už kabelių pluošto.</w:t>
      </w:r>
    </w:p>
    <w:p>
      <w:pPr>
        <w:widowControl w:val="0"/>
        <w:tabs>
          <w:tab w:val="left" w:pos="-180"/>
          <w:tab w:val="left" w:pos="0"/>
          <w:tab w:val="left" w:pos="567"/>
          <w:tab w:val="left" w:pos="1440"/>
        </w:tabs>
        <w:ind w:firstLine="567"/>
        <w:jc w:val="both"/>
      </w:pPr>
      <w:r>
        <w:t>118</w:t>
      </w:r>
      <w:r>
        <w:t>. Tikrinant aparatų ir laidininkų terminį atsparumą trumpojo jungimo srovių poveikiui linijose, turinčiose automatinio kartotinio įjungimo įtaisus, būtina įvertinti suminę trumpojo jungimo srovės tekėjimo trukmę.</w:t>
      </w:r>
    </w:p>
    <w:p>
      <w:pPr>
        <w:widowControl w:val="0"/>
        <w:ind w:firstLine="567"/>
        <w:jc w:val="both"/>
      </w:pPr>
    </w:p>
    <w:p>
      <w:pPr>
        <w:widowControl w:val="0"/>
        <w:jc w:val="center"/>
        <w:outlineLvl w:val="1"/>
        <w:rPr>
          <w:b/>
        </w:rPr>
      </w:pPr>
      <w:r>
        <w:rPr>
          <w:b/>
        </w:rPr>
        <w:t>ŠEŠTASIS</w:t>
      </w:r>
      <w:r>
        <w:rPr>
          <w:b/>
        </w:rPr>
        <w:t xml:space="preserve"> SKIRSNIS</w:t>
      </w:r>
    </w:p>
    <w:p>
      <w:pPr>
        <w:widowControl w:val="0"/>
        <w:jc w:val="center"/>
        <w:outlineLvl w:val="1"/>
        <w:rPr>
          <w:b/>
        </w:rPr>
      </w:pPr>
      <w:r>
        <w:rPr>
          <w:b/>
        </w:rPr>
        <w:t xml:space="preserve">KABELIŲ PARINKIMAS PAGAL ATSPARUMĄ UGNIAI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119</w:t>
      </w:r>
      <w:r>
        <w:t>. Elektros instaliacija priešgaisrinės saugos atžvilgiu turi būti įrengiama taip, kad:</w:t>
      </w:r>
    </w:p>
    <w:p>
      <w:pPr>
        <w:widowControl w:val="0"/>
        <w:tabs>
          <w:tab w:val="left" w:pos="-180"/>
          <w:tab w:val="left" w:pos="0"/>
          <w:tab w:val="left" w:pos="567"/>
          <w:tab w:val="left" w:pos="993"/>
          <w:tab w:val="left" w:pos="1440"/>
        </w:tabs>
        <w:ind w:firstLine="567"/>
        <w:jc w:val="both"/>
      </w:pPr>
      <w:r>
        <w:t>119.1</w:t>
      </w:r>
      <w:r>
        <w:t>. nesukeltų gaisro;</w:t>
      </w:r>
    </w:p>
    <w:p>
      <w:pPr>
        <w:widowControl w:val="0"/>
        <w:tabs>
          <w:tab w:val="left" w:pos="-180"/>
          <w:tab w:val="left" w:pos="0"/>
          <w:tab w:val="left" w:pos="567"/>
          <w:tab w:val="left" w:pos="993"/>
          <w:tab w:val="left" w:pos="1440"/>
        </w:tabs>
        <w:ind w:firstLine="567"/>
        <w:jc w:val="both"/>
      </w:pPr>
      <w:r>
        <w:t>119.2</w:t>
      </w:r>
      <w:r>
        <w:t>. aktyviai neskatintų gaisro;</w:t>
      </w:r>
    </w:p>
    <w:p>
      <w:pPr>
        <w:widowControl w:val="0"/>
        <w:tabs>
          <w:tab w:val="left" w:pos="-180"/>
          <w:tab w:val="left" w:pos="0"/>
          <w:tab w:val="left" w:pos="567"/>
          <w:tab w:val="left" w:pos="993"/>
          <w:tab w:val="left" w:pos="1440"/>
        </w:tabs>
        <w:ind w:firstLine="567"/>
        <w:jc w:val="both"/>
      </w:pPr>
      <w:r>
        <w:t>119.3</w:t>
      </w:r>
      <w:r>
        <w:t>. ribotų gaisro plitimą;</w:t>
      </w:r>
    </w:p>
    <w:p>
      <w:pPr>
        <w:widowControl w:val="0"/>
        <w:tabs>
          <w:tab w:val="left" w:pos="-180"/>
          <w:tab w:val="left" w:pos="0"/>
          <w:tab w:val="left" w:pos="567"/>
          <w:tab w:val="left" w:pos="993"/>
          <w:tab w:val="left" w:pos="1440"/>
        </w:tabs>
        <w:ind w:firstLine="567"/>
        <w:jc w:val="both"/>
      </w:pPr>
      <w:r>
        <w:t>119.4</w:t>
      </w:r>
      <w:r>
        <w:t>. kilus gaisrui, būtų galimybė imtis veiksmingų gaisro gesinimo priemonių ir atlikti gelbėjimo darbus.</w:t>
      </w:r>
    </w:p>
    <w:p>
      <w:pPr>
        <w:widowControl w:val="0"/>
        <w:tabs>
          <w:tab w:val="left" w:pos="-180"/>
          <w:tab w:val="left" w:pos="0"/>
          <w:tab w:val="left" w:pos="567"/>
          <w:tab w:val="left" w:pos="993"/>
          <w:tab w:val="left" w:pos="1440"/>
        </w:tabs>
        <w:ind w:firstLine="567"/>
        <w:jc w:val="both"/>
      </w:pPr>
      <w:r>
        <w:t>120</w:t>
      </w:r>
      <w:r>
        <w:t>. Elektros kabeliai pagal degumo klases</w:t>
      </w:r>
      <w:r>
        <w:rPr>
          <w:color w:val="FF0000"/>
        </w:rPr>
        <w:t xml:space="preserve"> </w:t>
      </w:r>
      <w:r>
        <w:t xml:space="preserve">turi būti parenkami atsižvelgiant į statinio paskirtį. </w:t>
      </w:r>
    </w:p>
    <w:p>
      <w:pPr>
        <w:widowControl w:val="0"/>
        <w:tabs>
          <w:tab w:val="left" w:pos="-180"/>
          <w:tab w:val="left" w:pos="0"/>
          <w:tab w:val="left" w:pos="567"/>
          <w:tab w:val="left" w:pos="993"/>
          <w:tab w:val="left" w:pos="1440"/>
        </w:tabs>
        <w:ind w:firstLine="567"/>
        <w:jc w:val="both"/>
        <w:rPr>
          <w:b/>
        </w:rPr>
      </w:pPr>
      <w:r>
        <w:t xml:space="preserve">Elektros kabelių degumo klasės nurodytos Lietuvos standarte LST EN 13501-6 „Statybos gaminių ir statinio elementų klasifikavimas pagal atsparumą ugniai. 6 dalis. Klasifikavimas pagal elektros kabelių atsako į ugnį bandymų duomenis.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widowControl w:val="0"/>
        <w:jc w:val="center"/>
        <w:rPr>
          <w:b/>
        </w:rPr>
      </w:pPr>
      <w:r>
        <w:rPr>
          <w:b/>
        </w:rPr>
        <w:t>SEPTINTASIS</w:t>
      </w:r>
      <w:r>
        <w:rPr>
          <w:b/>
        </w:rPr>
        <w:t xml:space="preserve"> SKIRSNIS</w:t>
      </w:r>
    </w:p>
    <w:p>
      <w:pPr>
        <w:widowControl w:val="0"/>
        <w:jc w:val="center"/>
        <w:rPr>
          <w:b/>
        </w:rPr>
      </w:pPr>
      <w:r>
        <w:rPr>
          <w:b/>
        </w:rPr>
        <w:t xml:space="preserve">APARATŲ PARINKIMAS PAGAL KOMUTACINĘ GALIĄ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121</w:t>
      </w:r>
      <w:r>
        <w:t>. Aukštesnės kaip 1000 V įtampos jungtuvai turi būti parenkami:</w:t>
      </w:r>
    </w:p>
    <w:p>
      <w:pPr>
        <w:widowControl w:val="0"/>
        <w:tabs>
          <w:tab w:val="left" w:pos="-180"/>
          <w:tab w:val="left" w:pos="0"/>
          <w:tab w:val="left" w:pos="567"/>
          <w:tab w:val="left" w:pos="709"/>
          <w:tab w:val="left" w:pos="993"/>
          <w:tab w:val="left" w:pos="1440"/>
        </w:tabs>
        <w:ind w:firstLine="567"/>
        <w:jc w:val="both"/>
      </w:pPr>
      <w:r>
        <w:t>121.1</w:t>
      </w:r>
      <w:r>
        <w:t>. pagal išjungiamąją galią, įvertinant atsikuriančios įtampos parametrus;</w:t>
      </w:r>
    </w:p>
    <w:p>
      <w:pPr>
        <w:widowControl w:val="0"/>
        <w:tabs>
          <w:tab w:val="left" w:pos="-180"/>
          <w:tab w:val="left" w:pos="0"/>
          <w:tab w:val="left" w:pos="567"/>
          <w:tab w:val="left" w:pos="709"/>
          <w:tab w:val="left" w:pos="993"/>
          <w:tab w:val="left" w:pos="1440"/>
        </w:tabs>
        <w:ind w:firstLine="567"/>
        <w:jc w:val="both"/>
      </w:pPr>
      <w:r>
        <w:t>121.2</w:t>
      </w:r>
      <w:r>
        <w:t>. pagal įjungiamąją galią. Tikrinamas tik generatorių jungtuvų generatoriaus įtampos pusėje nesinchroninis įjungimas.</w:t>
      </w:r>
    </w:p>
    <w:p>
      <w:pPr>
        <w:widowControl w:val="0"/>
        <w:tabs>
          <w:tab w:val="left" w:pos="-180"/>
          <w:tab w:val="left" w:pos="0"/>
          <w:tab w:val="left" w:pos="567"/>
          <w:tab w:val="left" w:pos="1440"/>
        </w:tabs>
        <w:ind w:firstLine="567"/>
        <w:jc w:val="both"/>
      </w:pPr>
      <w:r>
        <w:t>122</w:t>
      </w:r>
      <w:r>
        <w:t>. Saugikliai turi būti parenkami pagal išjungiamąją galią. Skaičiuojamąja srove reikia įvertinti efektinę periodinės trumpojo jungimo srovės vertę, nevertinant saugikliu ribojamos srovės.</w:t>
      </w:r>
    </w:p>
    <w:p>
      <w:pPr>
        <w:widowControl w:val="0"/>
        <w:tabs>
          <w:tab w:val="left" w:pos="-180"/>
          <w:tab w:val="left" w:pos="0"/>
          <w:tab w:val="left" w:pos="567"/>
          <w:tab w:val="left" w:pos="1440"/>
        </w:tabs>
        <w:ind w:firstLine="567"/>
        <w:jc w:val="both"/>
      </w:pPr>
      <w:r>
        <w:t>123</w:t>
      </w:r>
      <w:r>
        <w:t>. Galios skyrikliai ir trumpikliai turi būti parenkami pagal ribinę trumpojo jungimo srovę.</w:t>
      </w:r>
    </w:p>
    <w:p>
      <w:pPr>
        <w:widowControl w:val="0"/>
        <w:ind w:firstLine="567"/>
        <w:jc w:val="both"/>
        <w:rPr>
          <w:color w:val="000000"/>
        </w:rPr>
      </w:pPr>
      <w:r>
        <w:rPr>
          <w:color w:val="000000"/>
        </w:rPr>
        <w:t>124</w:t>
      </w:r>
      <w:r>
        <w:rPr>
          <w:color w:val="000000"/>
        </w:rPr>
        <w:t>. Tikrinti skyriklių ir skirtuvų komutacinę galią trumpojo jungimo atveju nereikalaujama, jeigu skyrikliai ir skirtuvai naudojami neapkrautų linijų, transformatorių arba lygiagrečių grandžių išlyginamajai srovei įjungti ir išjungti.</w:t>
      </w:r>
    </w:p>
    <w:p>
      <w:pPr>
        <w:widowControl w:val="0"/>
        <w:ind w:firstLine="567"/>
        <w:jc w:val="both"/>
      </w:pPr>
    </w:p>
    <w:p>
      <w:pPr>
        <w:jc w:val="center"/>
        <w:rPr>
          <w:szCs w:val="24"/>
        </w:rPr>
      </w:pPr>
      <w:r>
        <w:rPr>
          <w:b/>
          <w:bCs/>
          <w:color w:val="000000"/>
          <w:szCs w:val="24"/>
          <w:lang w:eastAsia="lt-LT"/>
        </w:rPr>
        <w:t>V</w:t>
      </w:r>
      <w:r>
        <w:rPr>
          <w:b/>
          <w:bCs/>
          <w:color w:val="000000"/>
          <w:szCs w:val="24"/>
          <w:vertAlign w:val="superscript"/>
          <w:lang w:eastAsia="lt-LT"/>
        </w:rPr>
        <w:t>1</w:t>
      </w:r>
      <w:r>
        <w:rPr>
          <w:b/>
          <w:bCs/>
          <w:color w:val="000000"/>
          <w:szCs w:val="24"/>
          <w:lang w:eastAsia="lt-LT"/>
        </w:rPr>
        <w:t xml:space="preserve"> SKYRIUS</w:t>
      </w:r>
    </w:p>
    <w:p>
      <w:pPr>
        <w:jc w:val="center"/>
        <w:rPr>
          <w:b/>
          <w:szCs w:val="24"/>
        </w:rPr>
      </w:pPr>
      <w:r>
        <w:rPr>
          <w:b/>
          <w:szCs w:val="24"/>
        </w:rPr>
        <w:t>KILNOJAMŲJŲ ELEKTROS ENERGETIKOS OBJEKTŲ IR ĮRENGINIŲ ĮRENGIMAS</w:t>
      </w:r>
    </w:p>
    <w:p>
      <w:pPr>
        <w:jc w:val="center"/>
        <w:rPr>
          <w:b/>
          <w:szCs w:val="24"/>
        </w:rPr>
      </w:pPr>
    </w:p>
    <w:p>
      <w:pPr>
        <w:jc w:val="center"/>
        <w:rPr>
          <w:b/>
          <w:szCs w:val="24"/>
        </w:rPr>
      </w:pPr>
      <w:r>
        <w:rPr>
          <w:b/>
          <w:szCs w:val="24"/>
        </w:rPr>
        <w:t>PIRMASIS</w:t>
      </w:r>
      <w:r>
        <w:rPr>
          <w:b/>
          <w:szCs w:val="24"/>
        </w:rPr>
        <w:t xml:space="preserve"> SKIRSNIS</w:t>
      </w:r>
    </w:p>
    <w:p>
      <w:pPr>
        <w:widowControl w:val="0"/>
        <w:jc w:val="center"/>
        <w:rPr>
          <w:b/>
          <w:szCs w:val="24"/>
        </w:rPr>
      </w:pPr>
      <w:r>
        <w:rPr>
          <w:b/>
          <w:szCs w:val="24"/>
        </w:rPr>
        <w:t>TAIKYMO SRITIS</w:t>
      </w:r>
    </w:p>
    <w:p>
      <w:pPr>
        <w:rPr>
          <w:b/>
          <w:szCs w:val="24"/>
        </w:rPr>
      </w:pPr>
    </w:p>
    <w:p>
      <w:pPr>
        <w:widowControl w:val="0"/>
        <w:tabs>
          <w:tab w:val="left" w:pos="993"/>
        </w:tabs>
        <w:ind w:firstLine="567"/>
        <w:jc w:val="both"/>
        <w:rPr>
          <w:szCs w:val="24"/>
          <w:lang w:eastAsia="lt-LT"/>
        </w:rPr>
      </w:pPr>
      <w:r>
        <w:rPr>
          <w:szCs w:val="24"/>
          <w:lang w:eastAsia="lt-LT"/>
        </w:rPr>
        <w:t>124</w:t>
      </w:r>
      <w:r>
        <w:rPr>
          <w:szCs w:val="24"/>
          <w:vertAlign w:val="superscript"/>
          <w:lang w:eastAsia="lt-LT"/>
        </w:rPr>
        <w:t>1</w:t>
      </w:r>
      <w:r>
        <w:rPr>
          <w:szCs w:val="24"/>
          <w:lang w:eastAsia="lt-LT"/>
        </w:rPr>
        <w:t>. Kilnojamuosius elektros energetikos objektus ir įrenginius, išskyrus vartotojo elektros įrenginius ypatinguose statiniuose, įrengti turi teisę asmenys, pagal Elektros energetikos įstatymo 75</w:t>
      </w:r>
      <w:r>
        <w:rPr>
          <w:szCs w:val="24"/>
          <w:vertAlign w:val="superscript"/>
          <w:lang w:eastAsia="lt-LT"/>
        </w:rPr>
        <w:t xml:space="preserve">2 </w:t>
      </w:r>
      <w:r>
        <w:rPr>
          <w:szCs w:val="24"/>
          <w:lang w:eastAsia="lt-LT"/>
        </w:rPr>
        <w:t xml:space="preserve">straipsnio 1 ar 2 dalį turintys teisę būti kilnojamųjų elektros energetikos objektų ir įrenginių įrengimo rangovais. Vartotojo elektros įrenginius ypatinguose statiniuose įrengti </w:t>
      </w:r>
      <w:r>
        <w:rPr>
          <w:szCs w:val="24"/>
        </w:rPr>
        <w:t xml:space="preserve">turi teisę </w:t>
      </w:r>
      <w:r>
        <w:rPr>
          <w:color w:val="000000"/>
          <w:szCs w:val="24"/>
        </w:rPr>
        <w:t xml:space="preserve">Statybos įstatyme nurodyti asmenys, kuriems suteikta </w:t>
      </w:r>
      <w:r>
        <w:rPr>
          <w:szCs w:val="24"/>
        </w:rPr>
        <w:t>teisė būti ypatingųjų statinių statybos rangovais ir vykdyti statinio elektros inžinerinių sistemų įrengimo darbus</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ind w:firstLine="567"/>
        <w:jc w:val="both"/>
        <w:rPr>
          <w:szCs w:val="24"/>
        </w:rPr>
      </w:pPr>
      <w:r>
        <w:rPr>
          <w:szCs w:val="24"/>
        </w:rPr>
        <w:t>124</w:t>
      </w:r>
      <w:r>
        <w:rPr>
          <w:szCs w:val="24"/>
          <w:vertAlign w:val="superscript"/>
        </w:rPr>
        <w:t>2</w:t>
      </w:r>
      <w:r>
        <w:rPr>
          <w:szCs w:val="24"/>
        </w:rPr>
        <w:t xml:space="preserve">. Kilnojamųjų elektros energetikos objektų ir įrenginių įrengimo rangovai ir fiziniai asmenys, įrengiantys vartotojo elektros įrenginius, privalo turėti energetikos darbuotojus, atestuotus </w:t>
      </w:r>
      <w:r>
        <w:rPr>
          <w:color w:val="000000"/>
          <w:szCs w:val="24"/>
          <w:lang w:eastAsia="lt-LT"/>
        </w:rPr>
        <w:t>Energetikos objektus, įrenginius įrengiančių ir eksploatuojančių darbuotojų atestavimo tvarkos aprašo, patvirtinto Lietuvos Respublikos energetikos ministro 2012 m. lapkričio 7 d. įsakymu Nr. 1-220 „Dėl Energetikos objektus, įrenginius įrengiančių ir (ar) eksploatuojančių darbuotojų atestavimo tvarkos aprašo patvirtinimo“,</w:t>
      </w:r>
      <w:r>
        <w:rPr>
          <w:szCs w:val="24"/>
        </w:rPr>
        <w:t xml:space="preserv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029900cf411e9a5eaf2cd290f1944">
        <w:r w:rsidRPr="00532B9F">
          <w:rPr>
            <w:rFonts w:ascii="Times New Roman" w:eastAsia="MS Mincho" w:hAnsi="Times New Roman"/>
            <w:sz w:val="20"/>
            <w:i/>
            <w:iCs/>
            <w:color w:val="0000FF" w:themeColor="hyperlink"/>
            <w:u w:val="single"/>
          </w:rPr>
          <w:t>1-443</w:t>
        </w:r>
      </w:fldSimple>
      <w:r>
        <w:rPr>
          <w:rFonts w:ascii="Times New Roman" w:eastAsia="MS Mincho" w:hAnsi="Times New Roman"/>
          <w:sz w:val="20"/>
          <w:i/>
          <w:iCs/>
        </w:rPr>
        <w:t>,
2018-12-31,
paskelbta TAR 2018-12-31, i. k. 2018-22118            </w:t>
      </w:r>
    </w:p>
    <w:p/>
    <w:p>
      <w:pPr>
        <w:widowControl w:val="0"/>
        <w:jc w:val="center"/>
        <w:rPr>
          <w:b/>
          <w:szCs w:val="24"/>
        </w:rPr>
      </w:pPr>
      <w:r>
        <w:rPr>
          <w:b/>
          <w:szCs w:val="24"/>
        </w:rPr>
        <w:t>ANTRASIS</w:t>
      </w:r>
      <w:r>
        <w:rPr>
          <w:b/>
          <w:szCs w:val="24"/>
        </w:rPr>
        <w:t xml:space="preserve"> SKIRSNIS</w:t>
      </w:r>
    </w:p>
    <w:p>
      <w:pPr>
        <w:widowControl w:val="0"/>
        <w:jc w:val="center"/>
        <w:rPr>
          <w:b/>
          <w:szCs w:val="24"/>
        </w:rPr>
      </w:pPr>
      <w:r>
        <w:rPr>
          <w:b/>
          <w:szCs w:val="24"/>
        </w:rPr>
        <w:t>KILNOJAMŲJŲ ELEKTROS ENERGETIKOS OBJEKTŲ IR ĮRENGINIŲ ĮRENGIMO PROCESAS</w:t>
      </w:r>
    </w:p>
    <w:p>
      <w:pPr>
        <w:ind w:left="1800"/>
        <w:jc w:val="both"/>
        <w:rPr>
          <w:szCs w:val="24"/>
        </w:rPr>
      </w:pPr>
    </w:p>
    <w:p>
      <w:pPr>
        <w:ind w:firstLine="567"/>
        <w:jc w:val="both"/>
        <w:rPr>
          <w:szCs w:val="24"/>
        </w:rPr>
      </w:pPr>
      <w:r>
        <w:rPr>
          <w:szCs w:val="24"/>
        </w:rPr>
        <w:t>124</w:t>
      </w:r>
      <w:r>
        <w:rPr>
          <w:szCs w:val="24"/>
          <w:vertAlign w:val="superscript"/>
        </w:rPr>
        <w:t>3</w:t>
      </w:r>
      <w:r>
        <w:rPr>
          <w:szCs w:val="24"/>
        </w:rPr>
        <w:t>. Kilnojamųjų elektros energetikos objektų ir įrenginių įrengimo darbai vykdomi pagal:</w:t>
      </w:r>
    </w:p>
    <w:p>
      <w:pPr>
        <w:ind w:firstLine="567"/>
        <w:jc w:val="both"/>
        <w:rPr>
          <w:szCs w:val="24"/>
        </w:rPr>
      </w:pPr>
      <w:r>
        <w:rPr>
          <w:szCs w:val="24"/>
        </w:rPr>
        <w:t>124</w:t>
      </w:r>
      <w:r>
        <w:rPr>
          <w:szCs w:val="24"/>
          <w:vertAlign w:val="superscript"/>
        </w:rPr>
        <w:t>3</w:t>
      </w:r>
      <w:r>
        <w:rPr>
          <w:szCs w:val="24"/>
        </w:rPr>
        <w:t>.1</w:t>
      </w:r>
      <w:r>
        <w:rPr>
          <w:szCs w:val="24"/>
        </w:rPr>
        <w:t>. užbaigtą kilnojamųjų elektros energetikos objektų ir įrenginių įrengimo projektą arba techninę užduotį įrengimui (tais atvejais, kai projekto neprivaloma rengti);</w:t>
      </w:r>
    </w:p>
    <w:p>
      <w:pPr>
        <w:ind w:firstLine="567"/>
        <w:jc w:val="both"/>
        <w:rPr>
          <w:szCs w:val="24"/>
        </w:rPr>
      </w:pPr>
      <w:r>
        <w:rPr>
          <w:szCs w:val="24"/>
        </w:rPr>
        <w:t>124</w:t>
      </w:r>
      <w:r>
        <w:rPr>
          <w:szCs w:val="24"/>
          <w:vertAlign w:val="superscript"/>
        </w:rPr>
        <w:t>3</w:t>
      </w:r>
      <w:r>
        <w:rPr>
          <w:szCs w:val="24"/>
        </w:rPr>
        <w:t>.2</w:t>
      </w:r>
      <w:r>
        <w:rPr>
          <w:szCs w:val="24"/>
        </w:rPr>
        <w:t>. įstatymų, Vyriausybės ir jos įgaliotų institucijų nutarimų, kitų institucijų, priimančių elektros energetikos sektoriaus veiklą reglamentuojančias teisės normas, nutarimų, teritorijų planavimo dokumentų, Taisyklių reikalavimus;</w:t>
      </w:r>
    </w:p>
    <w:p>
      <w:pPr>
        <w:ind w:firstLine="567"/>
        <w:jc w:val="both"/>
        <w:rPr>
          <w:szCs w:val="24"/>
        </w:rPr>
      </w:pPr>
      <w:r>
        <w:rPr>
          <w:szCs w:val="24"/>
        </w:rPr>
        <w:t>124</w:t>
      </w:r>
      <w:r>
        <w:rPr>
          <w:szCs w:val="24"/>
          <w:vertAlign w:val="superscript"/>
        </w:rPr>
        <w:t>3</w:t>
      </w:r>
      <w:r>
        <w:rPr>
          <w:szCs w:val="24"/>
        </w:rPr>
        <w:t>.3</w:t>
      </w:r>
      <w:r>
        <w:rPr>
          <w:szCs w:val="24"/>
        </w:rPr>
        <w:t>. kilnojamųjų elektros energetikos objektų ir įrenginių įrengimo darbų rangos sutartį.</w:t>
      </w:r>
    </w:p>
    <w:p>
      <w:pPr>
        <w:snapToGrid w:val="0"/>
        <w:ind w:firstLine="567"/>
        <w:jc w:val="both"/>
        <w:rPr>
          <w:szCs w:val="24"/>
        </w:rPr>
      </w:pPr>
      <w:r>
        <w:rPr>
          <w:szCs w:val="24"/>
        </w:rPr>
        <w:t>124</w:t>
      </w:r>
      <w:r>
        <w:rPr>
          <w:szCs w:val="24"/>
          <w:vertAlign w:val="superscript"/>
        </w:rPr>
        <w:t>4</w:t>
      </w:r>
      <w:r>
        <w:rPr>
          <w:szCs w:val="24"/>
        </w:rPr>
        <w:t>. Pradėti kilnojamųjų elektros energetikos objektų ir įrenginių įrengimo darbus leidžiama tik po to, kai užsakovas nustatyta tvarka gavo ir perdavė kilnojamųjų elektros energetikos objektų ir įrenginių įrengimo rangovui šiuos dokumentus: užbaigtą kilnojamųjų elektros energetikos objektų ir įrenginių įrengimo projektą arba techninę užduotį (tais atvejais, kai projekto neprivaloma rengti).</w:t>
      </w:r>
    </w:p>
    <w:p>
      <w:pPr>
        <w:ind w:firstLine="567"/>
        <w:jc w:val="both"/>
        <w:rPr>
          <w:szCs w:val="24"/>
        </w:rPr>
      </w:pPr>
      <w:r>
        <w:rPr>
          <w:szCs w:val="24"/>
        </w:rPr>
        <w:t>124</w:t>
      </w:r>
      <w:r>
        <w:rPr>
          <w:szCs w:val="24"/>
          <w:vertAlign w:val="superscript"/>
        </w:rPr>
        <w:t>5</w:t>
      </w:r>
      <w:r>
        <w:rPr>
          <w:szCs w:val="24"/>
        </w:rPr>
        <w:t>. Kilnojamųjų elektros energetikos objektų ir įrenginių įrengimo rangovas privalo gauti skirstomųjų tinklų operatoriaus ar kitų kilnojamųjų elektros energetikos objektų ir įrenginių, priklausančių ne skirstomųjų tinklų operatoriui, savininko leidimą vykdyti darbus jų elektros įrenginiuose. </w:t>
      </w:r>
    </w:p>
    <w:p>
      <w:pPr>
        <w:ind w:firstLine="567"/>
        <w:jc w:val="both"/>
        <w:rPr>
          <w:szCs w:val="24"/>
        </w:rPr>
      </w:pPr>
      <w:r>
        <w:rPr>
          <w:szCs w:val="24"/>
        </w:rPr>
        <w:t>124</w:t>
      </w:r>
      <w:r>
        <w:rPr>
          <w:szCs w:val="24"/>
          <w:vertAlign w:val="superscript"/>
        </w:rPr>
        <w:t>6</w:t>
      </w:r>
      <w:r>
        <w:rPr>
          <w:szCs w:val="24"/>
        </w:rPr>
        <w:t>. Kai įrengiant kilnojamuosius elektros energetikos objektus ir įrenginius turi būti atliekami žemės darbai, teritorijose kurioms yra nustatytos specialiosios žemės naudojimo sąlygos, vadovaujamasi žemės naudojimo apribojimais, nustatytais Lietuvos Respublikos žemės įstatyme, Lietuvos Respublikos kelių įstatyme, Lietuvos Respublikos geležinkelių transporto kodekse,</w:t>
      </w:r>
      <w:r>
        <w:rPr>
          <w:rFonts w:eastAsia="Arial Unicode MS"/>
          <w:b/>
          <w:bCs/>
          <w:color w:val="000000"/>
          <w:szCs w:val="24"/>
          <w:lang w:eastAsia="lt-LT" w:bidi="lt-LT"/>
        </w:rPr>
        <w:t xml:space="preserve"> </w:t>
      </w:r>
      <w:r>
        <w:rPr>
          <w:rFonts w:eastAsia="Arial Unicode MS"/>
          <w:bCs/>
          <w:color w:val="000000"/>
          <w:szCs w:val="24"/>
          <w:lang w:eastAsia="lt-LT" w:bidi="lt-LT"/>
        </w:rPr>
        <w:t>Lietuvos Respublikos nekilnojamojo kultūros paveldo apsaugos įstatyme,</w:t>
      </w:r>
      <w:r>
        <w:rPr>
          <w:rFonts w:eastAsia="Arial Unicode MS"/>
          <w:b/>
          <w:bCs/>
          <w:color w:val="000000"/>
          <w:szCs w:val="24"/>
          <w:lang w:eastAsia="lt-LT" w:bidi="lt-LT"/>
        </w:rPr>
        <w:t xml:space="preserve"> </w:t>
      </w:r>
      <w:r>
        <w:rPr>
          <w:szCs w:val="24"/>
        </w:rPr>
        <w:t xml:space="preserve">Specialiosiose žemės ir miško naudojimo sąlygose, patvirtintose Lietuvos Respublikos Vyriausybės </w:t>
      </w:r>
      <w:smartTag w:uri="urn:schemas-microsoft-com:office:smarttags" w:element="metricconverter">
        <w:smartTagPr>
          <w:attr w:name="ProductID" w:val="1992 m"/>
        </w:smartTagPr>
        <w:r>
          <w:rPr>
            <w:szCs w:val="24"/>
          </w:rPr>
          <w:t>1992 m</w:t>
        </w:r>
      </w:smartTag>
      <w:r>
        <w:rPr>
          <w:szCs w:val="24"/>
        </w:rPr>
        <w:t xml:space="preserve">. gegužės 12 d. nutarimu Nr. 343 „Dėl Specialiųjų žemės ir miško naudojimo sąlygų patvirtinimo“, </w:t>
      </w:r>
      <w:r>
        <w:rPr>
          <w:i/>
          <w:szCs w:val="24"/>
        </w:rPr>
        <w:t>mutatis mutandis</w:t>
      </w:r>
      <w:r>
        <w:rPr>
          <w:szCs w:val="24"/>
        </w:rPr>
        <w:t xml:space="preserve"> vadovaujamasi Statybos techninio reglamento STR 1.06.01:2016 „Statybos darbai. Statinio statybos priežiūra“, patvirtinto Lietuvos Respublikos aplinkos ministro </w:t>
      </w:r>
      <w:smartTag w:uri="urn:schemas-microsoft-com:office:smarttags" w:element="metricconverter">
        <w:smartTagPr>
          <w:attr w:name="ProductID" w:val="2016 m"/>
        </w:smartTagPr>
        <w:r>
          <w:rPr>
            <w:szCs w:val="24"/>
          </w:rPr>
          <w:t>2016 m</w:t>
        </w:r>
      </w:smartTag>
      <w:r>
        <w:rPr>
          <w:szCs w:val="24"/>
        </w:rPr>
        <w:t xml:space="preserve">. gruodžio 2 d. įsakymu Nr. D1-848 „Dėl Statybos techninio reglamento  STR 1.06.01:2016 „Statybos darbai. Statinio statybos priežiūra“ patvirtinimo“, reikalavimais. </w:t>
      </w:r>
    </w:p>
    <w:p>
      <w:pPr>
        <w:ind w:firstLine="567"/>
        <w:jc w:val="both"/>
        <w:rPr>
          <w:szCs w:val="24"/>
        </w:rPr>
      </w:pPr>
      <w:r>
        <w:rPr>
          <w:szCs w:val="24"/>
        </w:rPr>
        <w:t>124</w:t>
      </w:r>
      <w:r>
        <w:rPr>
          <w:szCs w:val="24"/>
          <w:vertAlign w:val="superscript"/>
        </w:rPr>
        <w:t>7</w:t>
      </w:r>
      <w:r>
        <w:rPr>
          <w:szCs w:val="24"/>
        </w:rPr>
        <w:t xml:space="preserve">. Kilnojamųjų elektros energetikos objektų ir įrenginių įrengimas laikomas atliktu (užbaigtu), kai yra faktiškai atlikti kilnojamųjų elektros energetikos objektų ir įrenginių įrengimo darbai ir yra atliktos kilnojamųjų elektros energetikos objektų ir įrenginių įrengimo užbaigimo procedūros kilnojamųjų elektros energetikos objektų ir įrenginių savininko nustatyta tvarka.  </w:t>
      </w:r>
    </w:p>
    <w:p>
      <w:pPr>
        <w:ind w:firstLine="567"/>
        <w:jc w:val="both"/>
      </w:pPr>
      <w:r>
        <w:rPr>
          <w:szCs w:val="24"/>
        </w:rPr>
        <w:t>124</w:t>
      </w:r>
      <w:r>
        <w:rPr>
          <w:szCs w:val="24"/>
          <w:vertAlign w:val="superscript"/>
        </w:rPr>
        <w:t>8</w:t>
      </w:r>
      <w:r>
        <w:rPr>
          <w:szCs w:val="24"/>
        </w:rPr>
        <w:t>. Informaciją apie įrengtus kilnojamuosius elektros energetikos objektus ir įrenginius (techninius ir buvimo vietos duomenis) skirstomųjų tinklų operatorius skelbia viešai savo interneto svetainėje, Lietuvos erdvinės informacijos portale ir (ar) kituose viešai ir nuolat internetu prieinamuose informacijos šaltiniuose.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jc w:val="center"/>
        <w:rPr>
          <w:b/>
        </w:rPr>
      </w:pPr>
      <w:r>
        <w:rPr>
          <w:b/>
        </w:rPr>
        <w:t>VI</w:t>
      </w:r>
      <w:r>
        <w:rPr>
          <w:b/>
        </w:rPr>
        <w:t xml:space="preserve"> SKYRIUS</w:t>
      </w:r>
    </w:p>
    <w:p>
      <w:pPr>
        <w:widowControl w:val="0"/>
        <w:jc w:val="center"/>
        <w:rPr>
          <w:b/>
        </w:rPr>
      </w:pPr>
      <w:r>
        <w:rPr>
          <w:b/>
        </w:rPr>
        <w:t xml:space="preserve">ELEKTROS ENERGIJOS APSKAITA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jc w:val="center"/>
        <w:rPr>
          <w:b/>
        </w:rPr>
      </w:pPr>
      <w:r>
        <w:rPr>
          <w:b/>
        </w:rPr>
        <w:t>PIRMASIS</w:t>
      </w:r>
      <w:r>
        <w:rPr>
          <w:b/>
        </w:rPr>
        <w:t xml:space="preserve"> SKIRSNIS</w:t>
      </w:r>
    </w:p>
    <w:p>
      <w:pPr>
        <w:widowControl w:val="0"/>
        <w:jc w:val="center"/>
        <w:rPr>
          <w:b/>
        </w:rPr>
      </w:pPr>
      <w:r>
        <w:rPr>
          <w:b/>
        </w:rPr>
        <w:t xml:space="preserve">TAIKYMO SRITIS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ind w:firstLine="567"/>
        <w:jc w:val="both"/>
        <w:rPr>
          <w:bCs/>
        </w:rPr>
      </w:pPr>
      <w:r>
        <w:t>125</w:t>
      </w:r>
      <w:r>
        <w:t>. Šio Taisyklių skyriaus reikalavimai taikomi komercinės ir kontrolinės elektros energijos apskaitai. Papildomi komercinės elektros energijos apskaitos reikalavimai pateikti Elektros energijos tiekimo ir naudojimo taisyklėse ir kituose</w:t>
      </w:r>
      <w:r>
        <w:rPr>
          <w:spacing w:val="-4"/>
        </w:rPr>
        <w:t xml:space="preserve"> teisės aktuose</w:t>
      </w:r>
      <w:r>
        <w:t>.</w:t>
      </w:r>
    </w:p>
    <w:p>
      <w:pPr>
        <w:widowControl w:val="0"/>
      </w:pPr>
    </w:p>
    <w:p>
      <w:pPr>
        <w:widowControl w:val="0"/>
        <w:jc w:val="center"/>
        <w:rPr>
          <w:b/>
        </w:rPr>
      </w:pPr>
      <w:r>
        <w:rPr>
          <w:b/>
        </w:rPr>
        <w:t>ANTRASIS</w:t>
      </w:r>
      <w:r>
        <w:rPr>
          <w:b/>
        </w:rPr>
        <w:t xml:space="preserve"> SKIRSNIS</w:t>
      </w:r>
    </w:p>
    <w:p>
      <w:pPr>
        <w:widowControl w:val="0"/>
        <w:jc w:val="center"/>
        <w:rPr>
          <w:b/>
        </w:rPr>
      </w:pPr>
      <w:r>
        <w:rPr>
          <w:b/>
        </w:rPr>
        <w:t xml:space="preserve">BENDRIEJI REIKALAVIMAI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567"/>
        </w:tabs>
        <w:ind w:firstLine="567"/>
        <w:jc w:val="both"/>
      </w:pPr>
      <w:r>
        <w:t>126</w:t>
      </w:r>
      <w:r>
        <w:t>. Elektros energijos apskaita turi būti įrengta:</w:t>
      </w:r>
    </w:p>
    <w:p>
      <w:pPr>
        <w:widowControl w:val="0"/>
        <w:tabs>
          <w:tab w:val="left" w:pos="567"/>
          <w:tab w:val="left" w:pos="993"/>
        </w:tabs>
        <w:ind w:firstLine="567"/>
        <w:jc w:val="both"/>
      </w:pPr>
      <w:r>
        <w:t>126.1</w:t>
      </w:r>
      <w:r>
        <w:t>. elektrinėse generatorių pagamintai elektros energijai apskaičiuoti;</w:t>
      </w:r>
    </w:p>
    <w:p>
      <w:pPr>
        <w:widowControl w:val="0"/>
        <w:tabs>
          <w:tab w:val="left" w:pos="567"/>
          <w:tab w:val="left" w:pos="1620"/>
          <w:tab w:val="num" w:pos="2160"/>
        </w:tabs>
        <w:ind w:firstLine="567"/>
        <w:jc w:val="both"/>
      </w:pPr>
      <w:r>
        <w:t>126.2</w:t>
      </w:r>
      <w:r>
        <w:t>. elektrinėse, pastotėse ir skirstomuosiuose punktuose savosioms reikmėms suvartotai elektros energijai apskaičiuoti;</w:t>
      </w:r>
    </w:p>
    <w:p>
      <w:pPr>
        <w:widowControl w:val="0"/>
        <w:tabs>
          <w:tab w:val="left" w:pos="567"/>
          <w:tab w:val="left" w:pos="1620"/>
          <w:tab w:val="num" w:pos="2160"/>
        </w:tabs>
        <w:ind w:firstLine="567"/>
        <w:jc w:val="both"/>
      </w:pPr>
      <w:r>
        <w:t>126.3</w:t>
      </w:r>
      <w:r>
        <w:t>. elektrinių perduotai į operatorių elektros tinklus arba persiunčiamai</w:t>
      </w:r>
      <w:r>
        <w:rPr>
          <w:i/>
        </w:rPr>
        <w:t xml:space="preserve"> </w:t>
      </w:r>
      <w:r>
        <w:t>tiesiogiai prijungtiems vartotojų įrenginiams elektros energijai apskaičiuoti;</w:t>
      </w:r>
    </w:p>
    <w:p>
      <w:pPr>
        <w:widowControl w:val="0"/>
        <w:tabs>
          <w:tab w:val="left" w:pos="567"/>
          <w:tab w:val="left" w:pos="1620"/>
          <w:tab w:val="num" w:pos="2160"/>
        </w:tabs>
        <w:ind w:firstLine="567"/>
        <w:jc w:val="both"/>
      </w:pPr>
      <w:r>
        <w:t>126.4</w:t>
      </w:r>
      <w:r>
        <w:t>. persiųstai iš vieno operatoriaus elektros tinklo kito operatoriaus elektros tinklui elektros energijai apskaičiuoti;</w:t>
      </w:r>
    </w:p>
    <w:p>
      <w:pPr>
        <w:widowControl w:val="0"/>
        <w:tabs>
          <w:tab w:val="left" w:pos="567"/>
          <w:tab w:val="left" w:pos="1620"/>
          <w:tab w:val="num" w:pos="2160"/>
        </w:tabs>
        <w:ind w:firstLine="567"/>
        <w:jc w:val="both"/>
      </w:pPr>
      <w:r>
        <w:t>126.5</w:t>
      </w:r>
      <w:r>
        <w:t>. kitoms energetikos sistemoms perduotai (eksportuojamai) arba iš jų gaunamai (importuojamai) elektros energijai apskaičiuoti;</w:t>
      </w:r>
    </w:p>
    <w:p>
      <w:pPr>
        <w:widowControl w:val="0"/>
        <w:tabs>
          <w:tab w:val="left" w:pos="567"/>
          <w:tab w:val="left" w:pos="1620"/>
          <w:tab w:val="num" w:pos="2160"/>
        </w:tabs>
        <w:ind w:firstLine="567"/>
        <w:jc w:val="both"/>
      </w:pPr>
      <w:r>
        <w:t>126.6</w:t>
      </w:r>
      <w:r>
        <w:t>. iš operatoriaus elektros tinklo vartotojų objektams persiųstai elektros energijai apskaičiuoti.</w:t>
      </w:r>
    </w:p>
    <w:p>
      <w:pPr>
        <w:tabs>
          <w:tab w:val="left" w:pos="709"/>
        </w:tabs>
        <w:ind w:firstLine="567"/>
        <w:jc w:val="both"/>
        <w:rPr>
          <w:color w:val="000000"/>
          <w:szCs w:val="24"/>
          <w:lang w:eastAsia="lt-LT"/>
        </w:rPr>
      </w:pPr>
      <w:r>
        <w:rPr>
          <w:color w:val="000000"/>
          <w:szCs w:val="24"/>
          <w:lang w:eastAsia="lt-LT"/>
        </w:rPr>
        <w:t>126</w:t>
      </w:r>
      <w:r>
        <w:rPr>
          <w:color w:val="000000"/>
          <w:szCs w:val="24"/>
          <w:vertAlign w:val="superscript"/>
          <w:lang w:eastAsia="lt-LT"/>
        </w:rPr>
        <w:t>1</w:t>
      </w:r>
      <w:r>
        <w:rPr>
          <w:color w:val="000000"/>
          <w:szCs w:val="24"/>
          <w:lang w:eastAsia="lt-LT"/>
        </w:rPr>
        <w:t>. Gaminančių vartotojų, kaip jie apibrėžti Elektros energetikos įstatymo 2 straipsnio 9 dalyje, ir kurių elektrinių įrengtoji galia yra ne didesnė kaip 10 kW, atveju elektros energijos apskaita turi būti įrengta:</w:t>
      </w:r>
    </w:p>
    <w:p>
      <w:pPr>
        <w:tabs>
          <w:tab w:val="left" w:pos="709"/>
        </w:tabs>
        <w:ind w:firstLine="567"/>
        <w:jc w:val="both"/>
        <w:rPr>
          <w:color w:val="000000"/>
          <w:szCs w:val="24"/>
          <w:lang w:eastAsia="lt-LT"/>
        </w:rPr>
      </w:pPr>
      <w:r>
        <w:rPr>
          <w:color w:val="000000"/>
          <w:szCs w:val="24"/>
          <w:lang w:eastAsia="lt-LT"/>
        </w:rPr>
        <w:t>126</w:t>
      </w:r>
      <w:r>
        <w:rPr>
          <w:color w:val="000000"/>
          <w:szCs w:val="24"/>
          <w:vertAlign w:val="superscript"/>
          <w:lang w:eastAsia="lt-LT"/>
        </w:rPr>
        <w:t>1</w:t>
      </w:r>
      <w:r>
        <w:rPr>
          <w:color w:val="000000"/>
          <w:szCs w:val="24"/>
          <w:lang w:eastAsia="lt-LT"/>
        </w:rPr>
        <w:t>.1</w:t>
      </w:r>
      <w:r>
        <w:rPr>
          <w:color w:val="000000"/>
          <w:szCs w:val="24"/>
          <w:lang w:eastAsia="lt-LT"/>
        </w:rPr>
        <w:t>. elektrinių perduotai į operatorių elektros tinklus elektros energijai apskaičiuoti;</w:t>
      </w:r>
    </w:p>
    <w:p>
      <w:pPr>
        <w:tabs>
          <w:tab w:val="left" w:pos="709"/>
        </w:tabs>
        <w:ind w:firstLine="567"/>
        <w:jc w:val="both"/>
      </w:pPr>
      <w:r>
        <w:rPr>
          <w:color w:val="000000"/>
          <w:szCs w:val="24"/>
          <w:lang w:eastAsia="lt-LT"/>
        </w:rPr>
        <w:t>126</w:t>
      </w:r>
      <w:r>
        <w:rPr>
          <w:color w:val="000000"/>
          <w:szCs w:val="24"/>
          <w:vertAlign w:val="superscript"/>
          <w:lang w:eastAsia="lt-LT"/>
        </w:rPr>
        <w:t>1</w:t>
      </w:r>
      <w:r>
        <w:rPr>
          <w:color w:val="000000"/>
          <w:szCs w:val="24"/>
          <w:lang w:eastAsia="lt-LT"/>
        </w:rPr>
        <w:t>.2</w:t>
      </w:r>
      <w:r>
        <w:rPr>
          <w:color w:val="000000"/>
          <w:szCs w:val="24"/>
          <w:lang w:eastAsia="lt-LT"/>
        </w:rPr>
        <w:t>. iš operatoriaus elektros tinklo gaminančių vartotojų objektams persiųstai elektros energijai apskaičiuoti.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b71d20b3cd11e791568c9e74529e76">
        <w:r w:rsidRPr="00532B9F">
          <w:rPr>
            <w:rFonts w:ascii="Times New Roman" w:eastAsia="MS Mincho" w:hAnsi="Times New Roman"/>
            <w:sz w:val="20"/>
            <w:i/>
            <w:iCs/>
            <w:color w:val="0000FF" w:themeColor="hyperlink"/>
            <w:u w:val="single"/>
          </w:rPr>
          <w:t>1-265</w:t>
        </w:r>
      </w:fldSimple>
      <w:r>
        <w:rPr>
          <w:rFonts w:ascii="Times New Roman" w:eastAsia="MS Mincho" w:hAnsi="Times New Roman"/>
          <w:sz w:val="20"/>
          <w:i/>
          <w:iCs/>
        </w:rPr>
        <w:t>,
2017-10-18,
paskelbta TAR 2017-10-23, i. k. 2017-16648        </w:t>
      </w:r>
    </w:p>
    <w:p/>
    <w:p>
      <w:pPr>
        <w:widowControl w:val="0"/>
        <w:tabs>
          <w:tab w:val="num" w:pos="0"/>
          <w:tab w:val="left" w:pos="567"/>
          <w:tab w:val="left" w:pos="1620"/>
        </w:tabs>
        <w:ind w:firstLine="567"/>
        <w:jc w:val="both"/>
      </w:pPr>
      <w:r>
        <w:t>127</w:t>
      </w:r>
      <w:r>
        <w:t>. Aktyvioji elektros energija dar turi būti apskaičiuojama:</w:t>
      </w:r>
    </w:p>
    <w:p>
      <w:pPr>
        <w:widowControl w:val="0"/>
        <w:tabs>
          <w:tab w:val="left" w:pos="567"/>
          <w:tab w:val="left" w:pos="1620"/>
          <w:tab w:val="num" w:pos="2160"/>
        </w:tabs>
        <w:ind w:firstLine="567"/>
        <w:jc w:val="both"/>
      </w:pPr>
      <w:r>
        <w:t>127.1</w:t>
      </w:r>
      <w:r>
        <w:t>. operatoriaus pastočių 6 kV ir aukštesnės įtampos išeinančiose elektros persiuntimo linijose;</w:t>
      </w:r>
    </w:p>
    <w:p>
      <w:pPr>
        <w:widowControl w:val="0"/>
        <w:tabs>
          <w:tab w:val="left" w:pos="567"/>
          <w:tab w:val="left" w:pos="1620"/>
          <w:tab w:val="num" w:pos="2160"/>
        </w:tabs>
        <w:ind w:firstLine="567"/>
        <w:jc w:val="both"/>
      </w:pPr>
      <w:r>
        <w:t>127.2</w:t>
      </w:r>
      <w:r>
        <w:t>. kiekvienos operatoriaus pastočių 6 kV ir aukštesnės įtampos apeinančiose šynų sistemose;</w:t>
      </w:r>
    </w:p>
    <w:p>
      <w:pPr>
        <w:widowControl w:val="0"/>
        <w:tabs>
          <w:tab w:val="left" w:pos="567"/>
          <w:tab w:val="left" w:pos="1620"/>
          <w:tab w:val="num" w:pos="2160"/>
        </w:tabs>
        <w:ind w:firstLine="567"/>
        <w:jc w:val="both"/>
      </w:pPr>
      <w:r>
        <w:t>127.3</w:t>
      </w:r>
      <w:r>
        <w:t>. vartotojams, kai reikia kontroliuoti jų įrenginiams nustatytų elektros energijos vartojimo</w:t>
      </w:r>
      <w:r>
        <w:rPr>
          <w:i/>
        </w:rPr>
        <w:t xml:space="preserve"> </w:t>
      </w:r>
      <w:r>
        <w:t>režimų laikymąsi.</w:t>
      </w:r>
    </w:p>
    <w:p>
      <w:pPr>
        <w:ind w:firstLine="567"/>
        <w:jc w:val="both"/>
      </w:pPr>
      <w:r>
        <w:t>127</w:t>
      </w:r>
      <w:r>
        <w:rPr>
          <w:vertAlign w:val="superscript"/>
        </w:rPr>
        <w:t>1</w:t>
      </w:r>
      <w:r>
        <w:t>. Be reikalavimų, nustatytų elektros energijos apskaitai ir skaitikliams, skirstomajame tinkle diegiama išmanioji elektros energijos apskaitos sistema taip pat turi:</w:t>
      </w:r>
    </w:p>
    <w:p>
      <w:pPr>
        <w:ind w:firstLine="567"/>
        <w:jc w:val="both"/>
      </w:pPr>
      <w:r>
        <w:t>127</w:t>
      </w:r>
      <w:r>
        <w:rPr>
          <w:vertAlign w:val="superscript"/>
        </w:rPr>
        <w:t>1</w:t>
      </w:r>
      <w:r>
        <w:t>.1</w:t>
      </w:r>
      <w:r>
        <w:t>. Palaikyti šias pagrindines funkcijas:</w:t>
      </w:r>
    </w:p>
    <w:p>
      <w:pPr>
        <w:ind w:firstLine="567"/>
        <w:jc w:val="both"/>
      </w:pPr>
      <w:r>
        <w:t>127</w:t>
      </w:r>
      <w:r>
        <w:rPr>
          <w:vertAlign w:val="superscript"/>
        </w:rPr>
        <w:t>1</w:t>
      </w:r>
      <w:r>
        <w:t>.1.1</w:t>
      </w:r>
      <w:r>
        <w:t>. fiksuoti faktinį vartojamos ir (ar) gaminamos (į elektros tinklus patiekiamos) elektros energijos kiekį ir šio elektros energijos kiekio tikslų vartojimo ir (ar) gamybos laiką;</w:t>
      </w:r>
    </w:p>
    <w:p>
      <w:pPr>
        <w:ind w:firstLine="567"/>
        <w:jc w:val="both"/>
      </w:pPr>
      <w:r>
        <w:t>127</w:t>
      </w:r>
      <w:r>
        <w:rPr>
          <w:vertAlign w:val="superscript"/>
        </w:rPr>
        <w:t>1</w:t>
      </w:r>
      <w:r>
        <w:t>.1.2</w:t>
      </w:r>
      <w:r>
        <w:t>. gali atnaujinti vartotojui (gaminančiam vartotojui) ir (ar) vartotojo (gaminančio vartotojo) įrangai siunčiamus elektros energijos vartojimo ir (ar) gamybos bei su jais susijusius (vartotojo (gaminančio vartotojo) pageidaujama apimtimi) duomenis kuo arčiau realaus (esamojo) laiko, bet ne rečiau kaip kas 15 minučių nuo jos užfiksavimo. Siekiant sudaryti galimybę vartotojams naudotis automatizuotomis energijos taupymo programomis, paklausos valdymo ir kitomis paslaugomis vartojimo (gamybos) duomenys vartotojui (gaminančiam vartotojui) be papildomo apmokestinimo turi būti lengvai pasiekiami, vizualizuoti (pateikti grafiškai) ir pateikiami lengvai suprantamu formatu, kuris leistų palyginti nepriklausomų elektros tiekėjų ekvivalentiškus pasiūlymus dėl elektros tiekimo. Vartotojui (gaminančiam vartotojui) išsamūs apskaitos duomenys pagal bet kurios dienos, savaitės, mėnesio ar metų naudojimo laiką turi būti prieinami (internetu arba naudojant skaitiklio sąsają) už ne trumpesnį nei 24 ankstesnių mėnesių laikotarpį, o suvestiniai apskaitos duomenys – už mažiausiai trejų paskutinių metų laikotarpį;</w:t>
      </w:r>
    </w:p>
    <w:p>
      <w:pPr>
        <w:ind w:firstLine="567"/>
        <w:jc w:val="both"/>
      </w:pPr>
      <w:r>
        <w:t>127</w:t>
      </w:r>
      <w:r>
        <w:rPr>
          <w:vertAlign w:val="superscript"/>
        </w:rPr>
        <w:t>1</w:t>
      </w:r>
      <w:r>
        <w:t>.1.3</w:t>
      </w:r>
      <w:r>
        <w:t>. pateikti elektros energijos vartojimo duomenis net ir neįgudusiam vartotojui lengvai suprantama forma ir su skaičiavimais, kurie įgalintų vartotoją geriau kontroliuoti energijos vartojimą (pavyzdžiui, būtų teikiami vidutinės svertinės elektros energijos kainos tam tikru laikotarpiu palyginimai su ankstesnių laikotarpių kainomis ir kiti). Teikiamos informacijos šaltinis gali būti ne tik tinklų operatorius, bet ir nepriklausomi elektros tiekėjai ar kiti subjektai;</w:t>
      </w:r>
    </w:p>
    <w:p>
      <w:pPr>
        <w:ind w:firstLine="567"/>
        <w:jc w:val="both"/>
      </w:pPr>
      <w:r>
        <w:t>127</w:t>
      </w:r>
      <w:r>
        <w:rPr>
          <w:vertAlign w:val="superscript"/>
        </w:rPr>
        <w:t>1</w:t>
      </w:r>
      <w:r>
        <w:t>.1.4</w:t>
      </w:r>
      <w:r>
        <w:t>. užtikrinti galimybę elektros tinklų operatoriams, valdantiems išmaniąją elektros energijos apskaitos sistemą, nuotoliniu būdu nuskaityti skaitiklių duomenis bei užtikrinti galimybę elektros tiekėjams nuotoliniu būdu pagal jų užklausą nedelsiant gauti apskaitos duomenis;</w:t>
      </w:r>
    </w:p>
    <w:p>
      <w:pPr>
        <w:ind w:firstLine="567"/>
        <w:jc w:val="both"/>
      </w:pPr>
      <w:r>
        <w:t>127</w:t>
      </w:r>
      <w:r>
        <w:rPr>
          <w:vertAlign w:val="superscript"/>
        </w:rPr>
        <w:t>1</w:t>
      </w:r>
      <w:r>
        <w:t>.1.5</w:t>
      </w:r>
      <w:r>
        <w:t>. palaikyti dvipusio komunikavimo tarp skaitiklio ir išorinių tinklų ar sistemų funkciją, kuri įgalintų skaitiklio priežiūrą ir valdymą nuotoliniu būdu;</w:t>
      </w:r>
    </w:p>
    <w:p>
      <w:pPr>
        <w:ind w:firstLine="567"/>
        <w:jc w:val="both"/>
      </w:pPr>
      <w:r>
        <w:t>127</w:t>
      </w:r>
      <w:r>
        <w:rPr>
          <w:vertAlign w:val="superscript"/>
        </w:rPr>
        <w:t>1</w:t>
      </w:r>
      <w:r>
        <w:t>.1.6</w:t>
      </w:r>
      <w:r>
        <w:t>. vykdyti elektros energijos persiuntimo kokybės stebėjimą (monitoringą);</w:t>
      </w:r>
    </w:p>
    <w:p>
      <w:pPr>
        <w:ind w:firstLine="567"/>
        <w:jc w:val="both"/>
      </w:pPr>
      <w:r>
        <w:t>127</w:t>
      </w:r>
      <w:r>
        <w:rPr>
          <w:vertAlign w:val="superscript"/>
        </w:rPr>
        <w:t>1</w:t>
      </w:r>
      <w:r>
        <w:t>.1.7</w:t>
      </w:r>
      <w:r>
        <w:t>. užtikrinti skaitiklio duomenų nuskaitymą tokiais intervalais, kurie leistų nuskaitytus duomenis efektyviai panaudoti dispečeriniam elektros įrenginių ir tinklų valdymui;</w:t>
      </w:r>
    </w:p>
    <w:p>
      <w:pPr>
        <w:ind w:firstLine="567"/>
        <w:jc w:val="both"/>
      </w:pPr>
      <w:r>
        <w:t>127</w:t>
      </w:r>
      <w:r>
        <w:rPr>
          <w:vertAlign w:val="superscript"/>
        </w:rPr>
        <w:t>1</w:t>
      </w:r>
      <w:r>
        <w:t>.1.8</w:t>
      </w:r>
      <w:r>
        <w:t>. palaikyti pažangias tarifų sistemas (pažangią kainodarą), be kita ko, apimančias daugialypius tarifus, elektros vartojimo laikotarpio registrus, tarifų grupių registrus, nuotolinį tarifų valdymą ir kita;</w:t>
      </w:r>
    </w:p>
    <w:p>
      <w:pPr>
        <w:ind w:firstLine="567"/>
        <w:jc w:val="both"/>
      </w:pPr>
      <w:r>
        <w:t>127</w:t>
      </w:r>
      <w:r>
        <w:rPr>
          <w:vertAlign w:val="superscript"/>
        </w:rPr>
        <w:t>1</w:t>
      </w:r>
      <w:r>
        <w:t>.1.9</w:t>
      </w:r>
      <w:r>
        <w:t>. vartotojų objektuose, kuriuose įrengti tiesioginio jungimo elektros skaitikliai, palaikyti elektros tiekimo nuotolinio įjungimo ir išjungimo funkciją ir (arba) nuotolinio elektros tiekimo ar leistinosios naudoti galios ribojimo funkciją;</w:t>
      </w:r>
    </w:p>
    <w:p>
      <w:pPr>
        <w:ind w:firstLine="567"/>
        <w:jc w:val="both"/>
      </w:pPr>
      <w:r>
        <w:t>127</w:t>
      </w:r>
      <w:r>
        <w:rPr>
          <w:vertAlign w:val="superscript"/>
        </w:rPr>
        <w:t>1</w:t>
      </w:r>
      <w:r>
        <w:t>.1.10</w:t>
      </w:r>
      <w:r>
        <w:t>. užtikrinti Europos Sąjungos ir nacionaliniais teisės aktais nustatytą išmaniosios apskaitos sistemų ir duomenų perdavimo saugumo lygį atsižvelgiant į geriausius aukščiausio lygio kibernetinės apsaugos pavyzdžius;</w:t>
      </w:r>
    </w:p>
    <w:p>
      <w:pPr>
        <w:ind w:firstLine="567"/>
        <w:jc w:val="both"/>
      </w:pPr>
      <w:r>
        <w:t>127</w:t>
      </w:r>
      <w:r>
        <w:rPr>
          <w:vertAlign w:val="superscript"/>
        </w:rPr>
        <w:t>1</w:t>
      </w:r>
      <w:r>
        <w:t>.1.11</w:t>
      </w:r>
      <w:r>
        <w:t>. užtikrinti vartotojų (taip pat ir gaminančių vartotojų) asmens duomenų apsaugą laikantis Lietuvos Respublikos asmens duomenų teisinės apsaugos įstatymo ir jo įgyvendinamųjų teisės aktų;</w:t>
      </w:r>
    </w:p>
    <w:p>
      <w:pPr>
        <w:ind w:firstLine="567"/>
        <w:jc w:val="both"/>
      </w:pPr>
      <w:r>
        <w:t>127</w:t>
      </w:r>
      <w:r>
        <w:rPr>
          <w:vertAlign w:val="superscript"/>
        </w:rPr>
        <w:t>1</w:t>
      </w:r>
      <w:r>
        <w:t>.1.12</w:t>
      </w:r>
      <w:r>
        <w:t>. užtikrinti neapskaitomos elektros vartojimo atvejų prevenciją ir aptikimą;</w:t>
      </w:r>
    </w:p>
    <w:p>
      <w:pPr>
        <w:ind w:firstLine="567"/>
        <w:jc w:val="both"/>
      </w:pPr>
      <w:r>
        <w:t>127</w:t>
      </w:r>
      <w:r>
        <w:rPr>
          <w:vertAlign w:val="superscript"/>
        </w:rPr>
        <w:t>1</w:t>
      </w:r>
      <w:r>
        <w:t>.1.13</w:t>
      </w:r>
      <w:r>
        <w:t>. užtikrinti dvipusės (vartojamos ir gaminamos) aktyvios ir reaktyvios elektros energijos apskaitą;</w:t>
      </w:r>
    </w:p>
    <w:p>
      <w:pPr>
        <w:ind w:firstLine="567"/>
        <w:jc w:val="both"/>
      </w:pPr>
      <w:r>
        <w:t>127</w:t>
      </w:r>
      <w:r>
        <w:rPr>
          <w:vertAlign w:val="superscript"/>
        </w:rPr>
        <w:t>1</w:t>
      </w:r>
      <w:r>
        <w:t>.1.14</w:t>
      </w:r>
      <w:r>
        <w:t>. užtikrinti, kad apskaitos duomenys nebus prarasti, kai neapibrėžtam laikui nutrūksta elektros energijos tiekimas skaitikliui ar atsiranda kitos įprastą skaitiklio veikimą sutrikdančios aplinkybės;</w:t>
      </w:r>
    </w:p>
    <w:p>
      <w:pPr>
        <w:ind w:firstLine="567"/>
        <w:jc w:val="both"/>
      </w:pPr>
      <w:r>
        <w:t>127</w:t>
      </w:r>
      <w:r>
        <w:rPr>
          <w:vertAlign w:val="superscript"/>
        </w:rPr>
        <w:t>1</w:t>
      </w:r>
      <w:r>
        <w:t>.1.15</w:t>
      </w:r>
      <w:r>
        <w:t>. turėti galimybę pagal poreikį integruoti į išmaniąją elektros energijos apskaitos sistemą kitų energijos rūšių ir vandens apskaitą taip sukuriant vieningą išmaniosios apskaitos sistemą ir palengvinant duomenų srautų valdymą.</w:t>
      </w:r>
    </w:p>
    <w:p>
      <w:pPr>
        <w:ind w:firstLine="567"/>
        <w:jc w:val="both"/>
      </w:pPr>
      <w:r>
        <w:t>127</w:t>
      </w:r>
      <w:r>
        <w:rPr>
          <w:vertAlign w:val="superscript"/>
        </w:rPr>
        <w:t>1</w:t>
      </w:r>
      <w:r>
        <w:t>.2</w:t>
      </w:r>
      <w:r>
        <w:t>. Turėti galimybę be ženklių (didesnių nei 10 procentų išmaniosios elektros energijos apskaitos sistemos programinės ir (ar) technologinės įrangos) techninių išmaniosios elektros energijos apskaitos sistemos pakeitimų ir (ar) reikšmingų (didesnių nei 10 procentų naujomis funkcijomis papildomos ir (ar) keičiamos įrangos įsigijimo vertės) finansinių sąnaudų pagal vartotojo (gaminančio vartotojo) pageidavimą įdiegti šias papildomas funkcijas:</w:t>
      </w:r>
    </w:p>
    <w:p>
      <w:pPr>
        <w:ind w:firstLine="567"/>
        <w:jc w:val="both"/>
      </w:pPr>
      <w:r>
        <w:t>127</w:t>
      </w:r>
      <w:r>
        <w:rPr>
          <w:vertAlign w:val="superscript"/>
        </w:rPr>
        <w:t>1</w:t>
      </w:r>
      <w:r>
        <w:t>.2.1</w:t>
      </w:r>
      <w:r>
        <w:t>. siųsti elektros energijos vartojimo ir (ar) gamybos bei su jais susijusius (vartotojo (gaminančio vartotojo) pageidaujama apimtimi) duomenis vartotojo įrangai (taip pat ir išmaniesiems elektrą naudojantiems prietaisams);</w:t>
      </w:r>
    </w:p>
    <w:p>
      <w:pPr>
        <w:ind w:firstLine="567"/>
        <w:jc w:val="both"/>
      </w:pPr>
      <w:r>
        <w:t>127</w:t>
      </w:r>
      <w:r>
        <w:rPr>
          <w:vertAlign w:val="superscript"/>
        </w:rPr>
        <w:t>1</w:t>
      </w:r>
      <w:r>
        <w:t>.2.2</w:t>
      </w:r>
      <w:r>
        <w:t>. užtikrinti vartotojui (gaminančiam vartotojui) ar jo pavedimu veikiančiam asmeniui (tiekėjui ar kitam) prieigą prie vartotojo (gaminančio vartotojo) elektros energijos vartojimo (taip pat elektros energijos gamybos) duomenų per standartizuotą ryšio sąsają ir (ar) nuotolinę prieigą;</w:t>
      </w:r>
    </w:p>
    <w:p>
      <w:pPr>
        <w:ind w:firstLine="567"/>
        <w:jc w:val="both"/>
      </w:pPr>
      <w:r>
        <w:t>127</w:t>
      </w:r>
      <w:r>
        <w:rPr>
          <w:vertAlign w:val="superscript"/>
        </w:rPr>
        <w:t>1</w:t>
      </w:r>
      <w:r>
        <w:t>.2.3</w:t>
      </w:r>
      <w:r>
        <w:t xml:space="preserve">. palaikyti elektros tiekimo galimybę pagal išankstinį apmokėjimą arba pagal kredito susitarimą (ši funkcija gali būti diegiama tiek skaitiklio lygiu, tiek apskaitos sistemos lygiu).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08acd0d96811e68d79c2033f194657">
        <w:r w:rsidRPr="00532B9F">
          <w:rPr>
            <w:rFonts w:ascii="Times New Roman" w:eastAsia="MS Mincho" w:hAnsi="Times New Roman"/>
            <w:sz w:val="20"/>
            <w:i/>
            <w:iCs/>
            <w:color w:val="0000FF" w:themeColor="hyperlink"/>
            <w:u w:val="single"/>
          </w:rPr>
          <w:t>1-9</w:t>
        </w:r>
      </w:fldSimple>
      <w:r>
        <w:rPr>
          <w:rFonts w:ascii="Times New Roman" w:eastAsia="MS Mincho" w:hAnsi="Times New Roman"/>
          <w:sz w:val="20"/>
          <w:i/>
          <w:iCs/>
        </w:rPr>
        <w:t>,
2017-01-13,
paskelbta TAR 2017-01-16, i. k. 2017-00932        </w:t>
      </w:r>
    </w:p>
    <w:p/>
    <w:p>
      <w:pPr>
        <w:ind w:firstLine="567"/>
        <w:jc w:val="both"/>
      </w:pPr>
      <w:r>
        <w:t>127</w:t>
      </w:r>
      <w:r>
        <w:rPr>
          <w:vertAlign w:val="superscript"/>
        </w:rPr>
        <w:t>2</w:t>
      </w:r>
      <w:r>
        <w:t xml:space="preserve">. Išmaniųjų energijos apskaitos sistemų kūrimas ir veikimas turi būti paremtas Europos Sąjungoje dažniausiai naudojamais atvirais standartais ir protokolais bei turi būti siekiama didžiausio techninio ir komercinio apskaitos sistemų sąveikumo (suderinamumo) su vartotojų ir gamintojų elektros prietaisais ir įranga.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08acd0d96811e68d79c2033f194657">
        <w:r w:rsidRPr="00532B9F">
          <w:rPr>
            <w:rFonts w:ascii="Times New Roman" w:eastAsia="MS Mincho" w:hAnsi="Times New Roman"/>
            <w:sz w:val="20"/>
            <w:i/>
            <w:iCs/>
            <w:color w:val="0000FF" w:themeColor="hyperlink"/>
            <w:u w:val="single"/>
          </w:rPr>
          <w:t>1-9</w:t>
        </w:r>
      </w:fldSimple>
      <w:r>
        <w:rPr>
          <w:rFonts w:ascii="Times New Roman" w:eastAsia="MS Mincho" w:hAnsi="Times New Roman"/>
          <w:sz w:val="20"/>
          <w:i/>
          <w:iCs/>
        </w:rPr>
        <w:t>,
2017-01-13,
paskelbta TAR 2017-01-16, i. k. 2017-00932        </w:t>
      </w:r>
    </w:p>
    <w:p/>
    <w:p>
      <w:pPr>
        <w:ind w:firstLine="567"/>
        <w:jc w:val="both"/>
      </w:pPr>
      <w:r>
        <w:rPr>
          <w:szCs w:val="24"/>
        </w:rPr>
        <w:t>127</w:t>
      </w:r>
      <w:r>
        <w:rPr>
          <w:szCs w:val="24"/>
          <w:vertAlign w:val="superscript"/>
        </w:rPr>
        <w:t>3</w:t>
      </w:r>
      <w:r>
        <w:rPr>
          <w:szCs w:val="24"/>
        </w:rPr>
        <w:t>. Elektros perdavimo sistemoje naudojamoms išmaniosios elektros energijos apskaitos sistemoms netaikomi Taisyklių 127</w:t>
      </w:r>
      <w:r>
        <w:rPr>
          <w:szCs w:val="24"/>
          <w:vertAlign w:val="superscript"/>
        </w:rPr>
        <w:t>1</w:t>
      </w:r>
      <w:r>
        <w:rPr>
          <w:szCs w:val="24"/>
        </w:rPr>
        <w:t>.1.9, 127</w:t>
      </w:r>
      <w:r>
        <w:rPr>
          <w:szCs w:val="24"/>
          <w:vertAlign w:val="superscript"/>
        </w:rPr>
        <w:t>1</w:t>
      </w:r>
      <w:r>
        <w:rPr>
          <w:szCs w:val="24"/>
        </w:rPr>
        <w:t>.1.15 ir 127</w:t>
      </w:r>
      <w:r>
        <w:rPr>
          <w:szCs w:val="24"/>
          <w:vertAlign w:val="superscript"/>
        </w:rPr>
        <w:t>1</w:t>
      </w:r>
      <w:r>
        <w:rPr>
          <w:szCs w:val="24"/>
        </w:rPr>
        <w:t>.2.3 papunkčiai</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widowControl w:val="0"/>
        <w:jc w:val="center"/>
        <w:rPr>
          <w:b/>
        </w:rPr>
      </w:pPr>
      <w:r>
        <w:rPr>
          <w:b/>
        </w:rPr>
        <w:t>TREČIASIS</w:t>
      </w:r>
      <w:r>
        <w:rPr>
          <w:b/>
        </w:rPr>
        <w:t xml:space="preserve"> SKIRSNIS</w:t>
      </w:r>
    </w:p>
    <w:p>
      <w:pPr>
        <w:widowControl w:val="0"/>
        <w:jc w:val="center"/>
        <w:rPr>
          <w:b/>
        </w:rPr>
      </w:pPr>
      <w:r>
        <w:rPr>
          <w:b/>
        </w:rPr>
        <w:t xml:space="preserve">KOMERCINIŲ SKAITIKLIŲ ĮRENGIMO VIETOS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260"/>
        </w:tabs>
        <w:ind w:firstLine="567"/>
        <w:jc w:val="both"/>
        <w:rPr>
          <w:color w:val="000000"/>
        </w:rPr>
      </w:pPr>
      <w:r>
        <w:t>128</w:t>
      </w:r>
      <w:r>
        <w:t xml:space="preserve">. Aktyviosios ir reaktyviosios elektros energijos komerciniai skaitikliai vartotojams turi būti įrengti operatoriaus ar elektrinės (jei ji persiunčia elektros energiją tiesiogiai prijungtiems vartotojų įrenginiams) ir vartotojo elektros tinklo nuosavybės riboje </w:t>
      </w:r>
      <w:r>
        <w:rPr>
          <w:color w:val="000000"/>
        </w:rPr>
        <w:t>arba, jei tai techniškai sudėtinga ar ekonomiškai netikslinga, kitoje nuo jos artimiausioje vietoje.</w:t>
      </w:r>
    </w:p>
    <w:p>
      <w:pPr>
        <w:widowControl w:val="0"/>
        <w:ind w:firstLine="567"/>
        <w:jc w:val="both"/>
      </w:pPr>
      <w:r>
        <w:t>129</w:t>
      </w:r>
      <w:r>
        <w:t>. Abiejų krypčių (vartojimo ir generavimo) aktyviosios ir reaktyviosios elektros energijos komerciniai skaitikliai elektrinėse, turi būti įrengti elektrinės ir operatoriaus nuosavybės riboje. Jei tai techniškai sudėtinga, tai komerciniai skaitikliai turi būti įrengti:</w:t>
      </w:r>
    </w:p>
    <w:p>
      <w:pPr>
        <w:widowControl w:val="0"/>
        <w:ind w:firstLine="567"/>
        <w:jc w:val="both"/>
      </w:pPr>
      <w:r>
        <w:t>129.1</w:t>
      </w:r>
      <w:r>
        <w:t>. kiekvieno generatoriaus arba atskirų generatorių grupių prijunginiuose;</w:t>
      </w:r>
    </w:p>
    <w:p>
      <w:pPr>
        <w:widowControl w:val="0"/>
        <w:tabs>
          <w:tab w:val="left" w:pos="1620"/>
        </w:tabs>
        <w:ind w:firstLine="567"/>
        <w:jc w:val="both"/>
      </w:pPr>
      <w:r>
        <w:t>129.2</w:t>
      </w:r>
      <w:r>
        <w:t>. visose generatoriaus įtampos linijose;</w:t>
      </w:r>
    </w:p>
    <w:p>
      <w:pPr>
        <w:widowControl w:val="0"/>
        <w:tabs>
          <w:tab w:val="left" w:pos="1620"/>
        </w:tabs>
        <w:ind w:firstLine="567"/>
        <w:jc w:val="both"/>
      </w:pPr>
      <w:r>
        <w:t>129.3</w:t>
      </w:r>
      <w:r>
        <w:t>. visų įtampų linijų prijunginiuose;</w:t>
      </w:r>
    </w:p>
    <w:p>
      <w:pPr>
        <w:widowControl w:val="0"/>
        <w:tabs>
          <w:tab w:val="left" w:pos="1620"/>
        </w:tabs>
        <w:ind w:firstLine="567"/>
        <w:jc w:val="both"/>
      </w:pPr>
      <w:r>
        <w:t>129.4</w:t>
      </w:r>
      <w:r>
        <w:t>. savųjų reikmių galios transformatorių prijunginiuose;</w:t>
      </w:r>
    </w:p>
    <w:p>
      <w:pPr>
        <w:widowControl w:val="0"/>
        <w:tabs>
          <w:tab w:val="left" w:pos="1620"/>
        </w:tabs>
        <w:ind w:firstLine="567"/>
        <w:jc w:val="both"/>
      </w:pPr>
      <w:r>
        <w:t>129.5</w:t>
      </w:r>
      <w:r>
        <w:t>. kiekvienam apeinamajam arba šyniniam (sekciniam) jungtuvui.</w:t>
      </w:r>
    </w:p>
    <w:p>
      <w:pPr>
        <w:widowControl w:val="0"/>
        <w:tabs>
          <w:tab w:val="left" w:pos="1620"/>
        </w:tabs>
        <w:ind w:firstLine="567"/>
        <w:jc w:val="both"/>
        <w:rPr>
          <w:color w:val="000000"/>
        </w:rPr>
      </w:pPr>
      <w:r>
        <w:rPr>
          <w:color w:val="000000"/>
        </w:rPr>
        <w:t xml:space="preserve">Jei elektrinėse įrengta centralizuota informacijos surinkimo ir apdorojimo sistema, ji naudojama tiek komercinei, tiek kontrolinei </w:t>
      </w:r>
      <w:r>
        <w:t>elektros energijos</w:t>
      </w:r>
      <w:r>
        <w:rPr>
          <w:color w:val="000000"/>
        </w:rPr>
        <w:t xml:space="preserve"> apskaitai.</w:t>
      </w:r>
    </w:p>
    <w:p>
      <w:pPr>
        <w:widowControl w:val="0"/>
        <w:ind w:firstLine="567"/>
        <w:jc w:val="both"/>
      </w:pPr>
      <w:r>
        <w:t>130</w:t>
      </w:r>
      <w:r>
        <w:t>. Abiejų krypčių (vartojimo ir generavimo) aktyviosios ir reaktyviosios elektros energijos komerciniai skaitikliai operatoriaus pastotėse, transformatorinėse ir 6–10 kV skirstomuosiuose punktuose (toliau – SP) turi būti įrengti:</w:t>
      </w:r>
    </w:p>
    <w:p>
      <w:pPr>
        <w:widowControl w:val="0"/>
        <w:ind w:firstLine="567"/>
        <w:jc w:val="both"/>
      </w:pPr>
      <w:r>
        <w:t>130.1</w:t>
      </w:r>
      <w:r>
        <w:t>. kiekviename kito operatoriaus elektros linijos prijunginyje;</w:t>
      </w:r>
    </w:p>
    <w:p>
      <w:pPr>
        <w:widowControl w:val="0"/>
        <w:ind w:firstLine="567"/>
        <w:jc w:val="both"/>
      </w:pPr>
      <w:r>
        <w:t>130.2</w:t>
      </w:r>
      <w:r>
        <w:t>. elektros perdavimo linijų į kitas energetikos sistemas prijunginiuose;</w:t>
      </w:r>
    </w:p>
    <w:p>
      <w:pPr>
        <w:widowControl w:val="0"/>
        <w:ind w:firstLine="567"/>
        <w:jc w:val="both"/>
      </w:pPr>
      <w:r>
        <w:t>130.3</w:t>
      </w:r>
      <w:r>
        <w:t>. kitų operatorių ar vartotojų savųjų reikmių skirstomųjų įrenginių ar galios transformatorių prijunginiuose;</w:t>
      </w:r>
    </w:p>
    <w:p>
      <w:pPr>
        <w:widowControl w:val="0"/>
        <w:tabs>
          <w:tab w:val="left" w:pos="1620"/>
        </w:tabs>
        <w:ind w:firstLine="567"/>
        <w:jc w:val="both"/>
      </w:pPr>
      <w:r>
        <w:t>130.4</w:t>
      </w:r>
      <w:r>
        <w:t>. apeinamiesiems arba šyniniams (sekciniams) jungtuvams, jei per skirstomąsias šynas yra galimybė persiųsti elektrą į vartotojų, kitų operatorių ar kitos energetikos sistemos elektros tinklą;</w:t>
      </w:r>
    </w:p>
    <w:p>
      <w:pPr>
        <w:widowControl w:val="0"/>
        <w:ind w:firstLine="567"/>
        <w:jc w:val="both"/>
      </w:pPr>
      <w:r>
        <w:t>130.5</w:t>
      </w:r>
      <w:r>
        <w:t>. kiekviename elektros vartotojo elektros linijos prijunginyje;</w:t>
      </w:r>
    </w:p>
    <w:p>
      <w:pPr>
        <w:widowControl w:val="0"/>
        <w:ind w:firstLine="567"/>
        <w:jc w:val="both"/>
      </w:pPr>
      <w:r>
        <w:t>130.6</w:t>
      </w:r>
      <w:r>
        <w:t>. vartotojų ar kitų tinklų operatorių įžemėjimo srovių kompensavimo ir kitiems tinklo režimo ar elektros energijos kokybę gerinantiems įrenginiams.</w:t>
      </w:r>
    </w:p>
    <w:p>
      <w:pPr>
        <w:widowControl w:val="0"/>
        <w:ind w:firstLine="567"/>
        <w:jc w:val="both"/>
      </w:pPr>
      <w:r>
        <w:t>Jei pagal teisės aktus ar elektros persiuntimo paslaugos sutartis šiame punkte nurodytuose prijunginiuose generuojamos aktyviosios elektros energijos, reaktyviosios elektros energijos ir (ar) galios nereikia skaičiuoti ar kontroliuoti, tai šiuose prijunginiuose generuojamos aktyviosios ir (ar) reaktyviosios elektros energijos komercinių skaitiklių įrengti nebūtina.</w:t>
      </w:r>
    </w:p>
    <w:p>
      <w:pPr>
        <w:widowControl w:val="0"/>
        <w:tabs>
          <w:tab w:val="left" w:pos="1309"/>
        </w:tabs>
        <w:ind w:firstLine="567"/>
        <w:jc w:val="both"/>
      </w:pPr>
      <w:r>
        <w:t>131</w:t>
      </w:r>
      <w:r>
        <w:t>. Įrengiant komercinius skaitiklius, kai elektrinių ar operatoriaus pastočių,</w:t>
      </w:r>
      <w:r>
        <w:rPr>
          <w:i/>
          <w:color w:val="0000FF"/>
        </w:rPr>
        <w:t xml:space="preserve"> </w:t>
      </w:r>
      <w:r>
        <w:t>skirstomųjų punktų ar transformatorinių srovės transformatoriai, parinkti pagal trumpojo jungimo sroves arba pagal šynų diferencinės apsaugos charakteristikas, neužtikrina elektros energijos apskaitos tikslumui keliamų reikalavimų, esami srovės transformatoriai turi būti keičiami į transformatorius, turinčius kelias skirtingų transformacijos koeficientų antrines apvijas.</w:t>
      </w:r>
    </w:p>
    <w:p>
      <w:pPr>
        <w:widowControl w:val="0"/>
        <w:tabs>
          <w:tab w:val="left" w:pos="1309"/>
        </w:tabs>
        <w:ind w:firstLine="567"/>
        <w:jc w:val="both"/>
      </w:pPr>
      <w:r>
        <w:t>132</w:t>
      </w:r>
      <w:r>
        <w:t>. Vartotojui ar kitam operatoriui persiųstai elektrai apskaičiuoti komerciniai elektros energijos skaitikliai turi būti įrengti:</w:t>
      </w:r>
    </w:p>
    <w:p>
      <w:pPr>
        <w:widowControl w:val="0"/>
        <w:tabs>
          <w:tab w:val="num" w:pos="0"/>
        </w:tabs>
        <w:ind w:firstLine="567"/>
        <w:jc w:val="both"/>
      </w:pPr>
      <w:r>
        <w:t>132.1</w:t>
      </w:r>
      <w:r>
        <w:t>. vartotojo ar kito operatoriaus pastotę, SP ar transformatorinę maitinančios elektros linijos prijunginyje (linijos į vartotojo ar kito operatoriaus pastotės, SP ar transformatorinės pusę gale) su sąlyga, kad per šią liniją nėra ryšio su kito operatoriaus pastote, SP ar kito vartotojo pastote ir transformatorine;</w:t>
      </w:r>
    </w:p>
    <w:p>
      <w:pPr>
        <w:widowControl w:val="0"/>
        <w:tabs>
          <w:tab w:val="num" w:pos="0"/>
        </w:tabs>
        <w:ind w:firstLine="567"/>
        <w:jc w:val="both"/>
      </w:pPr>
      <w:r>
        <w:t>132.2</w:t>
      </w:r>
      <w:r>
        <w:t>. kai per vartotojo ar kito operatoriaus pastotę ar transformatorinę yra ryšys su operatorių ar kitų vartotojų pastote, SP ar transformatorine, tai skaitikliai įrengiami vartotojo ar kito operatoriaus pastotės ar transformatorinės aukštesnės ar žemesnės įtampos pusėje priklausomai nuo tokio ryšio prijunginio.</w:t>
      </w:r>
    </w:p>
    <w:p>
      <w:pPr>
        <w:widowControl w:val="0"/>
        <w:ind w:firstLine="567"/>
        <w:jc w:val="both"/>
      </w:pPr>
      <w:r>
        <w:t>Pastočių, transformatorinių ar SP žemesnės įtampos pusėje komerciniai skaitikliai taip pat įrengiami dar ir tada, kai šiuose įrenginiuose aukštesnės įtampos pusėje įrengti srovės ir įtampos transformatorių techniškai neįmanoma ar ekonomiškai netikslinga arba nėra galimybės įrengti papildomų srovės transformatorių (atvirieji ir uždarieji komplektiniai skirstomieji įrenginiai su ištraukiamaisiais vežimėliais ir pan.).</w:t>
      </w:r>
    </w:p>
    <w:p>
      <w:pPr>
        <w:widowControl w:val="0"/>
        <w:tabs>
          <w:tab w:val="left" w:pos="1309"/>
        </w:tabs>
        <w:ind w:firstLine="567"/>
        <w:jc w:val="both"/>
      </w:pPr>
      <w:r>
        <w:t>132.3</w:t>
      </w:r>
      <w:r>
        <w:t>. vartotojo ar kito operatoriaus savųjų reikmių galios transformatoriams ar savųjų reikmių skirstomųjų įrenginių prijunginiuose, jeigu jiems tiekiama elektra nefiksuojama kitais komerciniais skaitikliais.</w:t>
      </w:r>
    </w:p>
    <w:p>
      <w:pPr>
        <w:widowControl w:val="0"/>
        <w:tabs>
          <w:tab w:val="left" w:pos="1122"/>
          <w:tab w:val="left" w:pos="1309"/>
          <w:tab w:val="left" w:pos="1496"/>
        </w:tabs>
        <w:ind w:firstLine="567"/>
        <w:jc w:val="both"/>
      </w:pPr>
      <w:r>
        <w:t>Skirtingų grupių vartotojams pagal poreikį komerciniai skaitikliai įrengiami kiekvienam atskirai.</w:t>
      </w:r>
    </w:p>
    <w:p>
      <w:pPr>
        <w:widowControl w:val="0"/>
        <w:ind w:firstLine="567"/>
        <w:jc w:val="both"/>
      </w:pPr>
      <w:r>
        <w:t>133</w:t>
      </w:r>
      <w:r>
        <w:t xml:space="preserve">. Jei komercinio skaitiklio įrengimo vietoje (elektros tinklo taške) prijunginio įrengtoji galia sudaro </w:t>
        <w:sym w:font="Symbol" w:char="F035"/>
        <w:t xml:space="preserve"> MVA ir daugiau, tai šiame taške turi būti papildomai įrengtas dubliuojantysis skaitiklis, kuriam įrengti taikomi tokie patys teisės aktuose ir norminiuose dokumentuose nustatyti reikalavimai. Dubliuojančiojo skaitiklio rodmenys taikomi atsiskaityti sutrikus komerciniam skaitikliui.</w:t>
      </w:r>
    </w:p>
    <w:p>
      <w:pPr>
        <w:widowControl w:val="0"/>
        <w:ind w:firstLine="567"/>
        <w:jc w:val="both"/>
      </w:pPr>
      <w:r>
        <w:t>134</w:t>
      </w:r>
      <w:r>
        <w:t>. Vartotojams, kurių leistinoji naudoti galia yra didesnė kaip 50 kW, įrengiami elektros skaitikliai, fiksuojantys integravimo periodo (valandos) vidutinę faktinę galią ne trumpesniu kaip vieno mėnesio laikotarpiu ir suteikiantys galimybę vartotojui peržiūrėti sukauptus duomenis elektros apskaitos prietaiso indikatoriuje ir (arba) nuskaityti juos nuotoliniu būdu ar kitomis priemonėmis, visuomet:</w:t>
      </w:r>
    </w:p>
    <w:p>
      <w:pPr>
        <w:widowControl w:val="0"/>
        <w:ind w:firstLine="567"/>
        <w:jc w:val="both"/>
      </w:pPr>
      <w:r>
        <w:t>134.1</w:t>
      </w:r>
      <w:r>
        <w:t>. prijungiant naujų vartotojų elektros įrenginius prie operatoriaus elektros tinklų;</w:t>
      </w:r>
    </w:p>
    <w:p>
      <w:pPr>
        <w:widowControl w:val="0"/>
        <w:ind w:firstLine="567"/>
        <w:jc w:val="both"/>
      </w:pPr>
      <w:r>
        <w:t>134.2</w:t>
      </w:r>
      <w:r>
        <w:t>. keičiant esamus skaitiklius naujais, išskyrus atvejus, kai tokių skaitiklių įrengimas įmanomas tik rekonstravus vidaus tinklą arba kai tokių skaitiklių įrengimas yra ekonomiškai nenaudingas;</w:t>
      </w:r>
    </w:p>
    <w:p>
      <w:pPr>
        <w:widowControl w:val="0"/>
        <w:ind w:firstLine="567"/>
        <w:jc w:val="both"/>
      </w:pPr>
      <w:r>
        <w:t>134.3</w:t>
      </w:r>
      <w:r>
        <w:t>. atliekant vartotojui priklausančio pastato, kurio bendrasis plotas yra didesnis kaip 1000 m</w:t>
      </w:r>
      <w:r>
        <w:rPr>
          <w:vertAlign w:val="superscript"/>
        </w:rPr>
        <w:t>2</w:t>
      </w:r>
      <w:r>
        <w:t>, rekonstrukciją arba kapitalinį remontą, kai išorinių atitvarų ir inžinerinių sistemų (šildymo, vėdinimo, oro kondicionavimo, karšto vandens ir apšvietimo) rekonstravimo arba kapitalinio remonto kaina sudaro daugiau kaip 25 proc. pastato likutinės vertės, neįskaitant žemės sklypo, ant kurio stovi pastatas, vertės, arba kai rekonstruojama daugiau kaip 25 proc. pastato išorinių atitvarų ploto, jas apšiltinant. Šis punktas taikomas, kai vartotojas pateikia operatoriui dokumentus, patvirtinančius nurodytas aplinkybes;</w:t>
      </w:r>
    </w:p>
    <w:p>
      <w:pPr>
        <w:widowControl w:val="0"/>
        <w:ind w:firstLine="567"/>
        <w:jc w:val="both"/>
      </w:pPr>
      <w:r>
        <w:t>134.4</w:t>
      </w:r>
      <w:r>
        <w:t>. šio punkto nuostatos netaikomos, kai atskiriems vartotojams (pastatų grupei, butų grupei) yra įrengtas tik vienas elektros skaitiklis ir už suvartotą elektros energiją jie atsiskaito pagal minėto skaitiklio rodmenis.</w:t>
      </w:r>
    </w:p>
    <w:p>
      <w:pPr>
        <w:widowControl w:val="0"/>
        <w:ind w:firstLine="567"/>
        <w:jc w:val="both"/>
      </w:pPr>
    </w:p>
    <w:p>
      <w:pPr>
        <w:widowControl w:val="0"/>
        <w:jc w:val="center"/>
        <w:rPr>
          <w:b/>
        </w:rPr>
      </w:pPr>
      <w:r>
        <w:rPr>
          <w:b/>
        </w:rPr>
        <w:t>KETVIRTASIS</w:t>
      </w:r>
      <w:r>
        <w:rPr>
          <w:b/>
        </w:rPr>
        <w:t xml:space="preserve"> SKIRSNIS</w:t>
      </w:r>
    </w:p>
    <w:p>
      <w:pPr>
        <w:widowControl w:val="0"/>
        <w:jc w:val="center"/>
        <w:rPr>
          <w:b/>
        </w:rPr>
      </w:pPr>
      <w:r>
        <w:rPr>
          <w:b/>
        </w:rPr>
        <w:t xml:space="preserve">KOMERCINIŲ IR KONTROLINIŲ SKAITIKLIŲ REIKALAVIMAI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ind w:firstLine="567"/>
        <w:jc w:val="both"/>
      </w:pPr>
      <w:r>
        <w:t>135</w:t>
      </w:r>
      <w:r>
        <w:t>. Elektros apskaitai vienos fazės elektros tinkle reikia įrengti vienos fazės skaitiklius.</w:t>
      </w:r>
    </w:p>
    <w:p>
      <w:pPr>
        <w:widowControl w:val="0"/>
        <w:ind w:firstLine="567"/>
        <w:jc w:val="both"/>
      </w:pPr>
      <w:r>
        <w:t>Trijų fazių elektros tinkle aktyvioji ir reaktyvioji elektra turi būti apskaičiuojama trifaziais elektros skaitikliais.</w:t>
      </w:r>
    </w:p>
    <w:p>
      <w:pPr>
        <w:widowControl w:val="0"/>
        <w:ind w:firstLine="567"/>
        <w:jc w:val="both"/>
      </w:pPr>
      <w:r>
        <w:t>Priklausomai nuo reikalavimų elektros apskaitai ir privalomų pateikti duomenų (informacijos) apimties elektros apskaitai naudojami indukciniai, elektroniniai ir kombinuotojo veikimo elektros skaitikliai.</w:t>
      </w:r>
    </w:p>
    <w:p>
      <w:pPr>
        <w:widowControl w:val="0"/>
        <w:ind w:firstLine="567"/>
        <w:jc w:val="both"/>
      </w:pPr>
      <w:r>
        <w:t>Elektros skaitikliai turi atitikti atitinkamų standartų reikalavimus.</w:t>
      </w:r>
    </w:p>
    <w:p>
      <w:pPr>
        <w:widowControl w:val="0"/>
        <w:tabs>
          <w:tab w:val="left" w:pos="1309"/>
        </w:tabs>
        <w:ind w:firstLine="567"/>
        <w:jc w:val="both"/>
      </w:pPr>
      <w:r>
        <w:t>136</w:t>
      </w:r>
      <w:r>
        <w:t xml:space="preserve">. Elektros skaitikliai pagal įrengimo tipą turi būti skirti veikti uždaruose IP44 ir aukštesnio apsaugos laipsnio skyduose, vidutinei darbo temperatūrai esant nuo – 25 </w:t>
        <w:sym w:font="Symbol" w:char="F0B0"/>
        <w:t xml:space="preserve">C iki +55 </w:t>
        <w:sym w:font="Symbol" w:char="F0B0"/>
        <w:t>C.</w:t>
      </w:r>
    </w:p>
    <w:p>
      <w:pPr>
        <w:widowControl w:val="0"/>
        <w:tabs>
          <w:tab w:val="left" w:pos="1309"/>
        </w:tabs>
        <w:ind w:firstLine="567"/>
        <w:jc w:val="both"/>
      </w:pPr>
      <w:r>
        <w:t>137</w:t>
      </w:r>
      <w:r>
        <w:t xml:space="preserve">. </w:t>
      </w:r>
      <w:r>
        <w:rPr>
          <w:bCs/>
        </w:rPr>
        <w:t>Tiesioginio jungimo e</w:t>
      </w:r>
      <w:r>
        <w:t>lektros skaitiklių vardiniai parametrai (Uv (V), Iv ir Imax (A) parenkami pagal elektros skaitiklių įrengimo vietos prijunginio parametrus. Elektros skaitiklių vardinis dažnis – 50 Hz.</w:t>
      </w:r>
    </w:p>
    <w:p>
      <w:pPr>
        <w:widowControl w:val="0"/>
        <w:tabs>
          <w:tab w:val="left" w:pos="1309"/>
        </w:tabs>
        <w:ind w:firstLine="567"/>
        <w:jc w:val="both"/>
      </w:pPr>
      <w:r>
        <w:t>138</w:t>
      </w:r>
      <w:r>
        <w:t>. Jungiant elektros skaitiklius per matavimo transformatorius, reikia parinkti šių parametrų elektros skaitiklius:</w:t>
      </w:r>
    </w:p>
    <w:p>
      <w:pPr>
        <w:widowControl w:val="0"/>
        <w:ind w:firstLine="567"/>
        <w:jc w:val="both"/>
      </w:pPr>
      <w:r>
        <w:t>138.1</w:t>
      </w:r>
      <w:r>
        <w:t>. vardinė srovė (Iv) – 1 arba 5 A;</w:t>
      </w:r>
    </w:p>
    <w:p>
      <w:pPr>
        <w:widowControl w:val="0"/>
        <w:ind w:firstLine="567"/>
        <w:jc w:val="both"/>
      </w:pPr>
      <w:r>
        <w:t>138.2</w:t>
      </w:r>
      <w:r>
        <w:t>. maksimali ilgalaikė srovė (Imax) – 1,2 Iv (1,25 Iv), 1,5 Iv arba 2 Iv;</w:t>
      </w:r>
    </w:p>
    <w:p>
      <w:pPr>
        <w:widowControl w:val="0"/>
        <w:ind w:firstLine="567"/>
        <w:jc w:val="both"/>
      </w:pPr>
      <w:r>
        <w:t>138.3</w:t>
      </w:r>
      <w:r>
        <w:t>. vardinė įtampa: 100, 230, 400 V ar 230/400, 57,7/100 V.</w:t>
      </w:r>
    </w:p>
    <w:p>
      <w:pPr>
        <w:widowControl w:val="0"/>
        <w:ind w:firstLine="567"/>
        <w:jc w:val="both"/>
      </w:pPr>
      <w:r>
        <w:t>139</w:t>
      </w:r>
      <w:r>
        <w:t>. Elektros skaitiklių korpusai ir gnybtų dangteliai turi būti pagaminti iš dielektrinės medžiagos. Gnybtų dangteliai turi būti atskirti nuo elektros skaitiklių gaubtų. Elektros skaitiklių korpusai turi būti sandarūs dulkėms ir turi turėti plombavimo galimybę. Gnybtų dangteliai turi visiškai dengti elektros skaitiklių gnybtų trinkeles, gnybtų varžtus ir prijungiamų laidų kontaktines vietas ir turėti plombavimo galimybę.</w:t>
      </w:r>
    </w:p>
    <w:p>
      <w:pPr>
        <w:widowControl w:val="0"/>
        <w:ind w:firstLine="567"/>
        <w:jc w:val="both"/>
      </w:pPr>
      <w:r>
        <w:t>140</w:t>
      </w:r>
      <w:r>
        <w:t>. Visi skaitiklio gaubto tvirtinamieji varžtai privalo būti plombuojami. Ant vieno iš šių varžtų turi būti metrologinę patikrą atlikusios įmonės žymenys, ant likusių varžtų – gamintojo (skaitiklio remontą atlikusios įmonės) žymenys, o ant gnybtų dangtelio – elektros apskaitą prižiūrinčio operatoriaus žymuo.</w:t>
      </w:r>
    </w:p>
    <w:p>
      <w:pPr>
        <w:widowControl w:val="0"/>
        <w:tabs>
          <w:tab w:val="left" w:pos="-180"/>
          <w:tab w:val="left" w:pos="0"/>
          <w:tab w:val="left" w:pos="1440"/>
        </w:tabs>
        <w:ind w:firstLine="567"/>
        <w:jc w:val="both"/>
      </w:pPr>
      <w:r>
        <w:t>141</w:t>
      </w:r>
      <w:r>
        <w:t xml:space="preserve">. Elektros skaitikliai metrologiškai tikrinami vadovaujantis Lietuvos Respublikos metrologijos įstatymu (Žin., 1996, Nr. </w:t>
      </w:r>
      <w:hyperlink r:id="rId24" w:tgtFrame="_blank" w:history="1">
        <w:r>
          <w:rPr>
            <w:color w:val="0000FF" w:themeColor="hyperlink"/>
            <w:u w:val="single"/>
          </w:rPr>
          <w:t>74-1768</w:t>
        </w:r>
      </w:hyperlink>
      <w:r>
        <w:t>; 2006, Nr. 77-2966) ir kitų teisės aktų reikalavimais.</w:t>
      </w:r>
    </w:p>
    <w:p>
      <w:pPr>
        <w:widowControl w:val="0"/>
        <w:tabs>
          <w:tab w:val="left" w:pos="-180"/>
          <w:tab w:val="left" w:pos="0"/>
          <w:tab w:val="left" w:pos="1440"/>
        </w:tabs>
        <w:ind w:firstLine="567"/>
        <w:jc w:val="both"/>
      </w:pPr>
      <w:r>
        <w:t>Įrengiamų komercinių elektros skaitiklių metrologinė patikra turi būti atlikta: elektroninių ar kombinuotojo veikimo skaitiklių – ne anksčiau kaip prieš 12 mėnesių iki jų įrengimo, o visų indukcinių skaitiklių – ne anksčiau kaip prieš 24 mėnesius iki jų įrengimo.</w:t>
      </w:r>
    </w:p>
    <w:p>
      <w:pPr>
        <w:widowControl w:val="0"/>
        <w:ind w:firstLine="567"/>
        <w:jc w:val="both"/>
      </w:pPr>
      <w:r>
        <w:t>Jei operatoriai pageidauja atlikti skaitiklių žinybinę patikrą, tai jie turi teisę ant skaitiklio gaubto tvirtinamųjų varžtų, be minėtų žymenų, uždėti savo žymenį.</w:t>
      </w:r>
    </w:p>
    <w:p>
      <w:pPr>
        <w:widowControl w:val="0"/>
        <w:ind w:firstLine="567"/>
        <w:jc w:val="both"/>
      </w:pPr>
      <w:r>
        <w:t>142</w:t>
      </w:r>
      <w:r>
        <w:t>. Komercinių aktyviosios energijos skaitiklių leistinoji tikslumo klasė nurodyta Taisyklių 143 punkte. Kontrolinių aktyviosios energijos ir komercinių reaktyviosios energijos skaitiklių leistinoji tikslumo klasė naudojama ta pati arba viena klase žemesnė už komercinių aktyviosios energijos skaitiklių. Kitus reikalavimus skaitikliams įrengti nustato operatorius.</w:t>
      </w:r>
    </w:p>
    <w:p>
      <w:pPr>
        <w:widowControl w:val="0"/>
        <w:ind w:firstLine="567"/>
        <w:jc w:val="both"/>
      </w:pPr>
      <w:r>
        <w:t>143</w:t>
      </w:r>
      <w:r>
        <w:t>. Galios generatoriams, 1 MVA ir didesnės vardinės galios visų įtampų galios transformatoriams, visų įtampų tarpsisteminėms perdavimo linijoms, vartotojų tinklo prijungimo prie operatoriaus elektros tinklo taškuose, kai juose leistinoji naudoti galia yra 1 MW ir didesnė, įrengiamų komercinių aktyviosios elektros skaitiklių tikslumo klasė turi būti ne žemesnė kaip 0,5 s, kitiems įrenginiams – ne žemesnė kaip 2,0. 16,0 MVA ir didesnės vardinės galios 330 kV įtampos galios transformatoriams, 330 kV įtampos tarpsisteminėms perdavimo linijoms, vartotojų tinklo prijungimo prie elektros tinklo taškuose, kai juose leistinoji galia yra 3 MW ir didesnė, 0,2 s tikslumo klasės aktyviosios energijos skaitikliai įrengiami atlikus techninį ir ekonominį įvertinimą.</w:t>
      </w:r>
    </w:p>
    <w:p>
      <w:pPr>
        <w:widowControl w:val="0"/>
        <w:ind w:firstLine="567"/>
        <w:jc w:val="both"/>
      </w:pPr>
    </w:p>
    <w:p>
      <w:pPr>
        <w:widowControl w:val="0"/>
        <w:jc w:val="center"/>
        <w:rPr>
          <w:b/>
        </w:rPr>
      </w:pPr>
      <w:r>
        <w:rPr>
          <w:b/>
        </w:rPr>
        <w:t>PENKTASIS</w:t>
      </w:r>
      <w:r>
        <w:rPr>
          <w:b/>
        </w:rPr>
        <w:t xml:space="preserve"> SKIRSNIS</w:t>
      </w:r>
    </w:p>
    <w:p>
      <w:pPr>
        <w:widowControl w:val="0"/>
        <w:jc w:val="center"/>
        <w:rPr>
          <w:b/>
        </w:rPr>
      </w:pPr>
      <w:r>
        <w:rPr>
          <w:b/>
        </w:rPr>
        <w:t xml:space="preserve">ELEKTROS APSKAITA NAUDOJANT MATAVIMO TRANSFORMATORIUS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ind w:firstLine="567"/>
        <w:jc w:val="both"/>
      </w:pPr>
      <w:r>
        <w:t>144</w:t>
      </w:r>
      <w:r>
        <w:t>. Elektros apskaitoje naudojamų skaitiklių vardiniai parametrai (srovė, įtampa) yra ribojami. Šioms riboms praplėsti naudojami srovės ir įtampos matavimo transformatoriai (toliau – srovės ir įtampos transformatoriai).</w:t>
      </w:r>
    </w:p>
    <w:p>
      <w:pPr>
        <w:widowControl w:val="0"/>
        <w:ind w:firstLine="567"/>
        <w:jc w:val="both"/>
      </w:pPr>
      <w:r>
        <w:t>Parenkant srovės ir įtampos transformatorius, būtina atsižvelgti į jų įrengimo sąlygas (vidaus, lauko, aplinkos oro temperatūra, vibracija, įrengimo aukštis, oro sąlygos, vidutinis santykinis drėgnumas, užterštumo laipsnis ir pan.).</w:t>
      </w:r>
    </w:p>
    <w:p>
      <w:pPr>
        <w:widowControl w:val="0"/>
        <w:ind w:firstLine="567"/>
        <w:jc w:val="both"/>
      </w:pPr>
      <w:r>
        <w:t>145</w:t>
      </w:r>
      <w:r>
        <w:t xml:space="preserve">. Srovės transformatorių apvijų, prie kurių bus jungiami komerciniai ir (ar) kontroliniai elektros skaitikliai, parametrai (transformacijos koeficientai – pirminės srovės ir antrinės srovės santykis), vardinė apkrova, atsparumas trumpojo jungimo srovei ir kt. turi būti apskaičiuoti projektavimo metu. Skaičiuojant anksčiau nurodytus srovės transformatorių parametrus būtina atsižvelgti į elektros tinklo, kuriame srovės transformatoriai bus įrengiami, veikimo režimus (atliktas dinaminio ir terminio atsparumo trumpajam jungimui skaičiavimas), į esamą ir numatomą prijunginio ir prie antrinių apvijų jungiamas apkrovas ir kt. </w:t>
      </w:r>
    </w:p>
    <w:p>
      <w:pPr>
        <w:widowControl w:val="0"/>
        <w:ind w:firstLine="567"/>
        <w:jc w:val="both"/>
      </w:pPr>
      <w:r>
        <w:t>Srovės transformatorių antrinių apvijų, prie kurių jungiami komerciniai ar kontroliniai elektros skaitikliai, vardinės srovės (Iv) turi būti 1 ar 5 A, vardinis dažnis – 50 Hz.</w:t>
      </w:r>
    </w:p>
    <w:p>
      <w:pPr>
        <w:widowControl w:val="0"/>
        <w:ind w:firstLine="567"/>
        <w:jc w:val="both"/>
      </w:pPr>
      <w:r>
        <w:t>Parenkant srovės transformatorius komercinei apskaitai, būtina sąlyga, kad apskaičiuoti antrinių apvijų srovės parametrai esant maksimaliai prijunginio apkrovai būtų ne mažesni kaip 40 proc. ir ne didesni kaip 120 proc., o esant minimaliai prijunginio apkrovai – ne mažesni kaip 1 proc. (0,5 tikslumo klasės srovės transformatoriams – ne mažesni kaip 5 proc.) elektros skaitiklio vardinės srovės. Jei parenkant srovės transformatorius pagal atliktus veikimo režimų skaičiavimus (dinaminio ir terminio atsparumo trumpajam jungimui) minėtų sąlygų išlaikyti nėra galimybės, tuomet komercinei elektros apskaitai tinka didesnių matavimo apvijų transformacijos koeficientų srovės transformatoriai su sąlyga, kad apskaičiuoti srovės parametrai esant maksimaliai ir minimaliai prijunginio apkrovai būtų ne didesni kaip 40 proc., tačiau ne mažesni kaip 1 proc. (0,5 tikslumo klasės srovės transformatoriams – ne mažesni kaip 5 proc.) elektros skaitiklio vardinės srovės.</w:t>
      </w:r>
    </w:p>
    <w:p>
      <w:pPr>
        <w:widowControl w:val="0"/>
        <w:ind w:firstLine="567"/>
        <w:jc w:val="both"/>
      </w:pPr>
      <w:r>
        <w:t xml:space="preserve">Kontroliniai elektros skaitikliai jungiami prie srovės transformatorių antrinių apvijų, kurių apskaičiuoti srovės parametrai esant prijunginio apkrovai yra ne mažesni kaip 1 proc. (0,5 tikslumo klasės srovės transformatoriams – ne mažesni kaip 5 proc.) ir ne didesni kaip 120 proc. elektros skaitiklio vardinės srovės. </w:t>
      </w:r>
    </w:p>
    <w:p>
      <w:pPr>
        <w:widowControl w:val="0"/>
        <w:ind w:firstLine="567"/>
        <w:jc w:val="both"/>
      </w:pPr>
      <w:r>
        <w:t>146</w:t>
      </w:r>
      <w:r>
        <w:t>. Srovės transformatoriai turi būti su atskiromis apvijomis, iš kurių prie vienos jungiami tik komerciniai elektros skaitikliai.</w:t>
      </w:r>
    </w:p>
    <w:p>
      <w:pPr>
        <w:widowControl w:val="0"/>
        <w:ind w:firstLine="567"/>
        <w:jc w:val="both"/>
      </w:pPr>
      <w:r>
        <w:t>Dubliuojantys elektros skaitikliai jungiami kartu su komerciniais elektros skaitikliais arba prie kitų apvijų kartu su matavimo, relinės apsaugos ir automatikos įrenginiais, jeigu nėra galimybių arba ekonomiškai netikslinga papildomai įrengti srovės transformatorius.</w:t>
      </w:r>
    </w:p>
    <w:p>
      <w:pPr>
        <w:widowControl w:val="0"/>
        <w:ind w:firstLine="567"/>
        <w:jc w:val="both"/>
      </w:pPr>
      <w:r>
        <w:t>Kontroliniai elektros skaitikliai taip pat jungiami prie atskirų srovės transformatorių apvijų. Bet jeigu jungiant kontrolinius elektros skaitiklius atskirai reikia papildomai įrengti srovės transformatorius, jie jungiami kartu su matavimo, relinės apsaugos ir automatikos įrenginiais.</w:t>
      </w:r>
    </w:p>
    <w:p>
      <w:pPr>
        <w:widowControl w:val="0"/>
        <w:ind w:firstLine="567"/>
        <w:jc w:val="both"/>
      </w:pPr>
      <w:r>
        <w:t>Jungiant dubliuojančius ir kontrolinius elektros skaitiklius bendrai su kitais pirmiau nurodytais įrenginiais, neturi pablogėti srovės transformatorių apvijų tikslumo klasė, elektros apskaitos grandinių patikimumas, taip pat turi būti užtikrinamos reikiamos matavimų, relinės apsaugos įrenginių ir automatikos charakteristikos.</w:t>
      </w:r>
    </w:p>
    <w:p>
      <w:pPr>
        <w:widowControl w:val="0"/>
        <w:ind w:firstLine="567"/>
        <w:jc w:val="both"/>
      </w:pPr>
      <w:r>
        <w:t>Srovės transformatorių, naudojamų komercinei ir kontrolinei elektros apskaitai, apsaugos koeficientas (FS) (vardinės ribinės pirminės srovės ir vardinės pirminės srovės santykis) turi būti ne didesnis kaip 5.</w:t>
      </w:r>
    </w:p>
    <w:p>
      <w:pPr>
        <w:widowControl w:val="0"/>
        <w:ind w:firstLine="567"/>
        <w:jc w:val="both"/>
      </w:pPr>
      <w:r>
        <w:t>147</w:t>
      </w:r>
      <w:r>
        <w:t>. Elektros apskaitai prijungti naudojami vienfaziai ir trifaziai įtampos transformatoriai. Vardinis dažnis – 50 Hz. Įtampos transformatorių apvijų, prie kurių bus jungiami komerciniai ir (ar) kontroliniai elektros skaitikliai, parametrai (vardinė apkrova, atsparumas trumpojo jungimo srovei ir kt.) turi būti apskaičiuoti projektavimo metu. Skaičiuojant įtampos transformatorių parametrus būtina atsižvelgti į elektros tinklo, kuriame įtampos transformatoriai bus įrengiami, veikimo režimus, į esamą ir numatomą prie apvijų prijungti apkrovą ir kt. Vardiniai transformacijos koeficientai (vardinės pirminės įtampos ir vardinės antrinės įtampos santykis) turi būti parinkti priklausomai nuo elektros tinklo, kuriame įrengiami įtampos transformatoriai, vardinės įtampos ir elektros skaitiklio vardinės įtampos. Antrinių apvijų, prie kurių bus jungiami elektros skaitikliai, įtampa turi būti:</w:t>
      </w:r>
    </w:p>
    <w:p>
      <w:pPr>
        <w:widowControl w:val="0"/>
        <w:ind w:firstLine="567"/>
        <w:jc w:val="both"/>
      </w:pPr>
      <w:r>
        <w:t>147.1</w:t>
      </w:r>
      <w:r>
        <w:t>. 100 V vienfaziams įtampos transformatoriams, jungiamiems tarp atskirų fazių;</w:t>
      </w:r>
    </w:p>
    <w:p>
      <w:pPr>
        <w:widowControl w:val="0"/>
        <w:ind w:firstLine="567"/>
        <w:jc w:val="both"/>
      </w:pPr>
      <w:r>
        <w:t>147.2</w:t>
      </w:r>
      <w:r>
        <w:t>. 100/</w:t>
        <w:sym w:font="Symbol" w:char="F0D6"/>
        <w:t>3 vienfaziams įtampos transformatoriams, jungiamiems tarp fazės ir įtampos transformatorių sujungimo schemos įžeminto taško;</w:t>
      </w:r>
    </w:p>
    <w:p>
      <w:pPr>
        <w:widowControl w:val="0"/>
        <w:ind w:firstLine="567"/>
        <w:jc w:val="both"/>
      </w:pPr>
      <w:r>
        <w:t>147.3</w:t>
      </w:r>
      <w:r>
        <w:t>. 100 V trifaziams įtampos transformatoriams.</w:t>
      </w:r>
    </w:p>
    <w:p>
      <w:pPr>
        <w:widowControl w:val="0"/>
        <w:ind w:firstLine="567"/>
        <w:jc w:val="both"/>
      </w:pPr>
      <w:r>
        <w:t>148</w:t>
      </w:r>
      <w:r>
        <w:t>. Naujai įrengiami (keičiami) įtampos transformatoriai turi būti su atskira matavimo apvija, prie kurios būtų jungiami komerciniai elektros skaitikliai.</w:t>
      </w:r>
    </w:p>
    <w:p>
      <w:pPr>
        <w:widowControl w:val="0"/>
        <w:ind w:firstLine="567"/>
        <w:jc w:val="both"/>
      </w:pPr>
      <w:r>
        <w:t>Jei pagal naujo energetikos objekto įrengimo, rekonstravimo ar kapitalinio remonto projektą ir dėl riboto gaminamų įtampos transformatorių konstrukcijų galimybių atskirų apvijų komercinei elektros apskaitai išskirti nėra galimybės, o jungiant komercinius elektros skaitiklius atskirai tektų papildomai įrengti įtampos transformatorius, komerciniai elektros skaitikliai jungiami prie įtampos transformatorių apvijų kartu su matavimo, relinės apsaugos ir automatikos įrenginiais.</w:t>
      </w:r>
    </w:p>
    <w:p>
      <w:pPr>
        <w:widowControl w:val="0"/>
        <w:ind w:firstLine="567"/>
        <w:jc w:val="both"/>
      </w:pPr>
      <w:r>
        <w:t>Jei jungiant dubliuojančius ir kontrolinius elektros skaitiklius atskirai reikia papildomai įrengti įtampos transformatorius, jie jungiami prie tų pačių įtampos transformatorių apvijų, prie kurių prijungti komerciniai elektros skaitikliai.</w:t>
      </w:r>
    </w:p>
    <w:p>
      <w:pPr>
        <w:widowControl w:val="0"/>
        <w:ind w:firstLine="567"/>
        <w:jc w:val="both"/>
      </w:pPr>
      <w:r>
        <w:t>Jungiant komercinius elektros skaitiklius ir (ar) dubliuojančius ir kontrolinius elektros skaitiklius bendrai su matavimo, relinės apsaugos ir automatikos įrenginiais, neturi pablogėti įtampos transformatorių matavimo apvijų tikslumo klasė, elektros apskaitos grandinių patikimumas, taip pat turi būti užtikrinamos reikiamos matavimų, relinės apsaugos įrenginių ir automatikos charakteristikos ir neviršytos įtampos transformatorių vardinės apkrovos.</w:t>
      </w:r>
    </w:p>
    <w:p>
      <w:pPr>
        <w:widowControl w:val="0"/>
        <w:ind w:firstLine="567"/>
        <w:jc w:val="both"/>
      </w:pPr>
      <w:r>
        <w:t>149</w:t>
      </w:r>
      <w:r>
        <w:t>. Ant komercinei elektros apskaitai naudojamų srovės ir įtampos transformatorių korpusų turi būti nustatyto pavyzdžio metrologinės patikros žymuo ir (arba) kiekvienam srovės transformatoriui turi būti išrašytas nustatyto pavyzdžio metrologinės patikros liudijimas. Srovės ir įtampos transformatorių antriniai gnybtai, prie kurių jungiami elektros skaitikliai</w:t>
      </w:r>
      <w:r>
        <w:rPr>
          <w:color w:val="0000FF"/>
        </w:rPr>
        <w:t>,</w:t>
      </w:r>
      <w:r>
        <w:t xml:space="preserve"> turi būti plombuojami.</w:t>
      </w:r>
    </w:p>
    <w:p>
      <w:pPr>
        <w:widowControl w:val="0"/>
        <w:ind w:firstLine="567"/>
        <w:jc w:val="both"/>
      </w:pPr>
      <w:r>
        <w:t>Elektros apskaitos schemose naudoti tarpinius srovės ir įtampos transformatorius draudžiama.</w:t>
      </w:r>
    </w:p>
    <w:p>
      <w:pPr>
        <w:widowControl w:val="0"/>
        <w:ind w:firstLine="567"/>
        <w:jc w:val="both"/>
      </w:pPr>
      <w:r>
        <w:t>150</w:t>
      </w:r>
      <w:r>
        <w:t xml:space="preserve">. Matavimo transformatorių, skirtų prijungti elektros skaitiklius, antrinių apvijų faktinės apkrovos turi būti ne mažesnės kaip 25 proc. ir ne didesnės kaip 100 proc. vardinės antrinių apvijų apkrovos. </w:t>
      </w:r>
    </w:p>
    <w:p>
      <w:pPr>
        <w:widowControl w:val="0"/>
        <w:ind w:firstLine="567"/>
        <w:jc w:val="both"/>
      </w:pPr>
      <w:r>
        <w:t xml:space="preserve">Komercinėse elektros apskaitos schemose naudojamų matavimo transformatorių apvijų, prie kurių jungiami komerciniai ir kontroliniai elektros skaitikliai, leistinosios tikslumo klasės: </w:t>
      </w:r>
    </w:p>
    <w:p>
      <w:pPr>
        <w:widowControl w:val="0"/>
        <w:ind w:firstLine="567"/>
        <w:jc w:val="both"/>
      </w:pPr>
      <w:r>
        <w:t>galios generatoriams, 1 MVA ir didesnės vardinės galios visų įtampų galios transformatoriams, visų įtampų tarpvalstybinėms perdavimo linijoms elektros apskaitos schemose įrengtų matavimo srovės transformatorių apvijų leistinoji tikslumo klasė turi būti ne žemesnė kaip 0,2s; įtampos transformatoriams – ne žemesnė kaip 0,2; kitiems įrenginiams srovės transformatorių apvijų leistinoji tikslumo klasė ne žemesnė kaip 0,5s ir įtampos transformatoriams – ne žemesnė kaip 0,5.</w:t>
      </w:r>
    </w:p>
    <w:p>
      <w:pPr>
        <w:widowControl w:val="0"/>
        <w:ind w:firstLine="567"/>
        <w:jc w:val="both"/>
      </w:pPr>
      <w:r>
        <w:t>Kontroliniai elektros skaitikliai jungiami prie 0,5s arba prie 0,5 tikslumo klasės srovės ir įtampos transformatorių.</w:t>
      </w:r>
    </w:p>
    <w:p>
      <w:pPr>
        <w:widowControl w:val="0"/>
        <w:ind w:firstLine="567"/>
        <w:jc w:val="both"/>
      </w:pPr>
      <w:r>
        <w:t>Kai artimiausiu metu numatoma atlikti ar neseniai buvo atliktas elektros įrenginių, pastotės, skirstomojo punkto ir pan. rekonstravimas, kontroliniai elektros skaitikliai jungiami prie ne žemesnės kaip 0,5 leistinosios tikslumo klasės srovės transformatorių apvijų.</w:t>
      </w:r>
    </w:p>
    <w:p>
      <w:pPr>
        <w:widowControl w:val="0"/>
        <w:ind w:firstLine="567"/>
        <w:jc w:val="both"/>
      </w:pPr>
      <w:r>
        <w:t>Kai rekonstruojant elektros apskaitas energetikos objekte jau yra įrengti įtampos transformatoriai, kurių matavimo apvijų leistinoji tikslumo klasė ne žemesnė kaip 0,5, ir rekonstravimo metu nenumatoma juos keisti, prie jų yra galimybė prijungti komercinius ir kontrolinius elektros skaitiklius su sąlyga, kad nepablogės apvijos tikslumo klasė ir elektros apskaitos grandinių patikimumas, bus užtikrinamos reikiamos matavimų charakteristikos ir nebus viršytos apvijų vardinės apkrovos.</w:t>
      </w:r>
    </w:p>
    <w:p>
      <w:pPr>
        <w:widowControl w:val="0"/>
        <w:ind w:firstLine="567"/>
        <w:jc w:val="both"/>
      </w:pPr>
      <w:r>
        <w:t>151</w:t>
      </w:r>
      <w:r>
        <w:t>. Elektros skaitiklių įtampos grandinėse jungiamųjų laidininkų skerspjūvis ir ilgis turi būti parenkami taip, kad įtampos nuostoliai šiose grandinėse būtų ne didesni kaip 0,25 proc. vardinių, kai įtampos transformatorių tikslumo klasė ne žemesnė kaip 0,5.</w:t>
      </w:r>
    </w:p>
    <w:p>
      <w:pPr>
        <w:widowControl w:val="0"/>
        <w:ind w:firstLine="567"/>
        <w:jc w:val="both"/>
      </w:pPr>
      <w:r>
        <w:t>152</w:t>
      </w:r>
      <w:r>
        <w:t>. Elektros apskaitose su matavimo transformatoriais antrinėse grandinėse prieš elektros skaitiklį turi būti įrengti specialūs bandymų blokai (gnybtynai).</w:t>
      </w:r>
    </w:p>
    <w:p>
      <w:pPr>
        <w:widowControl w:val="0"/>
        <w:ind w:firstLine="567"/>
        <w:jc w:val="both"/>
      </w:pPr>
      <w:r>
        <w:t>Elektros skaitiklių prijungimo grandinėse visos naudojamos gnybtų rinklės, komutavimo aparatai, jų gnybtai ir bandymų blokai (gnybtynai) turi būti įrengti taip, kad operatorius galėtų juos plombuoti.</w:t>
      </w:r>
    </w:p>
    <w:p>
      <w:pPr>
        <w:widowControl w:val="0"/>
        <w:ind w:firstLine="567"/>
        <w:jc w:val="both"/>
      </w:pPr>
      <w:r>
        <w:t>153</w:t>
      </w:r>
      <w:r>
        <w:t>. Kai elektros apskaitos grandinėse yra įrengti automatiniai jungikliai, turi būti numatyta jų prijungimo gnybtų plombavimo galimybė.</w:t>
      </w:r>
    </w:p>
    <w:p>
      <w:pPr>
        <w:widowControl w:val="0"/>
        <w:ind w:firstLine="567"/>
        <w:jc w:val="both"/>
      </w:pPr>
      <w:r>
        <w:t>Saugikliai, apsaugantys įtampos transformatorius aukštesnės įtampos pusėje, turi būti įrengti taip, kad operatorius galėtų juos plombuoti. Saugikliai turi būti aptverti tinkline aptvara, o durelės pritaikytos patogiai plombuoti. Turi būti plombuojamos įtampos transformatorių skyriklių pavarų rankenos.</w:t>
      </w:r>
    </w:p>
    <w:p>
      <w:pPr>
        <w:widowControl w:val="0"/>
        <w:ind w:firstLine="567"/>
        <w:jc w:val="both"/>
      </w:pPr>
      <w:r>
        <w:t>Kai elektros skaitikliai jungiami prie įtampos transformatorių, sumontuotų kartu su aukštesnėje pusėje įrengtais saugikliais narveliuose su ištraukiamaisiais vežimėliais, turi būti įrengti specialūs įtaisai šiems vežimėliams plombuoti.</w:t>
      </w:r>
    </w:p>
    <w:p>
      <w:pPr>
        <w:widowControl w:val="0"/>
        <w:ind w:firstLine="567"/>
        <w:jc w:val="both"/>
      </w:pPr>
      <w:r>
        <w:t>Turi būti įrengta elektros apskaitai naudojamų įtampos transformatorių antrinėse grandinėse įrengtų apsaugos aparatų kontaktų ir aukštesnės įtampos pusėje įrengtų saugiklių lydukų būklės kontrolė.</w:t>
      </w:r>
    </w:p>
    <w:p>
      <w:pPr>
        <w:widowControl w:val="0"/>
        <w:ind w:firstLine="567"/>
        <w:jc w:val="both"/>
      </w:pPr>
      <w:r>
        <w:t>Elektros apskaitai naudojamų įtampos transformatorių antrinėse grandinėse apsaugos klausimai turi būti sprendžiami projektuojant.</w:t>
      </w:r>
    </w:p>
    <w:p>
      <w:pPr>
        <w:widowControl w:val="0"/>
        <w:ind w:firstLine="567"/>
        <w:jc w:val="both"/>
      </w:pPr>
    </w:p>
    <w:p>
      <w:pPr>
        <w:widowControl w:val="0"/>
        <w:jc w:val="center"/>
        <w:rPr>
          <w:b/>
        </w:rPr>
      </w:pPr>
      <w:r>
        <w:rPr>
          <w:b/>
        </w:rPr>
        <w:t>ŠEŠTASIS</w:t>
      </w:r>
      <w:r>
        <w:rPr>
          <w:b/>
        </w:rPr>
        <w:t xml:space="preserve"> SKIRSNIS</w:t>
      </w:r>
    </w:p>
    <w:p>
      <w:pPr>
        <w:widowControl w:val="0"/>
        <w:jc w:val="center"/>
        <w:rPr>
          <w:b/>
        </w:rPr>
      </w:pPr>
      <w:r>
        <w:rPr>
          <w:b/>
        </w:rPr>
        <w:t xml:space="preserve">ELEKTROS SKAITIKLIŲ ĮRENGIMAS IR PRIJUNGIMAS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ind w:firstLine="567"/>
        <w:jc w:val="both"/>
      </w:pPr>
      <w:r>
        <w:t>154</w:t>
      </w:r>
      <w:r>
        <w:t>. Visi elektros skaitikliai turi būti įrengiami operatoriui lengvai prieinamose apžiūrėti ir nuskaityti rodmenis vietose.</w:t>
      </w:r>
    </w:p>
    <w:p>
      <w:pPr>
        <w:widowControl w:val="0"/>
        <w:ind w:firstLine="567"/>
        <w:jc w:val="both"/>
      </w:pPr>
      <w:r>
        <w:t>Komerciniai elektros skaitikliai turi būti įrengiami transformatorių pastočių ir skirstomųjų punktų narvelių žemosios įtampos dalyje, rakinamose komercinės apskaitos spintose (toliau – KAS), įvadinėse apskaitos spintose (toliau – ĮAS) arba įvadinėse apskaitos skirstomosiose spintose (toliau – ĮASS).</w:t>
      </w:r>
    </w:p>
    <w:p>
      <w:pPr>
        <w:widowControl w:val="0"/>
        <w:ind w:firstLine="567"/>
        <w:jc w:val="both"/>
      </w:pPr>
      <w:r>
        <w:t>Kontroliniai elektros skaitikliai turi būti įrengiami transformatorių pastočių ir skirstomųjų punktų narvelių žemosios įtampos dalyje ir kontrolinės (technologinės)</w:t>
      </w:r>
      <w:r>
        <w:rPr>
          <w:i/>
        </w:rPr>
        <w:t xml:space="preserve"> </w:t>
      </w:r>
      <w:r>
        <w:t>apskaitos spintose (toliau – TAS). TAS įrengiamos operatoriaus ir įmonių technologų parinktoje vietoje.</w:t>
      </w:r>
    </w:p>
    <w:p>
      <w:pPr>
        <w:widowControl w:val="0"/>
        <w:ind w:firstLine="567"/>
        <w:jc w:val="both"/>
      </w:pPr>
      <w:r>
        <w:t>155</w:t>
      </w:r>
      <w:r>
        <w:t xml:space="preserve">. KAS, ĮAS ar ĮASS įrengiamos lauke (transformatorių pastočių atvirųjų skirstyklų teritorijose, ant uždarųjų skirstyklų ir kitos paskirties pastatų sienų, ant oro linijų atramų ir pan.), uždarose patalpose (transformatorių pastočių uždarųjų skirstyklų teritorijose, valdymo pultuose, savųjų reikmių skirstyklose, pastatų bendrojo naudojimo koridoriuose, gyvenamųjų namų laiptinių aikštelėse ir pan.). Tiksli KAS, ĮAS ar ĮASS įrengimo vieta nurodoma elektros įrenginių prijungimo prie operatoriaus elektros tinklo techninėse sąlygose ir (ar) projekte. </w:t>
      </w:r>
      <w:r>
        <w:rPr>
          <w:szCs w:val="24"/>
        </w:rPr>
        <w:t>Kultūros paveldo statiniuose ar kultūros paveldo objektuose ir jų teritorijose (prie sklypų ribų ir pan.) bei kultūros paveldo vietovėse KAS, ĮAS ar ĮASS įrenginių vieta parenkama derinant su už kultūros paveldo apsaugą atsakinga valstybės ar savivaldybės institucija taip, kad nepažeistų šių kultūros paveldo objektų, statinių ar vietovių vertingųjų savybių ir derėtų prie šių vertybių</w:t>
      </w:r>
      <w:r>
        <w:t>.</w:t>
      </w:r>
    </w:p>
    <w:p>
      <w:pPr>
        <w:widowControl w:val="0"/>
        <w:ind w:firstLine="567"/>
        <w:jc w:val="both"/>
      </w:pPr>
      <w:r>
        <w:t>KAS, ĮAS ar ĮASS parinkta konstrukcija turi būti tokia, kad joje galėtų sutilpti vieno ar kelių prijunginių komerciniai (prireikus ir dubliuojantieji) elektros skaitikliai. Jei elektros skaitikliai jungiami per matavimo transformatorius, tarp jų ir elektros skaitiklių turi būti įrengti bandymų gnybtynai (blokai).</w:t>
      </w:r>
    </w:p>
    <w:p>
      <w:pPr>
        <w:widowControl w:val="0"/>
        <w:ind w:firstLine="567"/>
        <w:jc w:val="both"/>
      </w:pPr>
      <w:r>
        <w:t>KAS, ĮAS ar ĮASS viduje įrengtų elektros apskaitos schemos elementų ir prietaisų apsaugai nuo tyčinių jų gadinimo, falsifikavimo, savavališko apskaitos schemos keitimo, atjungimo ir pan. turi būti įrengtos specialios plombuoti pritaikytos permatomos durelės (dangčiai). Jei plombuoti pritaikytos durelės nepermatomos, tai rodmenims nuskaityti minėtose durelėse (dangčiuose) skaitiklių skalių aukštyje turi būti įrengti langeliai su permatomais įdėklais, įtvirtintais iš durelių (dangčių) vidinės pusės. Visais atvejais KAS, ĮAS ar ĮASS išorinės durelės turi būti gaminamos be angų.</w:t>
      </w:r>
    </w:p>
    <w:p>
      <w:pPr>
        <w:widowControl w:val="0"/>
        <w:ind w:firstLine="567"/>
        <w:jc w:val="both"/>
      </w:pPr>
      <w:r>
        <w:t>TAS konstrukcijai taikomi tie patys reikalavimai kaip ir KAS, ĮAS ar ĮASS. Konkrečius reikalavimus TAS nustato operatorius.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ind w:firstLine="567"/>
        <w:jc w:val="both"/>
      </w:pPr>
      <w:r>
        <w:t>156</w:t>
      </w:r>
      <w:r>
        <w:t>. Įrengiant elektros skaitiklius, nuo grindų (žemės paviršiaus, stacionariųjų pastovų, aikštelių ir pan.) iki elektros skaitiklio gnybtų aukštis turi būti 0,8–1,7 m. Pastotėse, skirstomuosiuose punktuose ir transformatorinėse skaitikliai turi būti įrengiami ne aukščiau kaip 2,5 m. Tokių elektros skaitiklių priežiūrai elektros įrenginiuose turi būti sumontuoti specialūs kilnojamieji pastovai.</w:t>
      </w:r>
    </w:p>
    <w:p>
      <w:pPr>
        <w:widowControl w:val="0"/>
        <w:ind w:firstLine="567"/>
        <w:jc w:val="both"/>
      </w:pPr>
      <w:r>
        <w:t>Indukciniai elektros skaitikliai KAS, ĮAS ar ĮASS turi būti įrengiami taip, kad jų pasvirimas bet kuria kryptimi būtų ne didesnis kaip 1°.</w:t>
      </w:r>
    </w:p>
    <w:p>
      <w:pPr>
        <w:widowControl w:val="0"/>
        <w:ind w:firstLine="567"/>
        <w:jc w:val="both"/>
      </w:pPr>
      <w:r>
        <w:t>157</w:t>
      </w:r>
      <w:r>
        <w:t>. KAS, ĮAS ar ĮASS turi būti</w:t>
      </w:r>
      <w:r>
        <w:rPr>
          <w:color w:val="0000FF"/>
        </w:rPr>
        <w:t xml:space="preserve"> </w:t>
      </w:r>
      <w:r>
        <w:t>konstruktyviai įrengtos taip, kad jų priežiūra būtų atliekama tik iš fasadinės pusės. Elektros skaitikliai ir bandymo gnybtynai (blokai) KAS, ĮAS ar ĮASS viduje turi būti įrengiami ant plokščių ar montavimo bėgelių ir turėti galimybę juos plombuoti uždengus skydų (skydelių) gaubtais. Elektros skaitiklių laikiklių konstrukcija turi būti universali, su slankiomis metalinėmis veržlėmis. KAS, ĮAS ar ĮASS konstrukcija ir matmenys parenkami taip, kad elektros skaitiklius ir kitus elektros apskaitos schemos elementus būtų patogu įrengti, keisti, nebūtų sudėtinga prie jų jungti laidus. Elektros skaitiklių ir elektros apskaitos schemos elementų tvirtinimo ir laidų prijungimo varžtai ar kiti įtaisai turi būti priekinėje spintos pusėje.</w:t>
      </w:r>
    </w:p>
    <w:p>
      <w:pPr>
        <w:widowControl w:val="0"/>
        <w:ind w:firstLine="567"/>
        <w:jc w:val="both"/>
      </w:pPr>
      <w:r>
        <w:t>158</w:t>
      </w:r>
      <w:r>
        <w:t>. Elektros apskaitos schemose visi naudojami kabeliai ir laidininkai turi tenkinti šių Taisyklių reikalavimus. Laidininkų gyslos turi būti izoliuotos, vienvielės, varinės, neturi būti lituojamų laidininkų jungčių. Laidininkų gyslų skerspjūvis turi būti ne mažesnis kaip:</w:t>
      </w:r>
    </w:p>
    <w:p>
      <w:pPr>
        <w:widowControl w:val="0"/>
        <w:ind w:firstLine="567"/>
        <w:jc w:val="both"/>
      </w:pPr>
      <w:r>
        <w:t>158.1</w:t>
      </w:r>
      <w:r>
        <w:t>. 1,5 mm</w:t>
      </w:r>
      <w:r>
        <w:rPr>
          <w:vertAlign w:val="superscript"/>
        </w:rPr>
        <w:t>2</w:t>
      </w:r>
      <w:r>
        <w:t xml:space="preserve"> – įtampos grandinėms;</w:t>
      </w:r>
    </w:p>
    <w:p>
      <w:pPr>
        <w:widowControl w:val="0"/>
        <w:ind w:firstLine="567"/>
        <w:jc w:val="both"/>
      </w:pPr>
      <w:r>
        <w:t>158.2</w:t>
      </w:r>
      <w:r>
        <w:t>. 2,5 mm</w:t>
      </w:r>
      <w:r>
        <w:rPr>
          <w:vertAlign w:val="superscript"/>
        </w:rPr>
        <w:t>2</w:t>
      </w:r>
      <w:r>
        <w:t xml:space="preserve"> – srovės grandinėms.</w:t>
      </w:r>
    </w:p>
    <w:p>
      <w:pPr>
        <w:widowControl w:val="0"/>
        <w:ind w:firstLine="567"/>
        <w:jc w:val="both"/>
      </w:pPr>
      <w:r>
        <w:t>Elektros apskaitos antrinių grandinių jungiamųjų kabelių ir laidininkų gyslų skerspjūvį naudoti ne didesnį kaip 4 mm</w:t>
      </w:r>
      <w:r>
        <w:rPr>
          <w:vertAlign w:val="superscript"/>
        </w:rPr>
        <w:t>2</w:t>
      </w:r>
      <w:r>
        <w:t>, jei jiems prijungti naudojami kontaktai taip pat yra pritaikyti šiam skerspjūviui.</w:t>
      </w:r>
    </w:p>
    <w:p>
      <w:pPr>
        <w:widowControl w:val="0"/>
        <w:ind w:firstLine="567"/>
        <w:jc w:val="both"/>
      </w:pPr>
      <w:r>
        <w:t>Prijungiant tiesioginio jungimo komercinius skaitiklius, atsargai turi būti palikti ne trumpesni kaip 120 mm laidininkų galai. Nulinio laido arba jo apvalkalo ir fazių laidų spalva iki skaitiklių turi skirtis ne mažesniu kaip 100 mm atstumu.</w:t>
      </w:r>
    </w:p>
    <w:p>
      <w:pPr>
        <w:widowControl w:val="0"/>
        <w:ind w:firstLine="567"/>
        <w:jc w:val="both"/>
      </w:pPr>
      <w:r>
        <w:t>159</w:t>
      </w:r>
      <w:r>
        <w:t>. Elektros skaitiklių priežiūrai turi būti numatyta jų atjungimo galimybė, kad būtų išjungiama įtampa visose fazėse.</w:t>
      </w:r>
    </w:p>
    <w:p>
      <w:pPr>
        <w:widowControl w:val="0"/>
        <w:ind w:firstLine="567"/>
        <w:jc w:val="both"/>
      </w:pPr>
      <w:r>
        <w:t>Prijungiant elektros skaitiklius prie matavimo transformatorių antrinėse grandinėse prieš elektros skaitiklius turi būti įrengti specialūs bandymų blokai (gnybtynai). Įrengiant tiesioginio jungimo skaitiklius prieš juos (ne didesniu kaip 10 m atstumu), ĮAS, ĮASS ar kitose vietose turi būti įrengti automatiniai jungikliai. Įvadiniai automatiniai jungikliai turi būti parenkami pagal prijunginiams suteiktą leistinąją naudoti galią, vadovaujantis Taisyklių 1 priedo 31 ir 32 lentelėse nurodytomis automatinių jungiklių atkabiklių maksimaliosiomis vardinėmis srovėmis.</w:t>
      </w:r>
    </w:p>
    <w:p>
      <w:pPr>
        <w:widowControl w:val="0"/>
        <w:ind w:firstLine="567"/>
        <w:jc w:val="both"/>
      </w:pPr>
      <w:r>
        <w:t>160</w:t>
      </w:r>
      <w:r>
        <w:t xml:space="preserve">. KAS, ĮAS ar ĮASS ir matavimo transformatoriai turi būti įžeminami (įnulinami) pagal Taisyklių VIII skyriaus reikalavimus. </w:t>
      </w:r>
    </w:p>
    <w:p>
      <w:pPr>
        <w:widowControl w:val="0"/>
        <w:ind w:firstLine="567"/>
        <w:jc w:val="both"/>
      </w:pPr>
      <w:r>
        <w:t>Apsauginis laidas (PE) ir apsauginiai nuliniai laidininkai (PEN) turi būti variniai.</w:t>
      </w:r>
    </w:p>
    <w:p>
      <w:pPr>
        <w:widowControl w:val="0"/>
        <w:ind w:firstLine="567"/>
        <w:jc w:val="both"/>
      </w:pPr>
      <w:r>
        <w:t xml:space="preserve">Kai yra keli prijunginiai su atskirai įrengtais komerciniais skaitikliais, ant kiekvienos spintos (skydo) ar jos (jo) viduje turi būti užrašyti prijunginių pavadinimai. </w:t>
      </w:r>
    </w:p>
    <w:p>
      <w:pPr>
        <w:widowControl w:val="0"/>
        <w:ind w:firstLine="567"/>
        <w:jc w:val="both"/>
      </w:pPr>
    </w:p>
    <w:p>
      <w:pPr>
        <w:widowControl w:val="0"/>
        <w:jc w:val="center"/>
        <w:rPr>
          <w:b/>
        </w:rPr>
      </w:pPr>
      <w:r>
        <w:rPr>
          <w:b/>
        </w:rPr>
        <w:t>SEPTINTASIS</w:t>
      </w:r>
      <w:r>
        <w:rPr>
          <w:b/>
        </w:rPr>
        <w:t xml:space="preserve"> SKIRSNIS</w:t>
      </w:r>
    </w:p>
    <w:p>
      <w:pPr>
        <w:widowControl w:val="0"/>
        <w:jc w:val="center"/>
        <w:rPr>
          <w:b/>
        </w:rPr>
      </w:pPr>
      <w:r>
        <w:rPr>
          <w:b/>
        </w:rPr>
        <w:t xml:space="preserve">KONTROLINĖ ELEKTROS APSKAITA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ind w:firstLine="567"/>
        <w:jc w:val="both"/>
      </w:pPr>
      <w:r>
        <w:t>161</w:t>
      </w:r>
      <w:r>
        <w:t>. Elektrinių ir transformatorių pastočių techniniams ir ekonominiams rodikliams ir savosioms reikmėms apskaičiuoti turi būti įrengti kontroliniai skaitikliai. Kontroliniai skaitikliai įrengiami:</w:t>
      </w:r>
    </w:p>
    <w:p>
      <w:pPr>
        <w:widowControl w:val="0"/>
        <w:ind w:firstLine="567"/>
        <w:jc w:val="both"/>
      </w:pPr>
      <w:r>
        <w:t>161.1</w:t>
      </w:r>
      <w:r>
        <w:t>. elektrinėse, kur neįrengti komerciniai elektros skaitikliai, t. y. kiekvienam generatoriui, generatoriaus įtampos linijose, visų įtampų linijų prijunginiuose, savųjų reikmių galios transformatorių prijunginiuose, kiekvienam apeinamajam arba šyniniam (sekciniam) jungtuvui, kiekvienam aukštesnės kaip 1000 V įtampos elektros variklio, maitinamo nuo savųjų reikmių skirstyklų pagrindinės įtampos šynų, prijunginiui ir visų galios transformatorių, maitinamų nuo jų, grandinėse;</w:t>
      </w:r>
    </w:p>
    <w:p>
      <w:pPr>
        <w:widowControl w:val="0"/>
        <w:ind w:firstLine="567"/>
        <w:jc w:val="both"/>
      </w:pPr>
      <w:r>
        <w:t>161.2</w:t>
      </w:r>
      <w:r>
        <w:t>. 35 kV ir aukštesnės įtampos pastotėse galios transformatorių aukštesnės ir žemesnės įtampų pusėse; kiekviename 6 kV ir aukštesnės įtampos operatoriui ar vartotojui priklausančiame elektros linijos prijunginyje;</w:t>
      </w:r>
    </w:p>
    <w:p>
      <w:pPr>
        <w:widowControl w:val="0"/>
        <w:ind w:firstLine="567"/>
        <w:jc w:val="both"/>
      </w:pPr>
      <w:r>
        <w:t>161.3</w:t>
      </w:r>
      <w:r>
        <w:t>. įmonių gamybos paskirties pastatų, technologinių procesų, daug energijos vartojančių agregatų ir pan. elektros suvartojimui ir lyginamosioms sąnaudoms produkcijos vienetui nustatyti vartotojai gali įrengti kontrolinius skaitiklius. Kai su vartotoju atsiskaitoma pagal elektrinėje arba operatoriaus pastotėje ar transformatorinėje įrengtus komercinius skaitiklius, kontroliniai skaitikliai įrengiami ir vartotojo elektros įrenginiuose;</w:t>
      </w:r>
    </w:p>
    <w:p>
      <w:pPr>
        <w:widowControl w:val="0"/>
        <w:ind w:firstLine="567"/>
        <w:jc w:val="both"/>
      </w:pPr>
      <w:r>
        <w:t>161.4</w:t>
      </w:r>
      <w:r>
        <w:t>. vartotojų ar operatorių elektros įrenginiuose įrengtiems įžemėjimo srovių kompensavimo ir kitiems pastarųjų tinklo režimą ar elektros kokybę gerinantiems įrenginiams;</w:t>
      </w:r>
    </w:p>
    <w:p>
      <w:pPr>
        <w:widowControl w:val="0"/>
        <w:ind w:firstLine="567"/>
        <w:jc w:val="both"/>
      </w:pPr>
      <w:r>
        <w:t>161.5</w:t>
      </w:r>
      <w:r>
        <w:t>. šuntų reaktorių ir kitų įrenginių prijunginiuose prie pastotės šynų sistemų.</w:t>
      </w:r>
    </w:p>
    <w:p>
      <w:pPr>
        <w:widowControl w:val="0"/>
        <w:ind w:firstLine="567"/>
        <w:jc w:val="both"/>
      </w:pPr>
      <w:r>
        <w:t xml:space="preserve">Įrengiant, keičiant ir išmontuojant vartotojo elektros įrenginiuose šiame punkte nurodytus kontrolinius skaitiklius, operatoriaus leidimo nereikia. </w:t>
      </w:r>
    </w:p>
    <w:p>
      <w:pPr>
        <w:widowControl w:val="0"/>
        <w:ind w:firstLine="567"/>
        <w:jc w:val="both"/>
      </w:pPr>
      <w:r>
        <w:t>Kontrolinių skaitiklių, jiems prijungti naudojamų matavimo transformatorių ir kitų elektros apskaitos schemos elementų plombavimo būtinumą nustato kontrolinę elektros apskaitą prižiūrintis vartotojas ar operatorius.</w:t>
      </w:r>
    </w:p>
    <w:p>
      <w:pPr>
        <w:widowControl w:val="0"/>
        <w:ind w:firstLine="567"/>
        <w:jc w:val="both"/>
      </w:pPr>
      <w:r>
        <w:t>Aktyviosios elektros kontrolinių skaitiklių tikslumo klasė turi atitikti Taisyklių 142 punkto reikalavimus.</w:t>
      </w:r>
    </w:p>
    <w:p>
      <w:pPr>
        <w:widowControl w:val="0"/>
        <w:ind w:firstLine="567"/>
        <w:jc w:val="both"/>
      </w:pPr>
    </w:p>
    <w:p>
      <w:pPr>
        <w:widowControl w:val="0"/>
        <w:jc w:val="center"/>
        <w:rPr>
          <w:b/>
        </w:rPr>
      </w:pPr>
      <w:r>
        <w:rPr>
          <w:b/>
        </w:rPr>
        <w:t>VII</w:t>
      </w:r>
      <w:r>
        <w:rPr>
          <w:b/>
        </w:rPr>
        <w:t xml:space="preserve"> SKYRIUS</w:t>
      </w:r>
    </w:p>
    <w:p>
      <w:pPr>
        <w:widowControl w:val="0"/>
        <w:jc w:val="center"/>
        <w:rPr>
          <w:b/>
        </w:rPr>
      </w:pPr>
      <w:r>
        <w:rPr>
          <w:b/>
        </w:rPr>
        <w:t xml:space="preserve">ELEKTROS DYDŽIŲ MATAVIMAI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9639"/>
        </w:tabs>
        <w:jc w:val="center"/>
        <w:rPr>
          <w:b/>
        </w:rPr>
      </w:pPr>
      <w:r>
        <w:rPr>
          <w:b/>
        </w:rPr>
        <w:t>PIRMASIS</w:t>
      </w:r>
      <w:r>
        <w:rPr>
          <w:b/>
        </w:rPr>
        <w:t xml:space="preserve"> SKIRSNIS</w:t>
      </w:r>
    </w:p>
    <w:p>
      <w:pPr>
        <w:widowControl w:val="0"/>
        <w:tabs>
          <w:tab w:val="left" w:pos="9639"/>
        </w:tabs>
        <w:jc w:val="center"/>
        <w:rPr>
          <w:b/>
        </w:rPr>
      </w:pPr>
      <w:r>
        <w:rPr>
          <w:b/>
        </w:rPr>
        <w:t xml:space="preserve">TAIKYMO SRITIS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 w:val="left" w:pos="9639"/>
        </w:tabs>
        <w:ind w:firstLine="567"/>
        <w:jc w:val="both"/>
      </w:pPr>
      <w:r>
        <w:t>162</w:t>
      </w:r>
      <w:r>
        <w:t>. Šio Taisyklių skyriaus reikalavimai taikomi elektros dydžių matavimams (išskyrus elektros apskaitą), atliekamiems stacionariosiomis matavimo priemonėmis (rodomosiomis, registruojamosiomis, fiksuojamosiomis ir kt.). Šio skyriaus reikalavimai netaikomi laboratoriniams elektros dydžių matavimams, taip pat kilnojamaisiais matavimo prietaisais atliekamiems matavimams.</w:t>
      </w:r>
    </w:p>
    <w:p>
      <w:pPr>
        <w:widowControl w:val="0"/>
        <w:tabs>
          <w:tab w:val="left" w:pos="-180"/>
          <w:tab w:val="left" w:pos="0"/>
          <w:tab w:val="left" w:pos="1440"/>
        </w:tabs>
        <w:ind w:firstLine="567"/>
        <w:jc w:val="both"/>
      </w:pPr>
      <w:r>
        <w:t>Kitų dydžių (ne elektros) matavimai, taip pat kitų elektros dydžių, nereglamentuojamų šiomis Taisyklėmis, matavimai, būtini elektros įrenginių eksploatavimo kontrolei ir valdymui, atliekami pagal tų įrenginių gamintojų techninius dokumentus.</w:t>
      </w:r>
    </w:p>
    <w:p>
      <w:pPr>
        <w:widowControl w:val="0"/>
        <w:ind w:firstLine="567"/>
        <w:jc w:val="both"/>
        <w:outlineLvl w:val="1"/>
      </w:pPr>
    </w:p>
    <w:p>
      <w:pPr>
        <w:widowControl w:val="0"/>
        <w:jc w:val="center"/>
        <w:outlineLvl w:val="1"/>
        <w:rPr>
          <w:b/>
        </w:rPr>
      </w:pPr>
      <w:r>
        <w:rPr>
          <w:b/>
        </w:rPr>
        <w:t>ANTRASIS</w:t>
      </w:r>
      <w:r>
        <w:rPr>
          <w:b/>
        </w:rPr>
        <w:t xml:space="preserve"> SKIRSNIS</w:t>
      </w:r>
    </w:p>
    <w:p>
      <w:pPr>
        <w:widowControl w:val="0"/>
        <w:jc w:val="center"/>
        <w:outlineLvl w:val="1"/>
        <w:rPr>
          <w:b/>
        </w:rPr>
      </w:pPr>
      <w:r>
        <w:rPr>
          <w:b/>
        </w:rPr>
        <w:t xml:space="preserve">BENDRIEJI REIKALAVIMAI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rPr>
          <w:caps/>
        </w:rPr>
      </w:pPr>
      <w:r>
        <w:t>163</w:t>
      </w:r>
      <w:r>
        <w:t>. Elektros dydžių matavimo priemonės turi tenkinti šiuos pagrindinius reikalavimus</w:t>
      </w:r>
      <w:r>
        <w:rPr>
          <w:caps/>
        </w:rPr>
        <w:t>:</w:t>
      </w:r>
    </w:p>
    <w:p>
      <w:pPr>
        <w:widowControl w:val="0"/>
        <w:tabs>
          <w:tab w:val="left" w:pos="-180"/>
          <w:tab w:val="left" w:pos="0"/>
          <w:tab w:val="left" w:pos="567"/>
          <w:tab w:val="left" w:pos="1440"/>
        </w:tabs>
        <w:ind w:firstLine="567"/>
        <w:jc w:val="both"/>
      </w:pPr>
      <w:r>
        <w:rPr>
          <w:caps/>
        </w:rPr>
        <w:t>163.1</w:t>
      </w:r>
      <w:r>
        <w:rPr>
          <w:caps/>
        </w:rPr>
        <w:t xml:space="preserve">. </w:t>
      </w:r>
      <w:r>
        <w:t>matavimo prietaisų tikslumo klasė turi būti ne žemesnė kaip 1,5;</w:t>
      </w:r>
    </w:p>
    <w:p>
      <w:pPr>
        <w:widowControl w:val="0"/>
        <w:tabs>
          <w:tab w:val="left" w:pos="-180"/>
          <w:tab w:val="left" w:pos="0"/>
          <w:tab w:val="left" w:pos="567"/>
          <w:tab w:val="left" w:pos="993"/>
          <w:tab w:val="left" w:pos="1440"/>
          <w:tab w:val="left" w:pos="9639"/>
        </w:tabs>
        <w:ind w:firstLine="567"/>
        <w:jc w:val="both"/>
        <w:rPr>
          <w:caps/>
        </w:rPr>
      </w:pPr>
      <w:r>
        <w:t>163.2</w:t>
      </w:r>
      <w:r>
        <w:t>. šuntų, papildomų rezistorių, matavimo transformatorių ir keitiklių tikslumo klasės priklausomai nuo skydinio matavimo prietaiso tikslumo klasės turi būti ne žemesnės kaip nurodytos Taisyklių 3 priedo 1 lentelėje;</w:t>
      </w:r>
    </w:p>
    <w:p>
      <w:pPr>
        <w:widowControl w:val="0"/>
        <w:tabs>
          <w:tab w:val="left" w:pos="-180"/>
          <w:tab w:val="left" w:pos="0"/>
          <w:tab w:val="left" w:pos="567"/>
          <w:tab w:val="left" w:pos="993"/>
          <w:tab w:val="left" w:pos="1440"/>
          <w:tab w:val="left" w:pos="9639"/>
        </w:tabs>
        <w:ind w:firstLine="567"/>
        <w:jc w:val="both"/>
        <w:rPr>
          <w:caps/>
        </w:rPr>
      </w:pPr>
      <w:r>
        <w:t>163.3</w:t>
      </w:r>
      <w:r>
        <w:t>. matavimo ribos turi būti parenkamos įvertinus didžiausius ilgalaikius matuojamų dydžių nuokrypius nuo jų vardinių verčių;</w:t>
      </w:r>
    </w:p>
    <w:p>
      <w:pPr>
        <w:widowControl w:val="0"/>
        <w:tabs>
          <w:tab w:val="left" w:pos="-180"/>
          <w:tab w:val="left" w:pos="0"/>
          <w:tab w:val="left" w:pos="567"/>
          <w:tab w:val="left" w:pos="1440"/>
        </w:tabs>
        <w:ind w:firstLine="567"/>
        <w:jc w:val="both"/>
        <w:rPr>
          <w:color w:val="000000"/>
        </w:rPr>
      </w:pPr>
      <w:r>
        <w:t>163.4</w:t>
      </w:r>
      <w:r>
        <w:t>. kompiuterizuotų matavimo priemonių pirminių matavimo keitiklių tikslumo klasė turi būti ne žemesnė kaip 0,5, matavimo keitiklių „analogas–kodas“ – ne žemesnis kaip 0,2;</w:t>
      </w:r>
    </w:p>
    <w:p>
      <w:pPr>
        <w:widowControl w:val="0"/>
        <w:tabs>
          <w:tab w:val="left" w:pos="-180"/>
          <w:tab w:val="left" w:pos="0"/>
          <w:tab w:val="left" w:pos="567"/>
          <w:tab w:val="left" w:pos="1440"/>
        </w:tabs>
        <w:ind w:firstLine="567"/>
        <w:jc w:val="both"/>
      </w:pPr>
      <w:r>
        <w:t>163.5</w:t>
      </w:r>
      <w:r>
        <w:t>. dispečeriniam valdymui (telematavimams) naudojamų matavimo keitiklių (srovės, įtampos, galios, dažnio, sumuojamųjų) tikslumo klasė turi būti ne žemesnė kaip 1,0, keitiklių „analogas–kodas“ – ne žemesnis kaip 0,2. Dispečeriniam valdymui (telematavimams) naudojami matavimai iš relinės apsaugos terminalų, kurie prijungiami prie ne žemesnės kaip 5P klasės srovės transformatorių antrinės apvijos. Naudojamos matavimo priemonės prižiūrimos ir tikrinamos (kalibruojamos) Lietuvos Respublikos metrologijos įstatymo ir (arba) objekto savininko nustatyta tvarka, užtikrinant jų susietumą su etalonais.</w:t>
      </w:r>
    </w:p>
    <w:p>
      <w:pPr>
        <w:widowControl w:val="0"/>
        <w:tabs>
          <w:tab w:val="left" w:pos="-180"/>
          <w:tab w:val="left" w:pos="0"/>
          <w:tab w:val="left" w:pos="567"/>
          <w:tab w:val="left" w:pos="1440"/>
        </w:tabs>
        <w:ind w:firstLine="567"/>
        <w:jc w:val="both"/>
      </w:pPr>
      <w:r>
        <w:t>164</w:t>
      </w:r>
      <w:r>
        <w:t xml:space="preserve">. Skydiniai matavimo prietaisai turi būti įrengti valdymo pultuose. </w:t>
      </w:r>
    </w:p>
    <w:p>
      <w:pPr>
        <w:widowControl w:val="0"/>
        <w:tabs>
          <w:tab w:val="left" w:pos="-180"/>
          <w:tab w:val="left" w:pos="0"/>
          <w:tab w:val="left" w:pos="1440"/>
        </w:tabs>
        <w:ind w:firstLine="567"/>
        <w:jc w:val="both"/>
      </w:pPr>
      <w:r>
        <w:t>165</w:t>
      </w:r>
      <w:r>
        <w:t>. 110 kV ir aukštesnės įtampos elektros perdavimo linijose, taip pat elektrinių generatoriuose ir transformatoriuose matavimai turi būti atliekami nenutrūkstamai.</w:t>
      </w:r>
    </w:p>
    <w:p>
      <w:pPr>
        <w:widowControl w:val="0"/>
        <w:tabs>
          <w:tab w:val="left" w:pos="-180"/>
          <w:tab w:val="left" w:pos="0"/>
          <w:tab w:val="left" w:pos="1440"/>
        </w:tabs>
        <w:ind w:firstLine="567"/>
        <w:jc w:val="both"/>
      </w:pPr>
      <w:r>
        <w:t>166</w:t>
      </w:r>
      <w:r>
        <w:t>. Jeigu registruojamieji matavimo prietaisai nenutrūkstamam matavimui įrengiami valdymo pulto operatyviniame kontūre, tada įrengti tų pačių dydžių rodomųjų skydinių prietaisų nėra būtina.</w:t>
      </w:r>
    </w:p>
    <w:p>
      <w:pPr>
        <w:widowControl w:val="0"/>
        <w:ind w:firstLine="567"/>
        <w:jc w:val="both"/>
      </w:pPr>
    </w:p>
    <w:p>
      <w:pPr>
        <w:widowControl w:val="0"/>
        <w:jc w:val="center"/>
        <w:rPr>
          <w:b/>
        </w:rPr>
      </w:pPr>
      <w:r>
        <w:rPr>
          <w:b/>
        </w:rPr>
        <w:t>TREČIASIS</w:t>
      </w:r>
      <w:r>
        <w:rPr>
          <w:b/>
        </w:rPr>
        <w:t xml:space="preserve"> SKIRSNIS</w:t>
      </w:r>
    </w:p>
    <w:p>
      <w:pPr>
        <w:widowControl w:val="0"/>
        <w:jc w:val="center"/>
        <w:rPr>
          <w:b/>
        </w:rPr>
      </w:pPr>
      <w:r>
        <w:rPr>
          <w:b/>
        </w:rPr>
        <w:t xml:space="preserve">SROVĖS MATAVIMAS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167</w:t>
      </w:r>
      <w:r>
        <w:t>. Srovė turi būti matuojama visų įtampų grandinėse, kur yra būtina sistemingai kontroliuoti technologinį procesą ar įrenginius.</w:t>
      </w:r>
    </w:p>
    <w:p>
      <w:pPr>
        <w:widowControl w:val="0"/>
        <w:tabs>
          <w:tab w:val="left" w:pos="-180"/>
          <w:tab w:val="left" w:pos="0"/>
          <w:tab w:val="left" w:pos="567"/>
          <w:tab w:val="left" w:pos="993"/>
          <w:tab w:val="left" w:pos="1440"/>
        </w:tabs>
        <w:ind w:firstLine="567"/>
        <w:jc w:val="both"/>
      </w:pPr>
      <w:r>
        <w:t>168</w:t>
      </w:r>
      <w:r>
        <w:t xml:space="preserve">. Nuolatinė srovė turi būti matuojama šiose grandinėse: </w:t>
      </w:r>
    </w:p>
    <w:p>
      <w:pPr>
        <w:widowControl w:val="0"/>
        <w:tabs>
          <w:tab w:val="left" w:pos="-180"/>
          <w:tab w:val="left" w:pos="0"/>
          <w:tab w:val="left" w:pos="567"/>
          <w:tab w:val="left" w:pos="993"/>
          <w:tab w:val="left" w:pos="1440"/>
        </w:tabs>
        <w:ind w:firstLine="567"/>
        <w:jc w:val="both"/>
      </w:pPr>
      <w:r>
        <w:t>168.1</w:t>
      </w:r>
      <w:r>
        <w:t>. nuolatinės srovės generatorių ir galios keitiklių;</w:t>
      </w:r>
    </w:p>
    <w:p>
      <w:pPr>
        <w:widowControl w:val="0"/>
        <w:tabs>
          <w:tab w:val="left" w:pos="-180"/>
          <w:tab w:val="left" w:pos="0"/>
          <w:tab w:val="left" w:pos="567"/>
          <w:tab w:val="left" w:pos="993"/>
          <w:tab w:val="left" w:pos="1440"/>
        </w:tabs>
        <w:ind w:firstLine="567"/>
        <w:jc w:val="both"/>
      </w:pPr>
      <w:r>
        <w:t>168.2</w:t>
      </w:r>
      <w:r>
        <w:t>. akumuliatorių baterijų, įkrovimo, palaikomojo įkrovimo ir iškrovimo įtaisų;</w:t>
      </w:r>
    </w:p>
    <w:p>
      <w:pPr>
        <w:widowControl w:val="0"/>
        <w:tabs>
          <w:tab w:val="left" w:pos="-180"/>
          <w:tab w:val="left" w:pos="0"/>
          <w:tab w:val="left" w:pos="567"/>
          <w:tab w:val="left" w:pos="993"/>
          <w:tab w:val="left" w:pos="1440"/>
        </w:tabs>
        <w:ind w:firstLine="567"/>
        <w:jc w:val="both"/>
      </w:pPr>
      <w:r>
        <w:t>168.3</w:t>
      </w:r>
      <w:r>
        <w:t>. sinchroninių generatorių žadinimo, taip pat elektros variklių su reguliuojamu žadinimu.</w:t>
      </w:r>
    </w:p>
    <w:p>
      <w:pPr>
        <w:widowControl w:val="0"/>
        <w:tabs>
          <w:tab w:val="left" w:pos="-180"/>
          <w:tab w:val="left" w:pos="0"/>
          <w:tab w:val="left" w:pos="567"/>
          <w:tab w:val="left" w:pos="993"/>
          <w:tab w:val="left" w:pos="1440"/>
        </w:tabs>
        <w:ind w:firstLine="567"/>
        <w:jc w:val="both"/>
      </w:pPr>
      <w:r>
        <w:t>Nuolatinės srovės ampermetrai turi būti su dvipuse skale, jeigu galimas srovės krypties pasikeitimas.</w:t>
      </w:r>
    </w:p>
    <w:p>
      <w:pPr>
        <w:widowControl w:val="0"/>
        <w:tabs>
          <w:tab w:val="left" w:pos="-180"/>
          <w:tab w:val="left" w:pos="0"/>
          <w:tab w:val="left" w:pos="567"/>
          <w:tab w:val="left" w:pos="1440"/>
        </w:tabs>
        <w:ind w:firstLine="567"/>
        <w:jc w:val="both"/>
      </w:pPr>
      <w:r>
        <w:t>169</w:t>
      </w:r>
      <w:r>
        <w:t>. Kintamosios trifazės srovės grandinėse būtina matuoti vienos fazės srovę. Kiekvienos fazės srovė turi būti matuojama:</w:t>
      </w:r>
    </w:p>
    <w:p>
      <w:pPr>
        <w:widowControl w:val="0"/>
        <w:tabs>
          <w:tab w:val="left" w:pos="-180"/>
          <w:tab w:val="left" w:pos="0"/>
          <w:tab w:val="left" w:pos="1440"/>
        </w:tabs>
        <w:ind w:firstLine="567"/>
        <w:jc w:val="both"/>
      </w:pPr>
      <w:r>
        <w:t>169.1</w:t>
      </w:r>
      <w:r>
        <w:t>. 12 MW ir didesnės galios sinchroninių turbogeneratorių;</w:t>
      </w:r>
    </w:p>
    <w:p>
      <w:pPr>
        <w:widowControl w:val="0"/>
        <w:tabs>
          <w:tab w:val="left" w:pos="-180"/>
          <w:tab w:val="left" w:pos="0"/>
          <w:tab w:val="left" w:pos="567"/>
          <w:tab w:val="left" w:pos="993"/>
          <w:tab w:val="left" w:pos="1440"/>
        </w:tabs>
        <w:ind w:firstLine="567"/>
        <w:jc w:val="both"/>
      </w:pPr>
      <w:r>
        <w:t>169.2</w:t>
      </w:r>
      <w:r>
        <w:t>. atskiro fazių valdymo elektros linijų, linijų su išilgine kompensacija ir linijų, kurioms numatomas ilgalaikis veikimas ne visomis fazėmis arba įrengtas 330 kV įtampos trifazio valdymo elektros perdavimo linijų kiekvienos fazės srovės matavimas.</w:t>
      </w:r>
    </w:p>
    <w:p>
      <w:pPr>
        <w:widowControl w:val="0"/>
        <w:tabs>
          <w:tab w:val="left" w:pos="0"/>
        </w:tabs>
        <w:ind w:firstLine="567"/>
        <w:jc w:val="both"/>
      </w:pPr>
    </w:p>
    <w:p>
      <w:pPr>
        <w:widowControl w:val="0"/>
        <w:jc w:val="center"/>
        <w:rPr>
          <w:b/>
        </w:rPr>
      </w:pPr>
      <w:r>
        <w:rPr>
          <w:b/>
        </w:rPr>
        <w:t>KETVIRTASIS</w:t>
      </w:r>
      <w:r>
        <w:rPr>
          <w:b/>
        </w:rPr>
        <w:t xml:space="preserve"> SKIRSNIS</w:t>
      </w:r>
    </w:p>
    <w:p>
      <w:pPr>
        <w:widowControl w:val="0"/>
        <w:jc w:val="center"/>
        <w:rPr>
          <w:b/>
        </w:rPr>
      </w:pPr>
      <w:r>
        <w:rPr>
          <w:b/>
        </w:rPr>
        <w:t xml:space="preserve">ĮTAMPOS MATAVIMAS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rPr>
          <w:b/>
        </w:rPr>
      </w:pPr>
      <w:r>
        <w:t>170</w:t>
      </w:r>
      <w:r>
        <w:t>. Įtampa turi būti matuojama</w:t>
      </w:r>
      <w:r>
        <w:rPr>
          <w:bCs/>
        </w:rPr>
        <w:t>:</w:t>
      </w:r>
    </w:p>
    <w:p>
      <w:pPr>
        <w:widowControl w:val="0"/>
        <w:tabs>
          <w:tab w:val="left" w:pos="-180"/>
          <w:tab w:val="left" w:pos="0"/>
          <w:tab w:val="left" w:pos="1440"/>
        </w:tabs>
        <w:ind w:firstLine="567"/>
        <w:jc w:val="both"/>
      </w:pPr>
      <w:r>
        <w:t>170.1</w:t>
      </w:r>
      <w:r>
        <w:t>. nuolatinės ir kintamosios srovės magistralinių šynų sekcijose. Pastotėse matuojama įtampa žemesnės įtampos pusėje, jeigu aukštesnės įtampos pusėje nėra įrengti įtampos transformatoriai kitiems tikslams;</w:t>
      </w:r>
    </w:p>
    <w:p>
      <w:pPr>
        <w:widowControl w:val="0"/>
        <w:tabs>
          <w:tab w:val="left" w:pos="-180"/>
          <w:tab w:val="left" w:pos="0"/>
          <w:tab w:val="left" w:pos="1440"/>
        </w:tabs>
        <w:ind w:firstLine="567"/>
        <w:jc w:val="both"/>
      </w:pPr>
      <w:r>
        <w:t>170.2</w:t>
      </w:r>
      <w:r>
        <w:t>. nuolatinės ir kintamosios srovės generatorių grandinėse, taip pat tam tikrais atvejais specialiosios paskirties agregatų grandinėse. Automatiškai paleidžiamuose generatoriuose ar kituose agregatuose įrengti nenutrūkstamo įtampos matavimo prietaisų nebūtina;</w:t>
      </w:r>
    </w:p>
    <w:p>
      <w:pPr>
        <w:widowControl w:val="0"/>
        <w:tabs>
          <w:tab w:val="left" w:pos="-180"/>
          <w:tab w:val="left" w:pos="0"/>
          <w:tab w:val="left" w:pos="1440"/>
        </w:tabs>
        <w:ind w:firstLine="567"/>
        <w:jc w:val="both"/>
      </w:pPr>
      <w:r>
        <w:t>170.3</w:t>
      </w:r>
      <w:r>
        <w:t xml:space="preserve">. 1 MW ir didesnės galios sinchroninių mašinų sužadinimo grandinėse; </w:t>
      </w:r>
    </w:p>
    <w:p>
      <w:pPr>
        <w:widowControl w:val="0"/>
        <w:tabs>
          <w:tab w:val="left" w:pos="-180"/>
          <w:tab w:val="left" w:pos="0"/>
          <w:tab w:val="left" w:pos="1440"/>
        </w:tabs>
        <w:ind w:firstLine="567"/>
        <w:jc w:val="both"/>
      </w:pPr>
      <w:r>
        <w:t>170.4</w:t>
      </w:r>
      <w:r>
        <w:t>. galios keitiklių, akumuliatorių baterijų, įkrovimo ir papildomo įkrovimo įrenginių grandinėse.</w:t>
      </w:r>
    </w:p>
    <w:p>
      <w:pPr>
        <w:widowControl w:val="0"/>
        <w:tabs>
          <w:tab w:val="left" w:pos="-180"/>
          <w:tab w:val="left" w:pos="0"/>
          <w:tab w:val="left" w:pos="1440"/>
        </w:tabs>
        <w:ind w:firstLine="567"/>
        <w:jc w:val="both"/>
      </w:pPr>
      <w:r>
        <w:t>171</w:t>
      </w:r>
      <w:r>
        <w:t>. Trifaziuose tinkluose pakanka matuoti vieną tarpfazę įtampą.</w:t>
      </w:r>
    </w:p>
    <w:p>
      <w:pPr>
        <w:widowControl w:val="0"/>
        <w:tabs>
          <w:tab w:val="left" w:pos="-180"/>
          <w:tab w:val="left" w:pos="0"/>
          <w:tab w:val="left" w:pos="567"/>
          <w:tab w:val="left" w:pos="1440"/>
        </w:tabs>
        <w:ind w:firstLine="567"/>
        <w:jc w:val="both"/>
      </w:pPr>
      <w:r>
        <w:t>172</w:t>
      </w:r>
      <w:r>
        <w:t>. Turi būti registruojamos vienos tarpfazės įtampos vertės (arba nuokrypiai nuo nustatytos vertės) 110 kV ir aukštesnės įtampos elektrinių ir pastočių magistralinėse šynose, pagal kurių įtampą valdomas sistemos režimas.</w:t>
      </w:r>
    </w:p>
    <w:p>
      <w:pPr>
        <w:widowControl w:val="0"/>
        <w:tabs>
          <w:tab w:val="left" w:pos="-180"/>
          <w:tab w:val="left" w:pos="0"/>
          <w:tab w:val="left" w:pos="567"/>
          <w:tab w:val="left" w:pos="1440"/>
        </w:tabs>
        <w:ind w:firstLine="567"/>
        <w:jc w:val="both"/>
      </w:pPr>
    </w:p>
    <w:p>
      <w:pPr>
        <w:widowControl w:val="0"/>
        <w:jc w:val="center"/>
        <w:rPr>
          <w:b/>
        </w:rPr>
      </w:pPr>
      <w:r>
        <w:rPr>
          <w:b/>
        </w:rPr>
        <w:t>PENKTASIS</w:t>
      </w:r>
      <w:r>
        <w:rPr>
          <w:b/>
        </w:rPr>
        <w:t xml:space="preserve"> SKIRSNIS</w:t>
      </w:r>
    </w:p>
    <w:p>
      <w:pPr>
        <w:widowControl w:val="0"/>
        <w:jc w:val="center"/>
        <w:rPr>
          <w:b/>
        </w:rPr>
      </w:pPr>
      <w:r>
        <w:rPr>
          <w:b/>
        </w:rPr>
        <w:t xml:space="preserve">IZOLIACIJOS KONTROLĖ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173</w:t>
      </w:r>
      <w:r>
        <w:t>. Aukštesnės kaip 1000 V įtampos kintamosios srovės tinkluose su izoliuota arba įžeminta per lanką, gesinantį rezistorių, neutrale, taip pat žemesnės kaip 1000 V įtampos kintamosios srovės tinkluose su izoliuota neutrale ir nuolatinės srovės tinkluose su izoliuotais poliais arba su izoliuotu viduriniu tašku turi būti atliekama automatinė izoliacijos kontrolė, signalizuojanti apie sumažėjusią izoliacijos varžą vienoje iš fazių (arba polių), kai ji nukrinta žemiau, nei nustatyta vertė. Vėliau rodomuoju prietaisu (su perjungikliu) matuojama įtampos asimetrija.</w:t>
      </w:r>
    </w:p>
    <w:p>
      <w:pPr>
        <w:widowControl w:val="0"/>
        <w:tabs>
          <w:tab w:val="left" w:pos="-180"/>
          <w:tab w:val="left" w:pos="0"/>
          <w:tab w:val="left" w:pos="1440"/>
        </w:tabs>
        <w:ind w:firstLine="567"/>
        <w:jc w:val="both"/>
      </w:pPr>
      <w:r>
        <w:t>Izoliacijos būklė kontroliuojama periodiškai matuojant įtampas, vizualiai stebint įtampos asimetriją ir kitais būdais.</w:t>
      </w:r>
    </w:p>
    <w:p>
      <w:pPr>
        <w:widowControl w:val="0"/>
        <w:jc w:val="center"/>
        <w:outlineLvl w:val="1"/>
        <w:rPr>
          <w:b/>
        </w:rPr>
      </w:pPr>
    </w:p>
    <w:p>
      <w:pPr>
        <w:widowControl w:val="0"/>
        <w:jc w:val="center"/>
        <w:outlineLvl w:val="1"/>
        <w:rPr>
          <w:b/>
        </w:rPr>
      </w:pPr>
      <w:r>
        <w:rPr>
          <w:b/>
        </w:rPr>
        <w:t>ŠEŠTASIS</w:t>
      </w:r>
      <w:r>
        <w:rPr>
          <w:b/>
        </w:rPr>
        <w:t xml:space="preserve"> SKIRSNIS</w:t>
      </w:r>
    </w:p>
    <w:p>
      <w:pPr>
        <w:widowControl w:val="0"/>
        <w:jc w:val="center"/>
        <w:outlineLvl w:val="1"/>
        <w:rPr>
          <w:b/>
        </w:rPr>
      </w:pPr>
      <w:r>
        <w:rPr>
          <w:b/>
        </w:rPr>
        <w:t xml:space="preserve">GALIOS MATAVIMAS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 w:val="left" w:pos="6804"/>
          <w:tab w:val="left" w:pos="11482"/>
        </w:tabs>
        <w:ind w:firstLine="567"/>
        <w:jc w:val="both"/>
      </w:pPr>
      <w:r>
        <w:t>174</w:t>
      </w:r>
      <w:r>
        <w:t>. Galia turi būti matuojama šiose grandinėse:</w:t>
      </w:r>
    </w:p>
    <w:p>
      <w:pPr>
        <w:widowControl w:val="0"/>
        <w:tabs>
          <w:tab w:val="left" w:pos="-180"/>
          <w:tab w:val="left" w:pos="0"/>
          <w:tab w:val="left" w:pos="567"/>
          <w:tab w:val="left" w:pos="993"/>
          <w:tab w:val="left" w:pos="1440"/>
        </w:tabs>
        <w:ind w:firstLine="567"/>
        <w:jc w:val="both"/>
      </w:pPr>
      <w:r>
        <w:t>174.1</w:t>
      </w:r>
      <w:r>
        <w:t>. generatorių – aktyvioji ir reaktyvioji galia. 200 MW ir didesnės galios elektrinėse taip pat turi būti matuojama ir suminė aktyvioji galia. Suminė aktyvioji galia matuojama ir mažesnės kaip 200 MW galios elektrinėse, jei šis parametras automatiškai perduodamas į aukštesnįjį operatyvinio valdymo lygį. 100 MW ir didesnės galios generatorių galiai matuoti įrengiamų skydinių rodomųjų matavimo prietaisų tikslumo klasė turi būti ne žemesnė kaip 1,0;</w:t>
      </w:r>
    </w:p>
    <w:p>
      <w:pPr>
        <w:widowControl w:val="0"/>
        <w:tabs>
          <w:tab w:val="left" w:pos="-180"/>
          <w:tab w:val="left" w:pos="0"/>
          <w:tab w:val="left" w:pos="1440"/>
        </w:tabs>
        <w:ind w:firstLine="567"/>
        <w:jc w:val="both"/>
      </w:pPr>
      <w:r>
        <w:t>174.2</w:t>
      </w:r>
      <w:r>
        <w:t>. 25 Mvar ir didesnės galios kondensatorių baterijų – reaktyvioji galia;</w:t>
      </w:r>
    </w:p>
    <w:p>
      <w:pPr>
        <w:widowControl w:val="0"/>
        <w:tabs>
          <w:tab w:val="left" w:pos="-180"/>
          <w:tab w:val="left" w:pos="0"/>
          <w:tab w:val="left" w:pos="1440"/>
        </w:tabs>
        <w:ind w:firstLine="567"/>
        <w:jc w:val="both"/>
      </w:pPr>
      <w:r>
        <w:t>174.3</w:t>
      </w:r>
      <w:r>
        <w:t>. 6 kV ir aukštesnės įtampos elektrinių savųjų reikmių transformatorių ir linijų – aktyvioji galia;</w:t>
      </w:r>
    </w:p>
    <w:p>
      <w:pPr>
        <w:widowControl w:val="0"/>
        <w:tabs>
          <w:tab w:val="left" w:pos="-180"/>
          <w:tab w:val="left" w:pos="0"/>
          <w:tab w:val="left" w:pos="567"/>
          <w:tab w:val="left" w:pos="993"/>
          <w:tab w:val="left" w:pos="1440"/>
        </w:tabs>
        <w:ind w:firstLine="567"/>
        <w:jc w:val="both"/>
      </w:pPr>
      <w:r>
        <w:t>174.4</w:t>
      </w:r>
      <w:r>
        <w:t>. elektrinių dviejų apvijų aukštinamųjų transformatorių – aktyvioji ir reaktyvioji galia. Trijų apvijų aukštinamųjų transformatorių grandinėse (arba autotransformatorių, naudojant žemesnės įtampos apviją) aktyvioji ir reaktyvioji galia turi būti matuojama vidutinės ir žemesnės įtampos pusėse. Transformatoriaus, generatoriaus bloko žemesnės įtampos pusės galia matuojama generatoriaus grandinėje;</w:t>
      </w:r>
    </w:p>
    <w:p>
      <w:pPr>
        <w:widowControl w:val="0"/>
        <w:tabs>
          <w:tab w:val="left" w:pos="-180"/>
          <w:tab w:val="left" w:pos="0"/>
          <w:tab w:val="left" w:pos="1440"/>
        </w:tabs>
        <w:ind w:firstLine="567"/>
        <w:jc w:val="both"/>
      </w:pPr>
      <w:r>
        <w:t>174.5</w:t>
      </w:r>
      <w:r>
        <w:t>. 110 kV įtampos žeminamųjų transformatorių aktyvioji galia;</w:t>
      </w:r>
    </w:p>
    <w:p>
      <w:pPr>
        <w:widowControl w:val="0"/>
        <w:tabs>
          <w:tab w:val="left" w:pos="-180"/>
          <w:tab w:val="left" w:pos="0"/>
          <w:tab w:val="left" w:pos="1440"/>
        </w:tabs>
        <w:ind w:firstLine="567"/>
        <w:jc w:val="both"/>
      </w:pPr>
      <w:r>
        <w:t>174.6</w:t>
      </w:r>
      <w:r>
        <w:t>. 330 kV įtampos žeminamųjų transformatorių – aktyvioji ir reaktyvioji galia. Dviejų apvijų žeminamųjų transformatorių galia turi būti matuojama žemesnės įtampos pusėje, o trijų apvijų žeminamųjų transformatorių galia – vidutinės ir žemesnės įtampų pusėse;</w:t>
      </w:r>
    </w:p>
    <w:p>
      <w:pPr>
        <w:widowControl w:val="0"/>
        <w:tabs>
          <w:tab w:val="left" w:pos="-180"/>
          <w:tab w:val="left" w:pos="0"/>
          <w:tab w:val="left" w:pos="567"/>
          <w:tab w:val="left" w:pos="1440"/>
        </w:tabs>
        <w:ind w:firstLine="567"/>
        <w:jc w:val="both"/>
      </w:pPr>
      <w:r>
        <w:t>174.7</w:t>
      </w:r>
      <w:r>
        <w:t>. 110 kV ir aukštesnės įtampos linijų, kurios maitinamos iš dviejų pusių, taip pat apeinamųjų jungtuvų – aktyvioji ir reaktyvioji galios.</w:t>
      </w:r>
    </w:p>
    <w:p>
      <w:pPr>
        <w:widowControl w:val="0"/>
        <w:tabs>
          <w:tab w:val="left" w:pos="-180"/>
          <w:tab w:val="left" w:pos="0"/>
          <w:tab w:val="left" w:pos="1440"/>
        </w:tabs>
        <w:ind w:firstLine="567"/>
        <w:jc w:val="both"/>
      </w:pPr>
      <w:r>
        <w:t>175</w:t>
      </w:r>
      <w:r>
        <w:t>. Grandinėse, kuriose galios kryptis gali keistis, įrengiami skydiniai rodomieji prietaisai turi būti su dvipuse skale.</w:t>
      </w:r>
    </w:p>
    <w:p>
      <w:pPr>
        <w:widowControl w:val="0"/>
        <w:tabs>
          <w:tab w:val="left" w:pos="-180"/>
          <w:tab w:val="left" w:pos="0"/>
          <w:tab w:val="left" w:pos="567"/>
          <w:tab w:val="left" w:pos="1440"/>
        </w:tabs>
        <w:ind w:firstLine="567"/>
        <w:jc w:val="both"/>
      </w:pPr>
      <w:r>
        <w:t>176</w:t>
      </w:r>
      <w:r>
        <w:t>. Matavimo rezultatai turi būti registruojami:</w:t>
      </w:r>
    </w:p>
    <w:p>
      <w:pPr>
        <w:widowControl w:val="0"/>
        <w:tabs>
          <w:tab w:val="left" w:pos="-180"/>
          <w:tab w:val="left" w:pos="0"/>
          <w:tab w:val="left" w:pos="567"/>
          <w:tab w:val="left" w:pos="993"/>
          <w:tab w:val="left" w:pos="1440"/>
        </w:tabs>
        <w:ind w:firstLine="567"/>
        <w:jc w:val="both"/>
      </w:pPr>
      <w:r>
        <w:t>176.1</w:t>
      </w:r>
      <w:r>
        <w:t>. 60 MW ir didesnės galios turbogeneratorių aktyvioji galia;</w:t>
      </w:r>
    </w:p>
    <w:p>
      <w:pPr>
        <w:widowControl w:val="0"/>
        <w:tabs>
          <w:tab w:val="left" w:pos="-180"/>
          <w:tab w:val="left" w:pos="0"/>
          <w:tab w:val="left" w:pos="567"/>
          <w:tab w:val="left" w:pos="993"/>
          <w:tab w:val="left" w:pos="1440"/>
        </w:tabs>
        <w:ind w:firstLine="567"/>
        <w:jc w:val="both"/>
      </w:pPr>
      <w:r>
        <w:t>176.2</w:t>
      </w:r>
      <w:r>
        <w:t>. 100 MW ir didesnės galios elektrinių – suminė galia.</w:t>
      </w:r>
    </w:p>
    <w:p>
      <w:pPr>
        <w:widowControl w:val="0"/>
        <w:ind w:firstLine="567"/>
        <w:jc w:val="both"/>
      </w:pPr>
    </w:p>
    <w:p>
      <w:pPr>
        <w:widowControl w:val="0"/>
        <w:jc w:val="center"/>
        <w:outlineLvl w:val="1"/>
        <w:rPr>
          <w:b/>
        </w:rPr>
      </w:pPr>
      <w:r>
        <w:rPr>
          <w:b/>
        </w:rPr>
        <w:t>SEPTINTASIS</w:t>
      </w:r>
      <w:r>
        <w:rPr>
          <w:b/>
        </w:rPr>
        <w:t xml:space="preserve"> SKIRSNIS</w:t>
      </w:r>
    </w:p>
    <w:p>
      <w:pPr>
        <w:widowControl w:val="0"/>
        <w:jc w:val="center"/>
        <w:outlineLvl w:val="1"/>
        <w:rPr>
          <w:b/>
        </w:rPr>
      </w:pPr>
      <w:r>
        <w:rPr>
          <w:b/>
        </w:rPr>
        <w:t xml:space="preserve">DAŽNIO MATAVIMAS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177</w:t>
      </w:r>
      <w:r>
        <w:t>. Dažnis turi būti matuojamas:</w:t>
      </w:r>
    </w:p>
    <w:p>
      <w:pPr>
        <w:widowControl w:val="0"/>
        <w:tabs>
          <w:tab w:val="left" w:pos="-180"/>
          <w:tab w:val="left" w:pos="0"/>
          <w:tab w:val="left" w:pos="567"/>
          <w:tab w:val="left" w:pos="993"/>
          <w:tab w:val="left" w:pos="1440"/>
        </w:tabs>
        <w:ind w:firstLine="567"/>
        <w:jc w:val="both"/>
      </w:pPr>
      <w:r>
        <w:t>177.1</w:t>
      </w:r>
      <w:r>
        <w:t>. kiekvienoje generatoriaus įtampos šynų sekcijoje;</w:t>
      </w:r>
    </w:p>
    <w:p>
      <w:pPr>
        <w:widowControl w:val="0"/>
        <w:tabs>
          <w:tab w:val="left" w:pos="-180"/>
          <w:tab w:val="left" w:pos="0"/>
          <w:tab w:val="left" w:pos="567"/>
          <w:tab w:val="left" w:pos="993"/>
          <w:tab w:val="left" w:pos="1440"/>
        </w:tabs>
        <w:ind w:firstLine="567"/>
        <w:jc w:val="both"/>
      </w:pPr>
      <w:r>
        <w:t>177.2</w:t>
      </w:r>
      <w:r>
        <w:t>. kiekvieno blokinio šiluminės elektrinės generatoriaus;</w:t>
      </w:r>
    </w:p>
    <w:p>
      <w:pPr>
        <w:widowControl w:val="0"/>
        <w:tabs>
          <w:tab w:val="left" w:pos="-180"/>
          <w:tab w:val="left" w:pos="0"/>
          <w:tab w:val="left" w:pos="567"/>
          <w:tab w:val="left" w:pos="993"/>
          <w:tab w:val="left" w:pos="1440"/>
        </w:tabs>
        <w:ind w:firstLine="567"/>
        <w:jc w:val="both"/>
      </w:pPr>
      <w:r>
        <w:t>177.3</w:t>
      </w:r>
      <w:r>
        <w:t>. kiekvienoje elektrinės aukštesniosios įtampos šynų sistemoje (sekcijoje).</w:t>
      </w:r>
    </w:p>
    <w:p>
      <w:pPr>
        <w:widowControl w:val="0"/>
        <w:tabs>
          <w:tab w:val="left" w:pos="-180"/>
          <w:tab w:val="left" w:pos="0"/>
          <w:tab w:val="left" w:pos="567"/>
          <w:tab w:val="left" w:pos="1440"/>
        </w:tabs>
        <w:ind w:firstLine="567"/>
        <w:jc w:val="both"/>
      </w:pPr>
      <w:r>
        <w:t>178</w:t>
      </w:r>
      <w:r>
        <w:t>. Dažnio matavimo prietaisų paklaida neturi viršyti ±0,1 Hz.</w:t>
      </w:r>
    </w:p>
    <w:p>
      <w:pPr>
        <w:widowControl w:val="0"/>
        <w:ind w:firstLine="567"/>
        <w:jc w:val="both"/>
      </w:pPr>
    </w:p>
    <w:p>
      <w:pPr>
        <w:widowControl w:val="0"/>
        <w:jc w:val="center"/>
        <w:rPr>
          <w:b/>
        </w:rPr>
      </w:pPr>
      <w:r>
        <w:rPr>
          <w:b/>
        </w:rPr>
        <w:t>AŠTUNTASIS</w:t>
      </w:r>
      <w:r>
        <w:rPr>
          <w:b/>
        </w:rPr>
        <w:t xml:space="preserve"> SKIRSNIS</w:t>
      </w:r>
    </w:p>
    <w:p>
      <w:pPr>
        <w:widowControl w:val="0"/>
        <w:jc w:val="center"/>
        <w:rPr>
          <w:b/>
        </w:rPr>
      </w:pPr>
      <w:r>
        <w:rPr>
          <w:b/>
        </w:rPr>
        <w:t xml:space="preserve">MATAVIMAI SINCHRONIZUOJANT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179</w:t>
      </w:r>
      <w:r>
        <w:t>. Tiksliai sinchronizuojant (rankiniu ar pusiau automatiniu būdu) matavimams turi būti naudojami du voltmetrai, du dažnimačiai, sinchronoskopas.</w:t>
      </w:r>
    </w:p>
    <w:p>
      <w:pPr>
        <w:widowControl w:val="0"/>
        <w:tabs>
          <w:tab w:val="left" w:pos="0"/>
          <w:tab w:val="left" w:pos="11482"/>
        </w:tabs>
        <w:jc w:val="center"/>
      </w:pPr>
    </w:p>
    <w:p>
      <w:pPr>
        <w:widowControl w:val="0"/>
        <w:jc w:val="center"/>
        <w:rPr>
          <w:b/>
        </w:rPr>
      </w:pPr>
      <w:r>
        <w:rPr>
          <w:b/>
        </w:rPr>
        <w:t>DEVINTASIS</w:t>
      </w:r>
      <w:r>
        <w:rPr>
          <w:b/>
        </w:rPr>
        <w:t xml:space="preserve"> SKIRSNIS</w:t>
      </w:r>
    </w:p>
    <w:p>
      <w:pPr>
        <w:widowControl w:val="0"/>
        <w:jc w:val="center"/>
        <w:rPr>
          <w:b/>
        </w:rPr>
      </w:pPr>
      <w:r>
        <w:rPr>
          <w:b/>
        </w:rPr>
        <w:t xml:space="preserve">ELEKTROS DYDŽIŲ REGISTRAVIMAS VEIKIANT AVARINIU REŽIMU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180</w:t>
      </w:r>
      <w:r>
        <w:t>. Energetikos sistemos avariniams procesams registruoti turi būti naudojami automatiniai registratoriai ar kiti šiam tikslui skirti prietaisai. Registratoriais naudojami atskiri arba integruoti į relinės apsaugos įrangą prietaisai.</w:t>
      </w:r>
    </w:p>
    <w:p>
      <w:pPr>
        <w:widowControl w:val="0"/>
        <w:tabs>
          <w:tab w:val="left" w:pos="-180"/>
          <w:tab w:val="left" w:pos="0"/>
          <w:tab w:val="left" w:pos="1440"/>
        </w:tabs>
        <w:ind w:firstLine="567"/>
        <w:jc w:val="both"/>
      </w:pPr>
      <w:r>
        <w:t>181</w:t>
      </w:r>
      <w:r>
        <w:t>. Registratoriai įrengiami, taip pat registruojami elektros parametrai parenkami Taisyklių 3 priedo 2 ir 3 lentelėse nurodyta tvarka.</w:t>
      </w:r>
    </w:p>
    <w:p>
      <w:pPr>
        <w:widowControl w:val="0"/>
        <w:tabs>
          <w:tab w:val="left" w:pos="-180"/>
          <w:tab w:val="left" w:pos="0"/>
          <w:tab w:val="left" w:pos="1440"/>
        </w:tabs>
        <w:ind w:firstLine="567"/>
        <w:jc w:val="both"/>
      </w:pPr>
      <w:r>
        <w:t>182</w:t>
      </w:r>
      <w:r>
        <w:t>. Vartotojams priklausančiose elektrinėse, turinčiose ryšį su perdavimo ar skirstomaisiais tinklais, avarinių procesų registratoriai turi būti įrengti kiekvienam aukštesnės kaip 1000 V įtampos prijunginiui. Šie registratoriai turi registruoti atitinkamų šynų sistemų fazines įtampas ir elektrinės su sistema jungiančių elektros linijų ar transformatorių fazių sroves. Kiti registratoriai įrengiami vartotojo nuožiūra.</w:t>
      </w:r>
    </w:p>
    <w:p>
      <w:pPr>
        <w:widowControl w:val="0"/>
        <w:tabs>
          <w:tab w:val="left" w:pos="-180"/>
          <w:tab w:val="left" w:pos="0"/>
          <w:tab w:val="left" w:pos="1440"/>
        </w:tabs>
        <w:ind w:firstLine="567"/>
        <w:jc w:val="both"/>
      </w:pPr>
      <w:r>
        <w:t>183</w:t>
      </w:r>
      <w:r>
        <w:t>. Priešavarinės ir kitos automatikos priemonių veikimas turi būti registruojamas avarinių procesų registratoriais, įvykių registratoriais ar valdymo ir kontrolės sistemomis.</w:t>
      </w:r>
    </w:p>
    <w:p>
      <w:pPr>
        <w:widowControl w:val="0"/>
        <w:tabs>
          <w:tab w:val="left" w:pos="-180"/>
          <w:tab w:val="left" w:pos="0"/>
          <w:tab w:val="left" w:pos="1440"/>
        </w:tabs>
        <w:ind w:firstLine="567"/>
        <w:jc w:val="both"/>
      </w:pPr>
      <w:r>
        <w:t>184</w:t>
      </w:r>
      <w:r>
        <w:t>. 110 kV ir aukštesnės įtampos ilgesnėse negu 20 km oro linijose pažeidimo vietoms nustatyti turi būti įrengti specialūs pažeidimo lokatoriai. Ten, kur dažni OL atjungimai, lokatorius reikia įrengti ir 10 ir 35 kV linijose.</w:t>
      </w:r>
    </w:p>
    <w:p>
      <w:pPr>
        <w:widowControl w:val="0"/>
        <w:tabs>
          <w:tab w:val="left" w:pos="-180"/>
          <w:tab w:val="left" w:pos="0"/>
          <w:tab w:val="left" w:pos="1440"/>
        </w:tabs>
        <w:ind w:firstLine="720"/>
        <w:jc w:val="both"/>
      </w:pPr>
    </w:p>
    <w:p>
      <w:pPr>
        <w:widowControl w:val="0"/>
        <w:jc w:val="center"/>
        <w:rPr>
          <w:b/>
        </w:rPr>
      </w:pPr>
      <w:r>
        <w:rPr>
          <w:b/>
        </w:rPr>
        <w:t>VIII</w:t>
      </w:r>
      <w:r>
        <w:rPr>
          <w:b/>
        </w:rPr>
        <w:t xml:space="preserve"> SKYRIUS</w:t>
      </w:r>
    </w:p>
    <w:p>
      <w:pPr>
        <w:widowControl w:val="0"/>
        <w:jc w:val="center"/>
        <w:rPr>
          <w:b/>
        </w:rPr>
      </w:pPr>
      <w:r>
        <w:rPr>
          <w:b/>
        </w:rPr>
        <w:t xml:space="preserve">ELEKTROS ĮRENGINIŲ ĮŽEMINIMAS IR APSAUGA NUO VIRŠĮTAMPIŲ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jc w:val="center"/>
        <w:rPr>
          <w:b/>
        </w:rPr>
      </w:pPr>
      <w:r>
        <w:rPr>
          <w:b/>
        </w:rPr>
        <w:t>PIRMASIS</w:t>
      </w:r>
      <w:r>
        <w:rPr>
          <w:b/>
        </w:rPr>
        <w:t xml:space="preserve"> SKIRSNIS</w:t>
      </w:r>
    </w:p>
    <w:p>
      <w:pPr>
        <w:widowControl w:val="0"/>
        <w:jc w:val="center"/>
        <w:rPr>
          <w:b/>
        </w:rPr>
      </w:pPr>
      <w:r>
        <w:rPr>
          <w:b/>
        </w:rPr>
        <w:t xml:space="preserve">TAIKYMO SRITIS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185</w:t>
      </w:r>
      <w:r>
        <w:t xml:space="preserve">. Šio </w:t>
      </w:r>
      <w:r>
        <w:rPr>
          <w:color w:val="000000"/>
        </w:rPr>
        <w:t>skyriaus r</w:t>
      </w:r>
      <w:r>
        <w:t>eikalavimai taikomi visų įtampų gamybos, perdavimo, skirstymo ir vartotojų kintamosios ir nuolatinės srovės elektros įrenginiams. Taisyklėse pateikti bendrieji elektros įrenginių įžeminimo, žmonių apsaugos nuo elektros srovės ir įrenginių apsaugos nuo viršįtampių reikalavimai.</w:t>
      </w:r>
    </w:p>
    <w:p>
      <w:pPr>
        <w:widowControl w:val="0"/>
        <w:tabs>
          <w:tab w:val="left" w:pos="-180"/>
          <w:tab w:val="left" w:pos="0"/>
          <w:tab w:val="left" w:pos="1440"/>
        </w:tabs>
        <w:ind w:firstLine="567"/>
        <w:jc w:val="both"/>
      </w:pPr>
      <w:r>
        <w:t xml:space="preserve">Kranams, liftams, karjerų elektros įrenginiams, įrenginiams degiose ir sprogiose zonose ir kitiems specialiems įrenginiams turi būti nustatytos papildomos sąlygos. </w:t>
      </w:r>
    </w:p>
    <w:p>
      <w:pPr>
        <w:widowControl w:val="0"/>
        <w:tabs>
          <w:tab w:val="left" w:pos="-180"/>
          <w:tab w:val="left" w:pos="0"/>
          <w:tab w:val="left" w:pos="1440"/>
        </w:tabs>
        <w:ind w:firstLine="567"/>
        <w:jc w:val="both"/>
      </w:pPr>
      <w:r>
        <w:t>Papildomi reikalavimai pateikti Galios elektros įrenginių įrengimo taisyklėse, Apšvietimo elektros įrenginių įrengimo taisyklėse ir Specialiųjų patalpų ir technologinių procesų elektros įrenginių įrengimo taisyklėse.</w:t>
      </w:r>
    </w:p>
    <w:p>
      <w:pPr>
        <w:widowControl w:val="0"/>
        <w:tabs>
          <w:tab w:val="left" w:pos="-180"/>
          <w:tab w:val="left" w:pos="0"/>
          <w:tab w:val="left" w:pos="1440"/>
        </w:tabs>
        <w:ind w:firstLine="720"/>
        <w:jc w:val="both"/>
      </w:pPr>
    </w:p>
    <w:p>
      <w:pPr>
        <w:widowControl w:val="0"/>
        <w:jc w:val="center"/>
        <w:rPr>
          <w:b/>
        </w:rPr>
      </w:pPr>
      <w:r>
        <w:rPr>
          <w:b/>
        </w:rPr>
        <w:t>ANTRASIS</w:t>
      </w:r>
      <w:r>
        <w:rPr>
          <w:b/>
        </w:rPr>
        <w:t xml:space="preserve"> SKIRSNIS</w:t>
      </w:r>
    </w:p>
    <w:p>
      <w:pPr>
        <w:widowControl w:val="0"/>
        <w:jc w:val="center"/>
        <w:rPr>
          <w:b/>
        </w:rPr>
      </w:pPr>
      <w:r>
        <w:rPr>
          <w:b/>
        </w:rPr>
        <w:t xml:space="preserve">BENDRIEJI REIKALAVIMAI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186</w:t>
      </w:r>
      <w:r>
        <w:t>. Elektros įrenginiai pagal įtampą ir srovės rūšį skirstomi į šiuos įrenginius:</w:t>
      </w:r>
    </w:p>
    <w:p>
      <w:pPr>
        <w:widowControl w:val="0"/>
        <w:tabs>
          <w:tab w:val="left" w:pos="-180"/>
          <w:tab w:val="left" w:pos="0"/>
          <w:tab w:val="left" w:pos="567"/>
          <w:tab w:val="left" w:pos="1440"/>
        </w:tabs>
        <w:ind w:firstLine="567"/>
        <w:jc w:val="both"/>
      </w:pPr>
      <w:r>
        <w:t>186.1</w:t>
      </w:r>
      <w:r>
        <w:t>. iki 50 V įtampos kintamosios srovės ir iki 75 V įtampos nuolatinės srovės;</w:t>
      </w:r>
    </w:p>
    <w:p>
      <w:pPr>
        <w:widowControl w:val="0"/>
        <w:tabs>
          <w:tab w:val="left" w:pos="-180"/>
          <w:tab w:val="left" w:pos="0"/>
          <w:tab w:val="left" w:pos="567"/>
          <w:tab w:val="left" w:pos="1440"/>
        </w:tabs>
        <w:ind w:firstLine="567"/>
        <w:jc w:val="both"/>
      </w:pPr>
      <w:r>
        <w:t>186.2</w:t>
      </w:r>
      <w:r>
        <w:t>. aukštesnės kaip 50 V įtampos ir iki 1000 V įtampos kintamosios srovės ir aukštesnės kaip 75 V įtampos ir iki 1500 V įtampos nuolatinės srovės;</w:t>
      </w:r>
    </w:p>
    <w:p>
      <w:pPr>
        <w:widowControl w:val="0"/>
        <w:tabs>
          <w:tab w:val="left" w:pos="-180"/>
          <w:tab w:val="left" w:pos="0"/>
          <w:tab w:val="left" w:pos="567"/>
          <w:tab w:val="left" w:pos="1440"/>
        </w:tabs>
        <w:ind w:firstLine="567"/>
        <w:jc w:val="both"/>
      </w:pPr>
      <w:r>
        <w:t>186.3</w:t>
      </w:r>
      <w:r>
        <w:t>. aukštesnės kaip 1000 V įtampos kintamosios srovės ir aukštesnės kaip 1500 V įtampos nuolatinės srovės.</w:t>
      </w:r>
    </w:p>
    <w:p>
      <w:pPr>
        <w:widowControl w:val="0"/>
        <w:tabs>
          <w:tab w:val="left" w:pos="-180"/>
          <w:tab w:val="left" w:pos="0"/>
          <w:tab w:val="left" w:pos="567"/>
          <w:tab w:val="left" w:pos="1440"/>
        </w:tabs>
        <w:ind w:firstLine="567"/>
        <w:jc w:val="both"/>
      </w:pPr>
      <w:r>
        <w:t>Tolesniame Taisyklių tekste ši klasifikacija nurodoma tiktai pagal kintamąją srovę.</w:t>
      </w:r>
    </w:p>
    <w:p>
      <w:pPr>
        <w:widowControl w:val="0"/>
        <w:tabs>
          <w:tab w:val="left" w:pos="-180"/>
          <w:tab w:val="left" w:pos="0"/>
          <w:tab w:val="left" w:pos="567"/>
          <w:tab w:val="left" w:pos="1440"/>
        </w:tabs>
        <w:ind w:firstLine="567"/>
        <w:jc w:val="both"/>
      </w:pPr>
      <w:r>
        <w:t>187</w:t>
      </w:r>
      <w:r>
        <w:t>. Kintamosios srovės elektros tinklai pagal neutralės įžeminimą skirstomi į šiuos tinklus:</w:t>
      </w:r>
    </w:p>
    <w:p>
      <w:pPr>
        <w:widowControl w:val="0"/>
        <w:tabs>
          <w:tab w:val="left" w:pos="-180"/>
          <w:tab w:val="left" w:pos="0"/>
          <w:tab w:val="left" w:pos="567"/>
          <w:tab w:val="left" w:pos="1440"/>
        </w:tabs>
        <w:ind w:firstLine="567"/>
        <w:jc w:val="both"/>
      </w:pPr>
      <w:r>
        <w:t>187.1</w:t>
      </w:r>
      <w:r>
        <w:t>. tiesiogiai įžemintos neutralės;</w:t>
      </w:r>
    </w:p>
    <w:p>
      <w:pPr>
        <w:widowControl w:val="0"/>
        <w:tabs>
          <w:tab w:val="left" w:pos="-180"/>
          <w:tab w:val="left" w:pos="0"/>
          <w:tab w:val="left" w:pos="567"/>
          <w:tab w:val="left" w:pos="1440"/>
        </w:tabs>
        <w:ind w:firstLine="567"/>
        <w:jc w:val="both"/>
      </w:pPr>
      <w:r>
        <w:t>187.2</w:t>
      </w:r>
      <w:r>
        <w:t>. varža įžemintos neutralės;</w:t>
      </w:r>
    </w:p>
    <w:p>
      <w:pPr>
        <w:widowControl w:val="0"/>
        <w:tabs>
          <w:tab w:val="left" w:pos="-180"/>
          <w:tab w:val="left" w:pos="0"/>
          <w:tab w:val="left" w:pos="567"/>
          <w:tab w:val="left" w:pos="1440"/>
        </w:tabs>
        <w:ind w:firstLine="567"/>
        <w:jc w:val="both"/>
      </w:pPr>
      <w:r>
        <w:t>187.3</w:t>
      </w:r>
      <w:r>
        <w:t>. kompensuotosios neutralės;</w:t>
      </w:r>
    </w:p>
    <w:p>
      <w:pPr>
        <w:widowControl w:val="0"/>
        <w:tabs>
          <w:tab w:val="left" w:pos="-180"/>
          <w:tab w:val="left" w:pos="0"/>
          <w:tab w:val="left" w:pos="567"/>
          <w:tab w:val="left" w:pos="1440"/>
        </w:tabs>
        <w:ind w:firstLine="567"/>
        <w:jc w:val="both"/>
      </w:pPr>
      <w:r>
        <w:t>187.4</w:t>
      </w:r>
      <w:r>
        <w:t>. izoliuotosios neutralės.</w:t>
      </w:r>
    </w:p>
    <w:p>
      <w:pPr>
        <w:widowControl w:val="0"/>
        <w:tabs>
          <w:tab w:val="left" w:pos="-180"/>
          <w:tab w:val="left" w:pos="0"/>
          <w:tab w:val="left" w:pos="567"/>
          <w:tab w:val="left" w:pos="1440"/>
        </w:tabs>
        <w:ind w:firstLine="567"/>
        <w:jc w:val="both"/>
      </w:pPr>
      <w:r>
        <w:t>188</w:t>
      </w:r>
      <w:r>
        <w:t>. Nuolatinės srovės tinklai skirstomi į tinklus su:</w:t>
      </w:r>
    </w:p>
    <w:p>
      <w:pPr>
        <w:widowControl w:val="0"/>
        <w:tabs>
          <w:tab w:val="left" w:pos="-180"/>
          <w:tab w:val="left" w:pos="0"/>
          <w:tab w:val="left" w:pos="567"/>
          <w:tab w:val="left" w:pos="1440"/>
        </w:tabs>
        <w:ind w:firstLine="567"/>
        <w:jc w:val="both"/>
      </w:pPr>
      <w:r>
        <w:t>188.1</w:t>
      </w:r>
      <w:r>
        <w:t>. izoliuotais šaltinio poliais;</w:t>
      </w:r>
    </w:p>
    <w:p>
      <w:pPr>
        <w:widowControl w:val="0"/>
        <w:tabs>
          <w:tab w:val="left" w:pos="-180"/>
          <w:tab w:val="left" w:pos="0"/>
          <w:tab w:val="left" w:pos="567"/>
          <w:tab w:val="left" w:pos="1440"/>
        </w:tabs>
        <w:ind w:firstLine="567"/>
        <w:jc w:val="both"/>
      </w:pPr>
      <w:r>
        <w:t>188.2</w:t>
      </w:r>
      <w:r>
        <w:t>. įžemintu viduriniu šaltinio poliumi arba dvilaidėje sistemoje – su vienu įžemintu šaltinio poliumi.</w:t>
      </w:r>
    </w:p>
    <w:p>
      <w:pPr>
        <w:widowControl w:val="0"/>
        <w:tabs>
          <w:tab w:val="left" w:pos="-180"/>
          <w:tab w:val="left" w:pos="0"/>
          <w:tab w:val="left" w:pos="567"/>
          <w:tab w:val="left" w:pos="1440"/>
        </w:tabs>
        <w:ind w:firstLine="567"/>
        <w:jc w:val="both"/>
      </w:pPr>
      <w:r>
        <w:t>189</w:t>
      </w:r>
      <w:r>
        <w:t>. Žmonėms apsaugoti nuo elektros srovės, kai pažeidžiama izoliacija, būtina naudoti bent vieną iš šių priemonių: įžeminimą, įnulinimą arba apsauginį išjungimą, skiriamąjį transformatorių, pažemintą iki 50 V 50 Hz dažnio kintamosios srovės ir iki 75 V nuolatinės srovės įtampą, dvigubąją izoliaciją, potencialo išlyginimą, potencialų suvienodinimą, izoliuotas aikšteles.</w:t>
      </w:r>
    </w:p>
    <w:p>
      <w:pPr>
        <w:widowControl w:val="0"/>
        <w:tabs>
          <w:tab w:val="left" w:pos="-180"/>
          <w:tab w:val="left" w:pos="0"/>
          <w:tab w:val="left" w:pos="567"/>
          <w:tab w:val="left" w:pos="1440"/>
        </w:tabs>
        <w:ind w:firstLine="567"/>
        <w:jc w:val="both"/>
      </w:pPr>
      <w:r>
        <w:t>190</w:t>
      </w:r>
      <w:r>
        <w:t>. Įžeminti arba įnulinti būtina:</w:t>
      </w:r>
    </w:p>
    <w:p>
      <w:pPr>
        <w:widowControl w:val="0"/>
        <w:tabs>
          <w:tab w:val="left" w:pos="-180"/>
          <w:tab w:val="left" w:pos="0"/>
          <w:tab w:val="left" w:pos="567"/>
          <w:tab w:val="left" w:pos="1440"/>
        </w:tabs>
        <w:ind w:firstLine="567"/>
        <w:jc w:val="both"/>
      </w:pPr>
      <w:r>
        <w:t>190.1</w:t>
      </w:r>
      <w:r>
        <w:t xml:space="preserve">. visus </w:t>
      </w:r>
      <w:r>
        <w:rPr>
          <w:color w:val="000000"/>
        </w:rPr>
        <w:t xml:space="preserve">400 </w:t>
      </w:r>
      <w:r>
        <w:t>V ir aukštesnės įtampos kintamosios srovės ir 440 V ir aukštesnės įtampos nuolatinės srovės įrenginius;</w:t>
      </w:r>
    </w:p>
    <w:p>
      <w:pPr>
        <w:widowControl w:val="0"/>
        <w:tabs>
          <w:tab w:val="left" w:pos="-180"/>
          <w:tab w:val="left" w:pos="0"/>
          <w:tab w:val="left" w:pos="567"/>
          <w:tab w:val="left" w:pos="1440"/>
        </w:tabs>
        <w:ind w:firstLine="567"/>
        <w:jc w:val="both"/>
      </w:pPr>
      <w:r>
        <w:t>190.2</w:t>
      </w:r>
      <w:r>
        <w:t>. aukštesnės kaip 50 V įtampos kintamosios srovės ir aukštesnės kaip 75 V įtampos nuolatinės srovės įrenginius pavojingose ir labai pavojingose patalpose, taip pat lauke esančius įrenginius.</w:t>
      </w:r>
    </w:p>
    <w:p>
      <w:pPr>
        <w:widowControl w:val="0"/>
        <w:tabs>
          <w:tab w:val="left" w:pos="-180"/>
          <w:tab w:val="left" w:pos="0"/>
          <w:tab w:val="left" w:pos="567"/>
          <w:tab w:val="left" w:pos="1440"/>
        </w:tabs>
        <w:ind w:firstLine="567"/>
        <w:jc w:val="both"/>
      </w:pPr>
      <w:r>
        <w:t>Iki 50 V įtampos kintamosios srovės ir iki 75 V įtampos nuolatinės srovės įrenginių įžeminti arba įnulinti nereikia, išskyrus elektros įrenginius, esančius sprogimui pavojingose zonose, suvirinimo įrenginius ir elektros įrenginius, nurodytus Taisyklių 203.6 punkte.</w:t>
      </w:r>
    </w:p>
    <w:p>
      <w:pPr>
        <w:widowControl w:val="0"/>
        <w:tabs>
          <w:tab w:val="left" w:pos="-180"/>
          <w:tab w:val="left" w:pos="0"/>
          <w:tab w:val="left" w:pos="567"/>
          <w:tab w:val="left" w:pos="1440"/>
        </w:tabs>
        <w:ind w:firstLine="567"/>
        <w:jc w:val="both"/>
      </w:pPr>
      <w:r>
        <w:t>191</w:t>
      </w:r>
      <w:r>
        <w:t>. Trifaziuose iki 1000 V įtampos tiesiogiai įžemintos neutralės tinkluose ir vienfaziuose su įžemintu vienu srovės šaltinio tašku tinkluose turi būti įnulinti oro linijų atramose įrengti elektros įrenginiai.</w:t>
      </w:r>
    </w:p>
    <w:p>
      <w:pPr>
        <w:widowControl w:val="0"/>
        <w:tabs>
          <w:tab w:val="left" w:pos="-180"/>
          <w:tab w:val="left" w:pos="0"/>
          <w:tab w:val="left" w:pos="567"/>
          <w:tab w:val="left" w:pos="1440"/>
        </w:tabs>
        <w:ind w:firstLine="567"/>
        <w:jc w:val="both"/>
      </w:pPr>
      <w:r>
        <w:t>192</w:t>
      </w:r>
      <w:r>
        <w:t>. Elektros įrenginiams įžeminti pirmiausia turi būti panaudoti natūralieji įžemintuvai. Jeigu juos naudojant įžeminimo įrenginio varža arba prisilietimo įtampa yra leistina ir leistinoji įžeminimo įrenginio įtampa neviršija normuotos įtampos, dirbtinio įžemintuvo įrengti nebūtina.</w:t>
      </w:r>
    </w:p>
    <w:p>
      <w:pPr>
        <w:widowControl w:val="0"/>
        <w:ind w:firstLine="567"/>
        <w:jc w:val="both"/>
      </w:pPr>
      <w:r>
        <w:t>193</w:t>
      </w:r>
      <w:r>
        <w:t>. Greta esantiems įvairių įtampų ir skirtingos paskirties įrenginiams įžeminti, išskyrus specialiosios paskirties įrenginius, reikia naudoti bendrą įžeminimo įrenginį. Šis bendras įžeminimo įrenginys turi atitikti visus apsauginiam, darbiniam ir apsaugos nuo viršįtampių įžemintuvams keliamus reikalavimus ir įvairių įtampų ir skirtingos paskirties įrenginiams įžeminti keliamus reikalavimus.</w:t>
      </w:r>
    </w:p>
    <w:p>
      <w:pPr>
        <w:widowControl w:val="0"/>
        <w:tabs>
          <w:tab w:val="left" w:pos="-180"/>
          <w:tab w:val="left" w:pos="0"/>
          <w:tab w:val="left" w:pos="1440"/>
        </w:tabs>
        <w:ind w:firstLine="567"/>
        <w:jc w:val="both"/>
      </w:pPr>
      <w:r>
        <w:t>194</w:t>
      </w:r>
      <w:r>
        <w:t>. Šiame skyriuje pateiktos įžeminimo įrenginių varžos ir prisilietimo įtampos turi būti užtikrinamos, kai sąlygos yra nepalankiausios ir didžiausia savitoji grunto varža.</w:t>
      </w:r>
    </w:p>
    <w:p>
      <w:pPr>
        <w:widowControl w:val="0"/>
        <w:tabs>
          <w:tab w:val="left" w:pos="-180"/>
          <w:tab w:val="left" w:pos="0"/>
          <w:tab w:val="left" w:pos="1440"/>
        </w:tabs>
        <w:ind w:firstLine="567"/>
        <w:jc w:val="both"/>
      </w:pPr>
      <w:r>
        <w:t>195</w:t>
      </w:r>
      <w:r>
        <w:t>. Iki 1000 V įtampos elektros tinkluose naudojamos šios elektros tinklų sistemos:</w:t>
      </w:r>
    </w:p>
    <w:p>
      <w:pPr>
        <w:widowControl w:val="0"/>
        <w:tabs>
          <w:tab w:val="left" w:pos="-180"/>
          <w:tab w:val="left" w:pos="0"/>
          <w:tab w:val="left" w:pos="1440"/>
        </w:tabs>
        <w:ind w:firstLine="567"/>
        <w:jc w:val="both"/>
        <w:rPr>
          <w:b/>
        </w:rPr>
      </w:pPr>
      <w:r>
        <w:t>195.1</w:t>
      </w:r>
      <w:r>
        <w:t>. TN sistema – elektros tinklo sistema, kurioje vienas šaltinio taškas (neutralė trifaziame tinkle) yra tiesiogiai įžemintas, o pasyviosios įrenginių dalys, prie kurių yra galimybė prisiliesti, su neutrale sujungtos apsauginiais laidininkais PE ir (arba) pakartotinai įžemintais apsauginiais nuliniais laidininkais PEN. Ši sistema skirstoma į TN-S tinklo posistemę (Taisyklių 4 priedo 1a paveikslas) – kai yra atskiras nulinis laidininkas N ir atskiras apsauginis laidininkas PE; TN-C tinklo posistemę (Taisyklių 1 priedo 1b paveikslas) – kai nulinio laidininko ir apsauginio laidininko funkcijas atlieka vienas laidas PEN, ir TN-C-S tinklo posistemę (Taisyklių 1 priedo 1c paveikslas) – kai vienoje elektros tinklo sistemos dalyje nulinio laidininko ir apsauginio laidininko funkcijas atlieka vienas laidininkas PEN, o kitoje elektros tinklo sistemos dalyje bendras laidininkas PEN išsišakoja į nulinį laidininką N ir apsauginį laidininką PE. Turi būti užtikrintas apsauginio nulinio (PEN) ir apsauginio (N) laidininko vientisumas, išskyrus Taisyklių 234 punkte nurodytą atvejį;</w:t>
      </w:r>
    </w:p>
    <w:p>
      <w:pPr>
        <w:widowControl w:val="0"/>
        <w:tabs>
          <w:tab w:val="left" w:pos="-180"/>
          <w:tab w:val="left" w:pos="0"/>
          <w:tab w:val="left" w:pos="1440"/>
        </w:tabs>
        <w:ind w:firstLine="567"/>
        <w:jc w:val="both"/>
      </w:pPr>
      <w:r>
        <w:t>195.2</w:t>
      </w:r>
      <w:r>
        <w:t>. TT sistema – elektros tinklo sistema (Taisyklių 4 priedo 2 paveikslas), kurioje vienas šaltinio taškas (šaltinio neutralė) yra tiesiogiai įžemintas, o elektros įrenginių pasyviosios dalys sujungtos su vietiniu įžeminimo įrenginiu;</w:t>
      </w:r>
    </w:p>
    <w:p>
      <w:pPr>
        <w:widowControl w:val="0"/>
        <w:tabs>
          <w:tab w:val="left" w:pos="-180"/>
          <w:tab w:val="left" w:pos="0"/>
          <w:tab w:val="left" w:pos="1440"/>
        </w:tabs>
        <w:ind w:firstLine="567"/>
        <w:jc w:val="both"/>
      </w:pPr>
      <w:r>
        <w:t>195.3</w:t>
      </w:r>
      <w:r>
        <w:t>. IT sistema – elektros tinklo sistema (Taisyklių 4 priedo 3 paveikslas), kurios maitinimo tinklas ir elektros įrenginių aktyviosios dalys neturi tiesioginio ryšio su žeme, o elektros įrenginių pasyviosios dalys yra sujungtos su vietiniu įžeminimo įrenginiu.</w:t>
      </w:r>
    </w:p>
    <w:p>
      <w:pPr>
        <w:widowControl w:val="0"/>
        <w:tabs>
          <w:tab w:val="left" w:pos="-180"/>
          <w:tab w:val="left" w:pos="0"/>
          <w:tab w:val="left" w:pos="567"/>
          <w:tab w:val="left" w:pos="1440"/>
        </w:tabs>
        <w:ind w:firstLine="567"/>
        <w:jc w:val="both"/>
      </w:pPr>
      <w:r>
        <w:t xml:space="preserve">Galvaniniu būdu sujungtuose skirstomuosiuose iki 1000 V įtampos elektros tinkluose kartu su prijungtomis instaliacijomis naudojamos viena iš šių sistemų: TN, TT ar IT. </w:t>
      </w:r>
    </w:p>
    <w:p>
      <w:pPr>
        <w:widowControl w:val="0"/>
        <w:tabs>
          <w:tab w:val="left" w:pos="-180"/>
          <w:tab w:val="left" w:pos="0"/>
          <w:tab w:val="left" w:pos="567"/>
          <w:tab w:val="left" w:pos="1440"/>
        </w:tabs>
        <w:ind w:firstLine="567"/>
        <w:jc w:val="both"/>
      </w:pPr>
      <w:r>
        <w:t>196</w:t>
      </w:r>
      <w:r>
        <w:t>. TN-S tinklo posistemėje apsauginis nulinis laidininkas PEN išskirstomas į nulinį N ir apsauginį PE laidininkus. Toliau nuo šio taško sujungti juos vieną su kitu arba nulinį laidininką N įžeminti draudžiama.</w:t>
      </w:r>
    </w:p>
    <w:p>
      <w:pPr>
        <w:widowControl w:val="0"/>
        <w:tabs>
          <w:tab w:val="left" w:pos="-180"/>
          <w:tab w:val="left" w:pos="0"/>
          <w:tab w:val="left" w:pos="567"/>
          <w:tab w:val="left" w:pos="1440"/>
        </w:tabs>
        <w:ind w:firstLine="567"/>
        <w:jc w:val="both"/>
      </w:pPr>
      <w:r>
        <w:t>Šalutinės laidžios elektrai konstrukcijos, įskaitant statinių metalines ir gelžbetonines konstrukcijas, neturi būti panaudotos kaip vieninteliai PEN laidininkai. PEN laidininko grandinėje įrengiant jungiklius, jie vienu metu turi atjungti ir PEN laidininką, ir visus kitus turinčius įtampą laidininkus.</w:t>
      </w:r>
    </w:p>
    <w:p>
      <w:pPr>
        <w:widowControl w:val="0"/>
        <w:tabs>
          <w:tab w:val="left" w:pos="-180"/>
          <w:tab w:val="left" w:pos="0"/>
          <w:tab w:val="left" w:pos="567"/>
          <w:tab w:val="left" w:pos="1440"/>
        </w:tabs>
        <w:ind w:firstLine="567"/>
        <w:jc w:val="both"/>
      </w:pPr>
      <w:r>
        <w:t>TN sistemoje pažeistam tinklui automatiškai atjungti panaudojama elektros grandinių trumpojo jungimo srovių apsauga ir srovės skirtuminė apsauga. Pažeistą tinklą apsauga turi atjungti per tokį laiką, kad įtampa, atsirandanti pasyviųjų elektros įrenginių dalyse, būtų ne didesnė kaip leistinoji prisilietimo įtampa. Trumpojo jungimo srovių apsaugos atjungimo sąlyga yra:</w:t>
      </w:r>
    </w:p>
    <w:p>
      <w:pPr>
        <w:widowControl w:val="0"/>
        <w:tabs>
          <w:tab w:val="left" w:pos="-180"/>
          <w:tab w:val="left" w:pos="0"/>
          <w:tab w:val="left" w:pos="567"/>
          <w:tab w:val="left" w:pos="1440"/>
        </w:tabs>
        <w:ind w:firstLine="567"/>
        <w:jc w:val="both"/>
      </w:pPr>
    </w:p>
    <w:p>
      <w:pPr>
        <w:widowControl w:val="0"/>
        <w:tabs>
          <w:tab w:val="right" w:pos="9071"/>
        </w:tabs>
        <w:ind w:firstLine="709"/>
        <w:jc w:val="center"/>
      </w:pPr>
      <w:r>
        <w:t>Z</w:t>
      </w:r>
      <w:r>
        <w:rPr>
          <w:vertAlign w:val="subscript"/>
        </w:rPr>
        <w:t>S</w:t>
      </w:r>
      <w:r>
        <w:t xml:space="preserve"> * I</w:t>
      </w:r>
      <w:r>
        <w:rPr>
          <w:vertAlign w:val="subscript"/>
        </w:rPr>
        <w:t>A</w:t>
      </w:r>
      <w:r>
        <w:t xml:space="preserve"> </w:t>
      </w:r>
      <w:r>
        <w:rPr>
          <w:position w:val="-4"/>
        </w:rPr>
        <w:object w:dxaOrig="195" w:dyaOrig="240">
          <v:shape id="_x0000_i1028" type="#_x0000_t75" style="width:9.6pt;height:12pt" o:ole="">
            <v:imagedata r:id="rId25" o:title=""/>
          </v:shape>
          <o:OLEObject Type="Embed" ProgID="Equation.3" ShapeID="_x0000_i1028" DrawAspect="Content" ObjectID="_0000000001" r:id="rId26"/>
        </w:object>
      </w:r>
      <w:r>
        <w:t xml:space="preserve"> U</w:t>
      </w:r>
      <w:r>
        <w:rPr>
          <w:vertAlign w:val="subscript"/>
        </w:rPr>
        <w:t>0</w:t>
      </w:r>
      <w:r>
        <w:t xml:space="preserve"> ;</w:t>
        <w:tab/>
        <w:t>(4)</w:t>
      </w:r>
    </w:p>
    <w:p>
      <w:pPr>
        <w:widowControl w:val="0"/>
        <w:tabs>
          <w:tab w:val="left" w:pos="-180"/>
          <w:tab w:val="left" w:pos="0"/>
          <w:tab w:val="left" w:pos="1440"/>
        </w:tabs>
        <w:ind w:firstLine="567"/>
        <w:jc w:val="both"/>
      </w:pPr>
    </w:p>
    <w:p>
      <w:pPr>
        <w:widowControl w:val="0"/>
        <w:tabs>
          <w:tab w:val="left" w:pos="1134"/>
          <w:tab w:val="left" w:pos="1560"/>
          <w:tab w:val="left" w:pos="1843"/>
        </w:tabs>
        <w:ind w:firstLine="567"/>
        <w:jc w:val="both"/>
      </w:pPr>
      <w:r>
        <w:t>čia: Z</w:t>
      </w:r>
      <w:r>
        <w:rPr>
          <w:vertAlign w:val="subscript"/>
        </w:rPr>
        <w:t xml:space="preserve">S </w:t>
      </w:r>
      <w:r>
        <w:t>– grandinės „fazė nulis“ varža;</w:t>
      </w:r>
    </w:p>
    <w:p>
      <w:pPr>
        <w:widowControl w:val="0"/>
        <w:tabs>
          <w:tab w:val="left" w:pos="1134"/>
          <w:tab w:val="left" w:pos="1560"/>
          <w:tab w:val="left" w:pos="1843"/>
        </w:tabs>
        <w:ind w:firstLine="567"/>
        <w:jc w:val="both"/>
      </w:pPr>
      <w:r>
        <w:t>I</w:t>
      </w:r>
      <w:r>
        <w:rPr>
          <w:vertAlign w:val="subscript"/>
        </w:rPr>
        <w:t>A</w:t>
      </w:r>
      <w:r>
        <w:t xml:space="preserve"> – apsaugos aparato suveikimo srovė;</w:t>
      </w:r>
    </w:p>
    <w:p>
      <w:pPr>
        <w:widowControl w:val="0"/>
        <w:tabs>
          <w:tab w:val="left" w:pos="1134"/>
          <w:tab w:val="left" w:pos="1560"/>
          <w:tab w:val="left" w:pos="1843"/>
        </w:tabs>
        <w:ind w:firstLine="567"/>
        <w:jc w:val="both"/>
      </w:pPr>
      <w:r>
        <w:t>U</w:t>
      </w:r>
      <w:r>
        <w:rPr>
          <w:vertAlign w:val="subscript"/>
        </w:rPr>
        <w:t>0</w:t>
      </w:r>
      <w:r>
        <w:t xml:space="preserve"> – tinklo vardinė fazinė įtampa.</w:t>
      </w:r>
    </w:p>
    <w:p>
      <w:pPr>
        <w:widowControl w:val="0"/>
        <w:tabs>
          <w:tab w:val="left" w:pos="1134"/>
          <w:tab w:val="left" w:pos="1560"/>
          <w:tab w:val="left" w:pos="1843"/>
        </w:tabs>
        <w:ind w:firstLine="567"/>
        <w:jc w:val="both"/>
      </w:pPr>
      <w:r>
        <w:t xml:space="preserve">Kilnojamųjų imtuvų, prijungtų prie ne didesnės kaip 32 A srovės kištukų lizdų, ribinė atjungimo trukmė turi būti t </w:t>
      </w:r>
      <w:r>
        <w:rPr>
          <w:position w:val="-4"/>
        </w:rPr>
        <w:object w:dxaOrig="195" w:dyaOrig="240">
          <v:shape id="_x0000_i1029" type="#_x0000_t75" style="width:9.6pt;height:12pt" o:ole="">
            <v:imagedata r:id="rId27" o:title=""/>
          </v:shape>
          <o:OLEObject Type="Embed" ProgID="Equation.3" ShapeID="_x0000_i1029" DrawAspect="Content" ObjectID="_0000000001" r:id="rId28"/>
        </w:object>
      </w:r>
      <w:r>
        <w:t xml:space="preserve"> 0,2 sekundės. Stacionariųjų imtuvų ribinė atjungimo trukmė turi būti taip pat t </w:t>
      </w:r>
      <w:r>
        <w:rPr>
          <w:position w:val="-4"/>
        </w:rPr>
        <w:object w:dxaOrig="195" w:dyaOrig="240">
          <v:shape id="_x0000_i1030" type="#_x0000_t75" style="width:9.6pt;height:12pt" o:ole="">
            <v:imagedata r:id="rId29" o:title=""/>
          </v:shape>
          <o:OLEObject Type="Embed" ProgID="Equation.3" ShapeID="_x0000_i1030" DrawAspect="Content" ObjectID="_0000000001" r:id="rId30"/>
        </w:object>
      </w:r>
      <w:r>
        <w:t xml:space="preserve"> 0,2 sekundės, tačiau jeigu jų priežiūros zonoje esančių pasyviųjų dalių potencialas yra suvienodintas arba jie eksploatuojami išlyginto potencialo zonoje, tai jų ribinė atjungimo trukmė padidinama iki 5 sekundžių.</w:t>
      </w:r>
    </w:p>
    <w:p>
      <w:pPr>
        <w:widowControl w:val="0"/>
        <w:tabs>
          <w:tab w:val="left" w:pos="-180"/>
          <w:tab w:val="left" w:pos="0"/>
          <w:tab w:val="left" w:pos="1440"/>
        </w:tabs>
        <w:ind w:firstLine="567"/>
        <w:jc w:val="both"/>
      </w:pPr>
      <w:r>
        <w:t>Elektros linijos fazinių laidų sąlyčio su žeme atveju apsauginių arba apsauginių nulinių laidininkų ir kitų su jais sujungtų įrenginių pasyviųjų dalių įtampa neutralios žemės atžvilgiu turi neviršyti saugios įtampos. Tai užtikrinama patenkinus nelygybę:</w:t>
      </w:r>
    </w:p>
    <w:p>
      <w:pPr>
        <w:widowControl w:val="0"/>
        <w:tabs>
          <w:tab w:val="left" w:pos="-180"/>
          <w:tab w:val="left" w:pos="0"/>
          <w:tab w:val="left" w:pos="1440"/>
        </w:tabs>
        <w:ind w:firstLine="567"/>
        <w:jc w:val="both"/>
      </w:pPr>
    </w:p>
    <w:p>
      <w:pPr>
        <w:widowControl w:val="0"/>
        <w:tabs>
          <w:tab w:val="right" w:pos="9071"/>
        </w:tabs>
        <w:ind w:firstLine="720"/>
        <w:jc w:val="center"/>
      </w:pPr>
      <w:r>
        <w:rPr>
          <w:position w:val="-30"/>
        </w:rPr>
        <w:object w:dxaOrig="1545" w:dyaOrig="675">
          <v:shape id="_x0000_i1031" type="#_x0000_t75" style="width:78.4pt;height:33.6pt" o:ole="" fillcolor="window">
            <v:imagedata r:id="rId31" o:title=""/>
          </v:shape>
          <o:OLEObject Type="Embed" ProgID="Equation.3" ShapeID="_x0000_i1031" DrawAspect="Content" ObjectID="_0000000001" r:id="rId32"/>
        </w:object>
      </w:r>
      <w:r>
        <w:t>;</w:t>
        <w:tab/>
        <w:t>(5)</w:t>
      </w:r>
    </w:p>
    <w:p>
      <w:pPr>
        <w:widowControl w:val="0"/>
        <w:tabs>
          <w:tab w:val="left" w:pos="-180"/>
          <w:tab w:val="left" w:pos="0"/>
          <w:tab w:val="left" w:pos="1440"/>
        </w:tabs>
        <w:ind w:firstLine="567"/>
        <w:jc w:val="both"/>
      </w:pPr>
    </w:p>
    <w:p>
      <w:pPr>
        <w:widowControl w:val="0"/>
        <w:tabs>
          <w:tab w:val="left" w:pos="1134"/>
          <w:tab w:val="left" w:pos="1560"/>
          <w:tab w:val="left" w:pos="1843"/>
        </w:tabs>
        <w:ind w:firstLine="567"/>
        <w:jc w:val="both"/>
      </w:pPr>
      <w:r>
        <w:t>čia: R</w:t>
      </w:r>
      <w:r>
        <w:rPr>
          <w:vertAlign w:val="subscript"/>
        </w:rPr>
        <w:t>A</w:t>
      </w:r>
      <w:r>
        <w:t xml:space="preserve"> – visų lygiagrečiai sujungtų įžemintuvų atstojamoji varža; </w:t>
      </w:r>
    </w:p>
    <w:p>
      <w:pPr>
        <w:widowControl w:val="0"/>
        <w:tabs>
          <w:tab w:val="left" w:pos="1134"/>
          <w:tab w:val="left" w:pos="1560"/>
          <w:tab w:val="left" w:pos="1843"/>
        </w:tabs>
        <w:ind w:firstLine="567"/>
        <w:jc w:val="both"/>
      </w:pPr>
      <w:r>
        <w:t>R</w:t>
      </w:r>
      <w:r>
        <w:rPr>
          <w:vertAlign w:val="subscript"/>
        </w:rPr>
        <w:t>B</w:t>
      </w:r>
      <w:r>
        <w:t xml:space="preserve"> – mažiausia pašalinių laidžiųjų dalių, nesujungtų su apsauginiu laidininku ir fazinio laidininko su žeme grandinėje, varža;</w:t>
      </w:r>
    </w:p>
    <w:p>
      <w:pPr>
        <w:widowControl w:val="0"/>
        <w:tabs>
          <w:tab w:val="left" w:pos="1134"/>
          <w:tab w:val="left" w:pos="1560"/>
          <w:tab w:val="left" w:pos="1843"/>
        </w:tabs>
        <w:ind w:firstLine="567"/>
        <w:jc w:val="both"/>
      </w:pPr>
      <w:r>
        <w:t>U</w:t>
      </w:r>
      <w:r>
        <w:rPr>
          <w:vertAlign w:val="subscript"/>
        </w:rPr>
        <w:t>L</w:t>
      </w:r>
      <w:r>
        <w:t xml:space="preserve"> – saugi įtampa.</w:t>
      </w:r>
    </w:p>
    <w:p>
      <w:pPr>
        <w:widowControl w:val="0"/>
        <w:tabs>
          <w:tab w:val="left" w:pos="-180"/>
          <w:tab w:val="left" w:pos="0"/>
          <w:tab w:val="left" w:pos="1134"/>
          <w:tab w:val="left" w:pos="1440"/>
        </w:tabs>
        <w:ind w:firstLine="567"/>
        <w:jc w:val="both"/>
      </w:pPr>
      <w:r>
        <w:t>Naudojant skirtuminės srovės apsaugą atjungimo sąlyga yra:</w:t>
      </w:r>
    </w:p>
    <w:p>
      <w:pPr>
        <w:widowControl w:val="0"/>
        <w:tabs>
          <w:tab w:val="left" w:pos="-180"/>
          <w:tab w:val="left" w:pos="0"/>
          <w:tab w:val="left" w:pos="1440"/>
        </w:tabs>
        <w:ind w:firstLine="567"/>
        <w:jc w:val="both"/>
      </w:pPr>
    </w:p>
    <w:p>
      <w:pPr>
        <w:widowControl w:val="0"/>
        <w:tabs>
          <w:tab w:val="right" w:pos="9071"/>
        </w:tabs>
        <w:ind w:firstLine="720"/>
        <w:jc w:val="center"/>
      </w:pPr>
      <w:r>
        <w:t>Z</w:t>
      </w:r>
      <w:r>
        <w:rPr>
          <w:vertAlign w:val="subscript"/>
        </w:rPr>
        <w:t>S</w:t>
      </w:r>
      <w:r>
        <w:t xml:space="preserve"> * I</w:t>
      </w:r>
      <w:r>
        <w:rPr>
          <w:vertAlign w:val="subscript"/>
        </w:rPr>
        <w:t>N</w:t>
      </w:r>
      <w:r>
        <w:t xml:space="preserve"> </w:t>
      </w:r>
      <w:r>
        <w:rPr>
          <w:position w:val="-4"/>
        </w:rPr>
        <w:object w:dxaOrig="195" w:dyaOrig="240">
          <v:shape id="_x0000_i1032" type="#_x0000_t75" style="width:9.6pt;height:12pt" o:ole="">
            <v:imagedata r:id="rId33" o:title=""/>
          </v:shape>
          <o:OLEObject Type="Embed" ProgID="Equation.3" ShapeID="_x0000_i1032" DrawAspect="Content" ObjectID="_0000000001" r:id="rId34"/>
        </w:object>
      </w:r>
      <w:r>
        <w:t xml:space="preserve"> U</w:t>
      </w:r>
      <w:r>
        <w:rPr>
          <w:vertAlign w:val="subscript"/>
        </w:rPr>
        <w:t>L</w:t>
      </w:r>
      <w:r>
        <w:t>;</w:t>
      </w:r>
      <w:r>
        <w:rPr>
          <w:vertAlign w:val="subscript"/>
        </w:rPr>
        <w:tab/>
      </w:r>
      <w:r>
        <w:t>(6)</w:t>
      </w:r>
    </w:p>
    <w:p>
      <w:pPr>
        <w:widowControl w:val="0"/>
        <w:tabs>
          <w:tab w:val="left" w:pos="-180"/>
          <w:tab w:val="left" w:pos="0"/>
          <w:tab w:val="left" w:pos="1440"/>
        </w:tabs>
        <w:ind w:firstLine="567"/>
        <w:jc w:val="both"/>
      </w:pPr>
    </w:p>
    <w:p>
      <w:pPr>
        <w:widowControl w:val="0"/>
        <w:tabs>
          <w:tab w:val="left" w:pos="1134"/>
          <w:tab w:val="left" w:pos="1560"/>
          <w:tab w:val="left" w:pos="1843"/>
        </w:tabs>
        <w:ind w:firstLine="567"/>
        <w:jc w:val="both"/>
      </w:pPr>
      <w:r>
        <w:t>čia: Z</w:t>
      </w:r>
      <w:r>
        <w:rPr>
          <w:vertAlign w:val="subscript"/>
        </w:rPr>
        <w:t xml:space="preserve">S </w:t>
      </w:r>
      <w:r>
        <w:t>– grandinės „fazė nulis“ pilnutinė varža;</w:t>
      </w:r>
    </w:p>
    <w:p>
      <w:pPr>
        <w:widowControl w:val="0"/>
        <w:tabs>
          <w:tab w:val="left" w:pos="1134"/>
          <w:tab w:val="left" w:pos="1560"/>
          <w:tab w:val="left" w:pos="1843"/>
        </w:tabs>
        <w:ind w:firstLine="567"/>
        <w:jc w:val="both"/>
      </w:pPr>
      <w:r>
        <w:t>I</w:t>
      </w:r>
      <w:r>
        <w:rPr>
          <w:vertAlign w:val="subscript"/>
        </w:rPr>
        <w:t>N</w:t>
      </w:r>
      <w:r>
        <w:t xml:space="preserve"> – skirtuminės srovės apsaugos suveikimo srovė;</w:t>
      </w:r>
    </w:p>
    <w:p>
      <w:pPr>
        <w:widowControl w:val="0"/>
        <w:tabs>
          <w:tab w:val="left" w:pos="1134"/>
          <w:tab w:val="left" w:pos="1560"/>
          <w:tab w:val="left" w:pos="1843"/>
        </w:tabs>
        <w:ind w:firstLine="567"/>
        <w:jc w:val="both"/>
      </w:pPr>
      <w:r>
        <w:t>U</w:t>
      </w:r>
      <w:r>
        <w:rPr>
          <w:vertAlign w:val="subscript"/>
        </w:rPr>
        <w:t>L</w:t>
      </w:r>
      <w:r>
        <w:t xml:space="preserve"> – saugi įtampa.</w:t>
      </w:r>
    </w:p>
    <w:p>
      <w:pPr>
        <w:widowControl w:val="0"/>
        <w:tabs>
          <w:tab w:val="left" w:pos="-180"/>
          <w:tab w:val="left" w:pos="0"/>
          <w:tab w:val="left" w:pos="1440"/>
        </w:tabs>
        <w:ind w:firstLine="567"/>
        <w:jc w:val="both"/>
      </w:pPr>
      <w:r>
        <w:t>TN sistemoje vartotojų įvadinių spintų laidūs korpusai turi būti sujungti su pakartotinai įžemintu apsauginiu nuliniu laidu PEN ar apsauginiu laidu PE arba įžeminti atskiru įžeminimo įrenginiu ar neizoliuotu laidininku (šyna), nutiestu žemėje ir prijungtu prie linijos atramos įžemintuvo.</w:t>
      </w:r>
    </w:p>
    <w:p>
      <w:pPr>
        <w:widowControl w:val="0"/>
        <w:tabs>
          <w:tab w:val="left" w:pos="-180"/>
          <w:tab w:val="left" w:pos="0"/>
          <w:tab w:val="left" w:pos="1440"/>
        </w:tabs>
        <w:ind w:firstLine="567"/>
        <w:jc w:val="both"/>
      </w:pPr>
      <w:r>
        <w:t>Jei įvadinė spinta įžeminta atskiru įžemintuvu, tai apsauginis nulinis laidas PEN arba apsauginis laidas PE jungiamas prie spintos laidaus korpuso.</w:t>
      </w:r>
    </w:p>
    <w:p>
      <w:pPr>
        <w:widowControl w:val="0"/>
        <w:tabs>
          <w:tab w:val="left" w:pos="-180"/>
          <w:tab w:val="left" w:pos="0"/>
          <w:tab w:val="left" w:pos="1440"/>
        </w:tabs>
        <w:ind w:firstLine="567"/>
        <w:jc w:val="both"/>
      </w:pPr>
      <w:r>
        <w:t>Pavieniams įrenginiams skirtuminės srovės apsaugos suveikimo srovė turi būti ne didesnė kaip 30 mA.</w:t>
      </w:r>
    </w:p>
    <w:p>
      <w:pPr>
        <w:widowControl w:val="0"/>
        <w:tabs>
          <w:tab w:val="left" w:pos="-180"/>
          <w:tab w:val="left" w:pos="0"/>
          <w:tab w:val="left" w:pos="1440"/>
        </w:tabs>
        <w:ind w:firstLine="567"/>
        <w:jc w:val="both"/>
      </w:pPr>
      <w:r>
        <w:t>197</w:t>
      </w:r>
      <w:r>
        <w:t>. TT sistema naudojama tinkluose, maitinančiuose telekomunikacinius ir nuolatinės srovės įrenginius, įrenginius pavojingose ir labai pavojingose patalpose ir lauke, kai turi būti užtikrinta saugi prisilietimo įtampa. TT sistemoje pažeistam tinklui atjungti panaudojama trumpojo jungimo srovių apsauga arba srovės skirtuminė apsauga. Naudojant trumpojo jungimo srovių apsaugą atjungimo sąlyga yra:</w:t>
      </w:r>
    </w:p>
    <w:p>
      <w:pPr>
        <w:widowControl w:val="0"/>
        <w:tabs>
          <w:tab w:val="left" w:pos="-180"/>
          <w:tab w:val="left" w:pos="0"/>
          <w:tab w:val="left" w:pos="1440"/>
        </w:tabs>
        <w:ind w:firstLine="567"/>
        <w:jc w:val="both"/>
      </w:pPr>
    </w:p>
    <w:p>
      <w:pPr>
        <w:widowControl w:val="0"/>
        <w:tabs>
          <w:tab w:val="right" w:pos="9071"/>
        </w:tabs>
        <w:ind w:firstLine="720"/>
        <w:jc w:val="center"/>
      </w:pPr>
      <w:r>
        <w:rPr>
          <w:position w:val="-10"/>
        </w:rPr>
        <w:object w:dxaOrig="1215" w:dyaOrig="345">
          <v:shape id="_x0000_i1033" type="#_x0000_t75" style="width:60.8pt;height:17.6pt" o:ole="">
            <v:imagedata r:id="rId35" o:title=""/>
          </v:shape>
          <o:OLEObject Type="Embed" ProgID="Equation.3" ShapeID="_x0000_i1033" DrawAspect="Content" ObjectID="_0000000001" r:id="rId36"/>
        </w:object>
      </w:r>
      <w:r>
        <w:tab/>
        <w:t>(7)</w:t>
      </w:r>
    </w:p>
    <w:p>
      <w:pPr>
        <w:widowControl w:val="0"/>
        <w:tabs>
          <w:tab w:val="left" w:pos="-180"/>
          <w:tab w:val="left" w:pos="0"/>
          <w:tab w:val="left" w:pos="709"/>
          <w:tab w:val="left" w:pos="993"/>
          <w:tab w:val="left" w:pos="1276"/>
          <w:tab w:val="left" w:pos="1440"/>
        </w:tabs>
        <w:ind w:firstLine="720"/>
        <w:jc w:val="both"/>
      </w:pPr>
    </w:p>
    <w:p>
      <w:pPr>
        <w:widowControl w:val="0"/>
        <w:tabs>
          <w:tab w:val="left" w:pos="1134"/>
          <w:tab w:val="left" w:pos="1560"/>
          <w:tab w:val="left" w:pos="1843"/>
        </w:tabs>
        <w:ind w:firstLine="567"/>
        <w:jc w:val="both"/>
      </w:pPr>
      <w:r>
        <w:t>čia: R</w:t>
      </w:r>
      <w:r>
        <w:rPr>
          <w:vertAlign w:val="subscript"/>
        </w:rPr>
        <w:t>A</w:t>
      </w:r>
      <w:r>
        <w:t xml:space="preserve"> – vietinio įžeminimo įrenginio, prie kurio jungiamos visų įžeminamų įrenginių pasyviosios dalys, varža;</w:t>
      </w:r>
    </w:p>
    <w:p>
      <w:pPr>
        <w:widowControl w:val="0"/>
        <w:tabs>
          <w:tab w:val="left" w:pos="1134"/>
          <w:tab w:val="left" w:pos="1560"/>
          <w:tab w:val="left" w:pos="1843"/>
        </w:tabs>
        <w:ind w:firstLine="567"/>
        <w:jc w:val="both"/>
      </w:pPr>
      <w:r>
        <w:t>I</w:t>
      </w:r>
      <w:r>
        <w:rPr>
          <w:vertAlign w:val="subscript"/>
        </w:rPr>
        <w:t>A</w:t>
      </w:r>
      <w:r>
        <w:t xml:space="preserve"> – trumpojo jungimo srovės apsaugos aparato suveikimo srovė, kuriai esant grandinė automatiškai atjungiama per 5 sekundes arba greičiau; </w:t>
      </w:r>
    </w:p>
    <w:p>
      <w:pPr>
        <w:widowControl w:val="0"/>
        <w:tabs>
          <w:tab w:val="left" w:pos="1134"/>
          <w:tab w:val="left" w:pos="1560"/>
          <w:tab w:val="left" w:pos="1843"/>
        </w:tabs>
        <w:ind w:firstLine="567"/>
        <w:jc w:val="both"/>
      </w:pPr>
      <w:r>
        <w:t>U</w:t>
      </w:r>
      <w:r>
        <w:rPr>
          <w:vertAlign w:val="subscript"/>
        </w:rPr>
        <w:t xml:space="preserve">L </w:t>
      </w:r>
      <w:r>
        <w:t>– saugi įtampa.</w:t>
      </w:r>
    </w:p>
    <w:p>
      <w:pPr>
        <w:widowControl w:val="0"/>
        <w:tabs>
          <w:tab w:val="left" w:pos="-180"/>
          <w:tab w:val="left" w:pos="0"/>
          <w:tab w:val="left" w:pos="1440"/>
        </w:tabs>
        <w:ind w:firstLine="567"/>
        <w:jc w:val="both"/>
      </w:pPr>
      <w:r>
        <w:t>TT sistemoje trumpojo jungimo srovių apsauga naudotina tik esant vietiniams natūraliesiems mažos varžos įžemintuvams. Naudojant srovės skirtuminę apsaugą atjungimo sąlyga yra:</w:t>
      </w:r>
    </w:p>
    <w:p>
      <w:pPr>
        <w:widowControl w:val="0"/>
        <w:tabs>
          <w:tab w:val="left" w:pos="-180"/>
          <w:tab w:val="left" w:pos="0"/>
          <w:tab w:val="left" w:pos="1440"/>
        </w:tabs>
        <w:ind w:firstLine="567"/>
        <w:jc w:val="both"/>
      </w:pPr>
    </w:p>
    <w:p>
      <w:pPr>
        <w:widowControl w:val="0"/>
        <w:tabs>
          <w:tab w:val="right" w:pos="9071"/>
        </w:tabs>
        <w:jc w:val="center"/>
      </w:pPr>
      <w:r>
        <w:rPr>
          <w:position w:val="-12"/>
        </w:rPr>
        <w:object w:dxaOrig="1365" w:dyaOrig="360">
          <v:shape id="_x0000_i1034" type="#_x0000_t75" style="width:68pt;height:18.4pt" o:ole="" fillcolor="window">
            <v:imagedata r:id="rId37" o:title=""/>
          </v:shape>
          <o:OLEObject Type="Embed" ProgID="Equation.3" ShapeID="_x0000_i1034" DrawAspect="Content" ObjectID="_0000000001" r:id="rId38"/>
        </w:object>
      </w:r>
      <w:r>
        <w:tab/>
        <w:t>(8)</w:t>
      </w:r>
    </w:p>
    <w:p>
      <w:pPr>
        <w:widowControl w:val="0"/>
        <w:tabs>
          <w:tab w:val="left" w:pos="-180"/>
          <w:tab w:val="left" w:pos="0"/>
          <w:tab w:val="left" w:pos="1440"/>
        </w:tabs>
        <w:ind w:firstLine="567"/>
        <w:jc w:val="both"/>
      </w:pPr>
    </w:p>
    <w:p>
      <w:pPr>
        <w:widowControl w:val="0"/>
        <w:tabs>
          <w:tab w:val="left" w:pos="1134"/>
          <w:tab w:val="left" w:pos="1560"/>
          <w:tab w:val="left" w:pos="1843"/>
        </w:tabs>
        <w:ind w:firstLine="567"/>
        <w:jc w:val="both"/>
      </w:pPr>
      <w:r>
        <w:t>čia: R</w:t>
      </w:r>
      <w:r>
        <w:rPr>
          <w:vertAlign w:val="subscript"/>
        </w:rPr>
        <w:t>A</w:t>
      </w:r>
      <w:r>
        <w:t xml:space="preserve"> – vietinio įžeminimo įrenginio varža; </w:t>
      </w:r>
    </w:p>
    <w:p>
      <w:pPr>
        <w:widowControl w:val="0"/>
        <w:tabs>
          <w:tab w:val="left" w:pos="1134"/>
          <w:tab w:val="left" w:pos="1560"/>
          <w:tab w:val="left" w:pos="1843"/>
        </w:tabs>
        <w:ind w:firstLine="567"/>
        <w:jc w:val="both"/>
      </w:pPr>
      <w:r>
        <w:t>I</w:t>
      </w:r>
      <w:r>
        <w:rPr>
          <w:vertAlign w:val="subscript"/>
        </w:rPr>
        <w:t>N</w:t>
      </w:r>
      <w:r>
        <w:t xml:space="preserve"> – srovės skirtuminės apsaugos suveikimo srovė;</w:t>
      </w:r>
    </w:p>
    <w:p>
      <w:pPr>
        <w:widowControl w:val="0"/>
        <w:tabs>
          <w:tab w:val="left" w:pos="1134"/>
          <w:tab w:val="left" w:pos="1560"/>
          <w:tab w:val="left" w:pos="1843"/>
        </w:tabs>
        <w:ind w:firstLine="567"/>
        <w:jc w:val="both"/>
      </w:pPr>
      <w:r>
        <w:t>U</w:t>
      </w:r>
      <w:r>
        <w:rPr>
          <w:vertAlign w:val="subscript"/>
        </w:rPr>
        <w:t>L</w:t>
      </w:r>
      <w:r>
        <w:t xml:space="preserve"> – saugi įtampa.</w:t>
      </w:r>
    </w:p>
    <w:p>
      <w:pPr>
        <w:widowControl w:val="0"/>
        <w:tabs>
          <w:tab w:val="left" w:pos="-180"/>
          <w:tab w:val="left" w:pos="0"/>
          <w:tab w:val="left" w:pos="1440"/>
        </w:tabs>
        <w:ind w:firstLine="567"/>
        <w:jc w:val="both"/>
      </w:pPr>
      <w:r>
        <w:t>TT sistemoje vartotojų įvadinių spintų laidūs korpusai turi būti sujungti su vietiniu įžeminimo įrenginiu. Vartotojų įrenginių pasyviosios dalys prie vietinio įžeminimo įrenginio prijungiamos apsauginiu laidininku (šyna) PE. Įžeminimo įrenginio prie maitinimo šaltinio varža turi atitikti Taisyklių 217 punkto reikalavimus.</w:t>
      </w:r>
    </w:p>
    <w:p>
      <w:pPr>
        <w:widowControl w:val="0"/>
        <w:tabs>
          <w:tab w:val="left" w:pos="-180"/>
          <w:tab w:val="left" w:pos="0"/>
          <w:tab w:val="left" w:pos="1440"/>
        </w:tabs>
        <w:ind w:firstLine="567"/>
        <w:jc w:val="both"/>
      </w:pPr>
      <w:r>
        <w:t>198</w:t>
      </w:r>
      <w:r>
        <w:t>. IT sistemą tikslinga naudoti durpynuose, karjeruose ir kituose objektuose, kur ypač dideli saugos reikalavimai, ir objektuose, kuriuose neleistina nutraukti maitinimo, įvykus vienos fazės įžemėjimui. IT sistemoje pažeistam tinklui atjungti panaudojama trumpojo jungimo srovių apsauga, srovės skirtuminė apsauga ir izoliacijos kontrolės priemonės, signalizuojančios akustiniu arba optiniu būdu ir atjungiančios įžemėjusį tinklą.</w:t>
      </w:r>
    </w:p>
    <w:p>
      <w:pPr>
        <w:widowControl w:val="0"/>
        <w:tabs>
          <w:tab w:val="left" w:pos="-180"/>
          <w:tab w:val="left" w:pos="0"/>
          <w:tab w:val="left" w:pos="1440"/>
        </w:tabs>
        <w:ind w:firstLine="567"/>
        <w:jc w:val="both"/>
      </w:pPr>
      <w:r>
        <w:t>Esant vienos fazės įžemėjimui ir įžemėjus kitai fazei, trumpojo jungimo srovės apsauga turi atjungti liniją. Apsaugos atjungimo sąlyga yra:</w:t>
      </w:r>
    </w:p>
    <w:p>
      <w:pPr>
        <w:widowControl w:val="0"/>
        <w:tabs>
          <w:tab w:val="left" w:pos="-180"/>
          <w:tab w:val="left" w:pos="0"/>
          <w:tab w:val="left" w:pos="1440"/>
          <w:tab w:val="left" w:pos="6804"/>
          <w:tab w:val="left" w:pos="11482"/>
        </w:tabs>
        <w:ind w:firstLine="567"/>
        <w:jc w:val="both"/>
      </w:pPr>
    </w:p>
    <w:p>
      <w:pPr>
        <w:widowControl w:val="0"/>
        <w:tabs>
          <w:tab w:val="right" w:pos="9071"/>
        </w:tabs>
        <w:ind w:firstLine="567"/>
        <w:jc w:val="both"/>
        <w:rPr>
          <w:i/>
        </w:rPr>
      </w:pPr>
      <w:r>
        <w:rPr>
          <w:position w:val="-10"/>
        </w:rPr>
        <w:object w:dxaOrig="1320" w:dyaOrig="345">
          <v:shape id="_x0000_i1035" type="#_x0000_t75" style="width:66.4pt;height:17.6pt" o:ole="" fillcolor="window">
            <v:imagedata r:id="rId39" o:title=""/>
          </v:shape>
          <o:OLEObject Type="Embed" ProgID="Equation.3" ShapeID="_x0000_i1035" DrawAspect="Content" ObjectID="_0000000001" r:id="rId40"/>
        </w:object>
      </w:r>
      <w:r>
        <w:tab/>
        <w:t>(9)</w:t>
      </w:r>
    </w:p>
    <w:p>
      <w:pPr>
        <w:widowControl w:val="0"/>
        <w:tabs>
          <w:tab w:val="left" w:pos="-180"/>
          <w:tab w:val="left" w:pos="0"/>
          <w:tab w:val="left" w:pos="1440"/>
          <w:tab w:val="left" w:pos="6804"/>
          <w:tab w:val="left" w:pos="11482"/>
        </w:tabs>
        <w:ind w:firstLine="567"/>
        <w:jc w:val="both"/>
      </w:pPr>
    </w:p>
    <w:p>
      <w:pPr>
        <w:widowControl w:val="0"/>
        <w:tabs>
          <w:tab w:val="left" w:pos="1134"/>
          <w:tab w:val="left" w:pos="1560"/>
          <w:tab w:val="left" w:pos="1843"/>
        </w:tabs>
        <w:ind w:firstLine="567"/>
        <w:jc w:val="both"/>
      </w:pPr>
      <w:r>
        <w:t>čia: Z</w:t>
      </w:r>
      <w:r>
        <w:rPr>
          <w:vertAlign w:val="subscript"/>
        </w:rPr>
        <w:t>A</w:t>
      </w:r>
      <w:r>
        <w:t xml:space="preserve"> – grandinės vienos fazės, vietinio įžemintuvo ir kitos fazės suminė pilnoji varža; </w:t>
      </w:r>
    </w:p>
    <w:p>
      <w:pPr>
        <w:widowControl w:val="0"/>
        <w:tabs>
          <w:tab w:val="left" w:pos="1134"/>
          <w:tab w:val="left" w:pos="1560"/>
          <w:tab w:val="left" w:pos="1843"/>
        </w:tabs>
        <w:ind w:firstLine="567"/>
        <w:jc w:val="both"/>
      </w:pPr>
      <w:r>
        <w:t>I</w:t>
      </w:r>
      <w:r>
        <w:rPr>
          <w:vertAlign w:val="subscript"/>
        </w:rPr>
        <w:t>A</w:t>
      </w:r>
      <w:r>
        <w:t xml:space="preserve"> – apsaugos aparato suveikimo srovė, kuriai tekant grandinė automatiškai atjungiama per 5 sekundes arba greičiau; </w:t>
      </w:r>
    </w:p>
    <w:p>
      <w:pPr>
        <w:widowControl w:val="0"/>
        <w:tabs>
          <w:tab w:val="left" w:pos="1134"/>
          <w:tab w:val="left" w:pos="1560"/>
          <w:tab w:val="left" w:pos="1843"/>
        </w:tabs>
        <w:ind w:firstLine="567"/>
        <w:jc w:val="both"/>
      </w:pPr>
      <w:r>
        <w:t>U</w:t>
      </w:r>
      <w:r>
        <w:rPr>
          <w:vertAlign w:val="subscript"/>
        </w:rPr>
        <w:t>T</w:t>
      </w:r>
      <w:r>
        <w:t xml:space="preserve"> – įtampa tarp įžemėjusių laidų (linijinė).</w:t>
      </w:r>
    </w:p>
    <w:p>
      <w:pPr>
        <w:widowControl w:val="0"/>
        <w:tabs>
          <w:tab w:val="left" w:pos="-180"/>
          <w:tab w:val="left" w:pos="0"/>
          <w:tab w:val="left" w:pos="1440"/>
        </w:tabs>
        <w:ind w:firstLine="567"/>
        <w:jc w:val="both"/>
      </w:pPr>
      <w:r>
        <w:t>Saugumo sąlyga po pirmo įžemėjimo yra:</w:t>
      </w:r>
    </w:p>
    <w:p>
      <w:pPr>
        <w:widowControl w:val="0"/>
        <w:tabs>
          <w:tab w:val="left" w:pos="-180"/>
          <w:tab w:val="left" w:pos="0"/>
          <w:tab w:val="left" w:pos="1440"/>
          <w:tab w:val="left" w:pos="6804"/>
          <w:tab w:val="left" w:pos="11482"/>
        </w:tabs>
        <w:ind w:firstLine="567"/>
        <w:jc w:val="both"/>
      </w:pPr>
    </w:p>
    <w:p>
      <w:pPr>
        <w:widowControl w:val="0"/>
        <w:tabs>
          <w:tab w:val="right" w:pos="9071"/>
        </w:tabs>
        <w:jc w:val="center"/>
      </w:pPr>
      <w:r>
        <w:rPr>
          <w:position w:val="-12"/>
        </w:rPr>
        <w:object w:dxaOrig="1305" w:dyaOrig="375">
          <v:shape id="_x0000_i1036" type="#_x0000_t75" style="width:65.6pt;height:18.4pt" o:ole="">
            <v:imagedata r:id="rId41" o:title=""/>
          </v:shape>
          <o:OLEObject Type="Embed" ProgID="Equation.3" ShapeID="_x0000_i1036" DrawAspect="Content" ObjectID="_0000000001" r:id="rId42"/>
        </w:object>
      </w:r>
      <w:r>
        <w:t>;</w:t>
        <w:tab/>
        <w:t>(10)</w:t>
      </w:r>
    </w:p>
    <w:p>
      <w:pPr>
        <w:widowControl w:val="0"/>
        <w:tabs>
          <w:tab w:val="left" w:pos="-180"/>
          <w:tab w:val="left" w:pos="0"/>
          <w:tab w:val="left" w:pos="1440"/>
          <w:tab w:val="left" w:pos="6804"/>
          <w:tab w:val="left" w:pos="11482"/>
        </w:tabs>
        <w:ind w:firstLine="567"/>
        <w:jc w:val="both"/>
      </w:pPr>
    </w:p>
    <w:p>
      <w:pPr>
        <w:widowControl w:val="0"/>
        <w:tabs>
          <w:tab w:val="left" w:pos="1134"/>
          <w:tab w:val="left" w:pos="1560"/>
          <w:tab w:val="left" w:pos="1843"/>
        </w:tabs>
        <w:ind w:firstLine="567"/>
        <w:jc w:val="both"/>
      </w:pPr>
      <w:r>
        <w:t>čia: R</w:t>
      </w:r>
      <w:r>
        <w:rPr>
          <w:vertAlign w:val="subscript"/>
        </w:rPr>
        <w:t xml:space="preserve">A </w:t>
      </w:r>
      <w:r>
        <w:t xml:space="preserve">– vietinio įžeminimo įrenginio varža; </w:t>
      </w:r>
    </w:p>
    <w:p>
      <w:pPr>
        <w:widowControl w:val="0"/>
        <w:tabs>
          <w:tab w:val="left" w:pos="1134"/>
          <w:tab w:val="left" w:pos="1560"/>
          <w:tab w:val="left" w:pos="1843"/>
        </w:tabs>
        <w:ind w:firstLine="567"/>
        <w:jc w:val="both"/>
      </w:pPr>
      <w:r>
        <w:t>I</w:t>
      </w:r>
      <w:r>
        <w:rPr>
          <w:vertAlign w:val="subscript"/>
        </w:rPr>
        <w:t xml:space="preserve">NS </w:t>
      </w:r>
      <w:r>
        <w:t>– visų prie vietinio įžemintuvo prijungtų įrenginių suminė nuotėkio srovė, įvykus pirmajam įžemėjimui tarp išorinio fazinio laido ir apsauginio laido PE arba su juo sujungtų įrenginių pasyviųjų dalių;</w:t>
      </w:r>
    </w:p>
    <w:p>
      <w:pPr>
        <w:widowControl w:val="0"/>
        <w:tabs>
          <w:tab w:val="left" w:pos="1134"/>
          <w:tab w:val="left" w:pos="1560"/>
          <w:tab w:val="left" w:pos="1843"/>
        </w:tabs>
        <w:ind w:firstLine="567"/>
        <w:jc w:val="both"/>
      </w:pPr>
      <w:r>
        <w:t>U</w:t>
      </w:r>
      <w:r>
        <w:rPr>
          <w:vertAlign w:val="subscript"/>
        </w:rPr>
        <w:t>L</w:t>
      </w:r>
      <w:r>
        <w:t xml:space="preserve"> – saugi įtampa.</w:t>
      </w:r>
    </w:p>
    <w:p>
      <w:pPr>
        <w:widowControl w:val="0"/>
        <w:tabs>
          <w:tab w:val="left" w:pos="1134"/>
          <w:tab w:val="left" w:pos="1560"/>
          <w:tab w:val="left" w:pos="1843"/>
        </w:tabs>
        <w:ind w:firstLine="567"/>
        <w:jc w:val="both"/>
      </w:pPr>
      <w:r>
        <w:t>Įvykus pirmajam įžemėjimui ir suveikus izoliacijos kontrolės sistemai, gedimas turi būti pašalintas kuo greičiau.</w:t>
      </w:r>
    </w:p>
    <w:p>
      <w:pPr>
        <w:widowControl w:val="0"/>
        <w:tabs>
          <w:tab w:val="left" w:pos="-180"/>
          <w:tab w:val="left" w:pos="0"/>
          <w:tab w:val="left" w:pos="1440"/>
        </w:tabs>
        <w:ind w:firstLine="567"/>
        <w:jc w:val="both"/>
      </w:pPr>
      <w:r>
        <w:t>Srovės skirtuminės apsaugos atjungimo sąlyga yra:</w:t>
      </w:r>
    </w:p>
    <w:p>
      <w:pPr>
        <w:widowControl w:val="0"/>
        <w:tabs>
          <w:tab w:val="left" w:pos="-180"/>
          <w:tab w:val="left" w:pos="0"/>
          <w:tab w:val="left" w:pos="1440"/>
          <w:tab w:val="left" w:pos="6804"/>
          <w:tab w:val="left" w:pos="11482"/>
        </w:tabs>
        <w:ind w:firstLine="567"/>
        <w:jc w:val="both"/>
      </w:pPr>
    </w:p>
    <w:p>
      <w:pPr>
        <w:widowControl w:val="0"/>
        <w:tabs>
          <w:tab w:val="left" w:pos="3969"/>
        </w:tabs>
        <w:jc w:val="center"/>
      </w:pPr>
      <w:r>
        <w:rPr>
          <w:position w:val="-12"/>
        </w:rPr>
        <w:object w:dxaOrig="1365" w:dyaOrig="360">
          <v:shape id="_x0000_i1037" type="#_x0000_t75" style="width:68pt;height:18.4pt" o:ole="" fillcolor="window">
            <v:imagedata r:id="rId43" o:title=""/>
          </v:shape>
          <o:OLEObject Type="Embed" ProgID="Equation.3" ShapeID="_x0000_i1037" DrawAspect="Content" ObjectID="_0000000001" r:id="rId44"/>
        </w:object>
      </w:r>
      <w:r>
        <w:tab/>
        <w:t>(11)</w:t>
      </w:r>
    </w:p>
    <w:p>
      <w:pPr>
        <w:widowControl w:val="0"/>
        <w:tabs>
          <w:tab w:val="left" w:pos="-180"/>
          <w:tab w:val="left" w:pos="0"/>
          <w:tab w:val="left" w:pos="1440"/>
          <w:tab w:val="left" w:pos="6804"/>
          <w:tab w:val="left" w:pos="11482"/>
        </w:tabs>
        <w:ind w:firstLine="567"/>
        <w:jc w:val="both"/>
      </w:pPr>
    </w:p>
    <w:p>
      <w:pPr>
        <w:widowControl w:val="0"/>
        <w:tabs>
          <w:tab w:val="left" w:pos="1134"/>
          <w:tab w:val="left" w:pos="1560"/>
          <w:tab w:val="left" w:pos="1843"/>
        </w:tabs>
        <w:ind w:firstLine="567"/>
        <w:jc w:val="both"/>
      </w:pPr>
      <w:r>
        <w:t>čia: R</w:t>
      </w:r>
      <w:r>
        <w:rPr>
          <w:vertAlign w:val="subscript"/>
        </w:rPr>
        <w:t>A</w:t>
      </w:r>
      <w:r>
        <w:t xml:space="preserve"> – vietinio įžeminimo įrenginio varža;</w:t>
      </w:r>
    </w:p>
    <w:p>
      <w:pPr>
        <w:widowControl w:val="0"/>
        <w:tabs>
          <w:tab w:val="left" w:pos="1134"/>
          <w:tab w:val="left" w:pos="1560"/>
          <w:tab w:val="left" w:pos="1843"/>
        </w:tabs>
        <w:ind w:firstLine="567"/>
        <w:jc w:val="both"/>
      </w:pPr>
      <w:r>
        <w:t>I</w:t>
      </w:r>
      <w:r>
        <w:rPr>
          <w:vertAlign w:val="subscript"/>
        </w:rPr>
        <w:t>N</w:t>
      </w:r>
      <w:r>
        <w:t xml:space="preserve"> – srovės skirtuminės apsaugos suveikimo srovė; </w:t>
      </w:r>
    </w:p>
    <w:p>
      <w:pPr>
        <w:widowControl w:val="0"/>
        <w:tabs>
          <w:tab w:val="left" w:pos="1134"/>
          <w:tab w:val="left" w:pos="1560"/>
          <w:tab w:val="left" w:pos="1843"/>
        </w:tabs>
        <w:ind w:firstLine="567"/>
        <w:jc w:val="both"/>
      </w:pPr>
      <w:r>
        <w:t>U</w:t>
      </w:r>
      <w:r>
        <w:rPr>
          <w:vertAlign w:val="subscript"/>
        </w:rPr>
        <w:t>L</w:t>
      </w:r>
      <w:r>
        <w:t xml:space="preserve"> – saugi įtampa.</w:t>
      </w:r>
    </w:p>
    <w:p>
      <w:pPr>
        <w:widowControl w:val="0"/>
        <w:tabs>
          <w:tab w:val="left" w:pos="-180"/>
          <w:tab w:val="left" w:pos="0"/>
          <w:tab w:val="left" w:pos="1440"/>
        </w:tabs>
        <w:ind w:firstLine="567"/>
        <w:jc w:val="both"/>
      </w:pPr>
      <w:r>
        <w:t>199</w:t>
      </w:r>
      <w:r>
        <w:t>. Visi aukštesnės kaip 1000 V įtampos izoliuotosios neutralės tinklų įrenginiai turi būti įžeminti. Šiuose tinkluose turi būti įrengtos įžemėjimą nustatančios arba apie laido nutrūkimą signalizuojančios priemonės. Apsaugos nuo įžemėjimo priemonės turi būti įrengiamos pagal Elektros įrenginių relinės apsaugos ir automatikos įrengimo taisyklių reikalavimus.</w:t>
      </w:r>
    </w:p>
    <w:p>
      <w:pPr>
        <w:widowControl w:val="0"/>
        <w:tabs>
          <w:tab w:val="left" w:pos="-180"/>
          <w:tab w:val="left" w:pos="0"/>
          <w:tab w:val="left" w:pos="1440"/>
        </w:tabs>
        <w:ind w:firstLine="567"/>
        <w:jc w:val="both"/>
      </w:pPr>
      <w:r>
        <w:t>200</w:t>
      </w:r>
      <w:r>
        <w:t>. Iki 1000 V įtampos trifaziame izoliuotosios neutralės arba vienfaziame izoliuotame tinkle, transformatoriumi sujungtame su aukštesnės kaip 1000 V įtampos tinklu, turi būti įrengtas įtampos ribotuvas – apsaugai nuo aukštesnės įtampos, galinčios atsirasti pažeidus izoliaciją tarp aukštesnės ir žemesnės įtampos apvijų.</w:t>
      </w:r>
    </w:p>
    <w:p>
      <w:pPr>
        <w:widowControl w:val="0"/>
        <w:tabs>
          <w:tab w:val="left" w:pos="-180"/>
          <w:tab w:val="left" w:pos="0"/>
          <w:tab w:val="left" w:pos="567"/>
          <w:tab w:val="left" w:pos="1440"/>
        </w:tabs>
        <w:ind w:firstLine="567"/>
        <w:jc w:val="both"/>
      </w:pPr>
      <w:r>
        <w:t>201</w:t>
      </w:r>
      <w:r>
        <w:t xml:space="preserve">. Iki 1000 V įtampos elektros įrenginiuose saugai naudojamų skiriamųjų transformatorių antrinė įtampa turi būti ne aukštesnė kaip </w:t>
      </w:r>
      <w:r>
        <w:rPr>
          <w:color w:val="000000"/>
        </w:rPr>
        <w:t>400</w:t>
      </w:r>
      <w:r>
        <w:t xml:space="preserve"> V, o žeminamųjų transformatorių – ne aukštesnė kaip 50 V. Skiriamieji transformatoriai privalo turėti:</w:t>
      </w:r>
    </w:p>
    <w:p>
      <w:pPr>
        <w:widowControl w:val="0"/>
        <w:tabs>
          <w:tab w:val="left" w:pos="-180"/>
          <w:tab w:val="left" w:pos="0"/>
          <w:tab w:val="left" w:pos="567"/>
          <w:tab w:val="left" w:pos="709"/>
          <w:tab w:val="left" w:pos="993"/>
          <w:tab w:val="left" w:pos="1440"/>
        </w:tabs>
        <w:ind w:firstLine="567"/>
        <w:jc w:val="both"/>
      </w:pPr>
      <w:r>
        <w:t>201.1</w:t>
      </w:r>
      <w:r>
        <w:t xml:space="preserve">. pirminėje jo apvijos pusėje įrengtus saugiklį arba automatinį jungiklį; </w:t>
      </w:r>
    </w:p>
    <w:p>
      <w:pPr>
        <w:widowControl w:val="0"/>
        <w:tabs>
          <w:tab w:val="left" w:pos="-180"/>
          <w:tab w:val="left" w:pos="0"/>
          <w:tab w:val="left" w:pos="567"/>
          <w:tab w:val="left" w:pos="709"/>
          <w:tab w:val="left" w:pos="993"/>
          <w:tab w:val="left" w:pos="1440"/>
        </w:tabs>
        <w:ind w:firstLine="567"/>
        <w:jc w:val="both"/>
      </w:pPr>
      <w:r>
        <w:t>201.2</w:t>
      </w:r>
      <w:r>
        <w:t>. neįžemintą antrinę apviją, kurią įžeminti draudžiama.</w:t>
      </w:r>
    </w:p>
    <w:p>
      <w:pPr>
        <w:widowControl w:val="0"/>
        <w:tabs>
          <w:tab w:val="left" w:pos="-180"/>
          <w:tab w:val="left" w:pos="0"/>
          <w:tab w:val="left" w:pos="567"/>
          <w:tab w:val="left" w:pos="709"/>
          <w:tab w:val="left" w:pos="993"/>
          <w:tab w:val="left" w:pos="1440"/>
        </w:tabs>
        <w:ind w:firstLine="567"/>
        <w:jc w:val="both"/>
      </w:pPr>
      <w:r>
        <w:t>Skiriamojo transformatoriaus korpusas, atsižvelgiant į pirminę apviją maitinančio tinklo neutralės veikimo režimą, turi būti įžemintas arba įnulintas. Prie skiriamųjų transformatorių prijungtų įrenginių pasyviųjų dalių įžeminti nereikia.</w:t>
      </w:r>
    </w:p>
    <w:p>
      <w:pPr>
        <w:widowControl w:val="0"/>
        <w:tabs>
          <w:tab w:val="left" w:pos="-180"/>
          <w:tab w:val="left" w:pos="0"/>
          <w:tab w:val="left" w:pos="567"/>
          <w:tab w:val="left" w:pos="1440"/>
        </w:tabs>
        <w:ind w:firstLine="567"/>
        <w:jc w:val="both"/>
      </w:pPr>
      <w:r>
        <w:t>Žeminamieji transformatoriai, kurių antrinė įtampa ne aukštesnė kaip 50 V, naudojami kaip skiriamieji, jeigu jie atitinka minėtas sąlygas. Jeigu žeminamieji transformatoriai neturi būti naudojami kaip skiriamieji transformatoriai, tai, atsižvelgiant į juos maitinančio tinklo neutralės veikimo režimą, reikia įžeminti arba įnulinti transformatoriaus korpusą, taip pat vieną antrinės apvijos galą arba neutralę (vidurinį apvijos tašką).</w:t>
      </w:r>
    </w:p>
    <w:p>
      <w:pPr>
        <w:widowControl w:val="0"/>
        <w:tabs>
          <w:tab w:val="left" w:pos="-180"/>
          <w:tab w:val="left" w:pos="0"/>
          <w:tab w:val="left" w:pos="567"/>
          <w:tab w:val="left" w:pos="1440"/>
        </w:tabs>
        <w:ind w:firstLine="567"/>
        <w:jc w:val="both"/>
      </w:pPr>
      <w:r>
        <w:t>202</w:t>
      </w:r>
      <w:r>
        <w:t>. Kai nėra galimybės įrenginių įžeminti, įnulinti ar panaudoti apsauginio atjungimo arba kai šias saugos priemones sudėtinga įrengti techniškai, elektros įrenginiams eksploatuoti įrengiamos izoliuotos aikštelės. Jos turi būti įrengtos taip, kad būtų dirbama prie pavojingų neįžemintų arba neįnulintų įrenginių dalių, neliečiant kitų įžemintų įrenginių ar pastato konstrukcijų.</w:t>
      </w:r>
    </w:p>
    <w:p>
      <w:pPr>
        <w:widowControl w:val="0"/>
        <w:tabs>
          <w:tab w:val="left" w:pos="-180"/>
          <w:tab w:val="left" w:pos="0"/>
          <w:tab w:val="left" w:pos="567"/>
          <w:tab w:val="left" w:pos="1440"/>
        </w:tabs>
        <w:ind w:firstLine="567"/>
        <w:jc w:val="both"/>
      </w:pPr>
    </w:p>
    <w:p>
      <w:pPr>
        <w:widowControl w:val="0"/>
        <w:jc w:val="center"/>
        <w:rPr>
          <w:b/>
        </w:rPr>
      </w:pPr>
      <w:r>
        <w:rPr>
          <w:b/>
        </w:rPr>
        <w:t>TREČIASIS</w:t>
      </w:r>
      <w:r>
        <w:rPr>
          <w:b/>
        </w:rPr>
        <w:t xml:space="preserve"> SKIRSNIS</w:t>
      </w:r>
    </w:p>
    <w:p>
      <w:pPr>
        <w:widowControl w:val="0"/>
        <w:jc w:val="center"/>
        <w:rPr>
          <w:b/>
        </w:rPr>
      </w:pPr>
      <w:r>
        <w:rPr>
          <w:b/>
        </w:rPr>
        <w:t xml:space="preserve">ĮRENGINIAI, KURIUOS REIKIA ĮŽEMINTI ARBA ĮNULINTI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203</w:t>
      </w:r>
      <w:r>
        <w:t>. Įžeminti arba įnulinti reikia šias įrenginių dalis:</w:t>
      </w:r>
    </w:p>
    <w:p>
      <w:pPr>
        <w:widowControl w:val="0"/>
        <w:tabs>
          <w:tab w:val="left" w:pos="-180"/>
          <w:tab w:val="left" w:pos="0"/>
          <w:tab w:val="left" w:pos="567"/>
          <w:tab w:val="left" w:pos="1440"/>
        </w:tabs>
        <w:ind w:firstLine="567"/>
        <w:jc w:val="both"/>
      </w:pPr>
      <w:r>
        <w:t>203.1</w:t>
      </w:r>
      <w:r>
        <w:t>. elektros mašinų, transformatorių, aparatų, šviestuvų ir pan. korpusus, išskyrus Taisyklių 201, 202 ir 205 punktuose nurodytus atvejus;</w:t>
      </w:r>
    </w:p>
    <w:p>
      <w:pPr>
        <w:widowControl w:val="0"/>
        <w:tabs>
          <w:tab w:val="left" w:pos="-180"/>
          <w:tab w:val="left" w:pos="0"/>
          <w:tab w:val="left" w:pos="567"/>
          <w:tab w:val="left" w:pos="709"/>
          <w:tab w:val="left" w:pos="1440"/>
        </w:tabs>
        <w:ind w:firstLine="567"/>
        <w:jc w:val="both"/>
      </w:pPr>
      <w:r>
        <w:t>203.2</w:t>
      </w:r>
      <w:r>
        <w:t>. elektros aparatų pavaras;</w:t>
      </w:r>
    </w:p>
    <w:p>
      <w:pPr>
        <w:widowControl w:val="0"/>
        <w:tabs>
          <w:tab w:val="left" w:pos="-180"/>
          <w:tab w:val="left" w:pos="0"/>
          <w:tab w:val="left" w:pos="567"/>
          <w:tab w:val="left" w:pos="709"/>
          <w:tab w:val="left" w:pos="1440"/>
        </w:tabs>
        <w:ind w:firstLine="567"/>
        <w:jc w:val="both"/>
      </w:pPr>
      <w:r>
        <w:t>203.3</w:t>
      </w:r>
      <w:r>
        <w:t>. antrines matavimo transformatorių apvijas;</w:t>
      </w:r>
    </w:p>
    <w:p>
      <w:pPr>
        <w:widowControl w:val="0"/>
        <w:tabs>
          <w:tab w:val="left" w:pos="-180"/>
          <w:tab w:val="left" w:pos="0"/>
          <w:tab w:val="left" w:pos="567"/>
          <w:tab w:val="left" w:pos="709"/>
          <w:tab w:val="left" w:pos="1440"/>
        </w:tabs>
        <w:ind w:firstLine="567"/>
        <w:jc w:val="both"/>
      </w:pPr>
      <w:r>
        <w:t>203.4</w:t>
      </w:r>
      <w:r>
        <w:t>. metalinius skirstomųjų ir valdymo skydų, skydelių ir spintų korpusus, taip pat išardomąsias ir atidaromąsias jų dalis, ant kurių įrengti aukštesnės kaip 50 V įtampos kintamosios srovės ar aukštesnės kaip 75 V įtampos nuolatinės srovės įrenginiai (zonose, kuriose galimi sprogimai, – neatsižvelgiant į įtampą);</w:t>
      </w:r>
    </w:p>
    <w:p>
      <w:pPr>
        <w:widowControl w:val="0"/>
        <w:tabs>
          <w:tab w:val="left" w:pos="-180"/>
          <w:tab w:val="left" w:pos="0"/>
          <w:tab w:val="left" w:pos="567"/>
          <w:tab w:val="left" w:pos="1440"/>
        </w:tabs>
        <w:ind w:firstLine="567"/>
        <w:jc w:val="both"/>
      </w:pPr>
      <w:r>
        <w:t>203.5</w:t>
      </w:r>
      <w:r>
        <w:t>. skirstyklų metalines konstrukcijas, metalines kabelių movas, metalinius galios ir kontrolinių kabelių apvalkalus ir šarvus, metalinius laidų apvalkalus, metalinius elektros instaliacijos vamzdžius, metalinius šynų gaubtus ir atramines konstrukcijas, metalines lentynas, lovius, juostas ir lynus, prie kurių tvirtinami kabeliai ir laidai (išskyrus juostas ir lynus, prie kurių tvirtinami kabeliai įžemintu arba įnulintu metaliniu apvalkalu ar šarvu), taip pat kitas metalines konstrukcijas, ant kurių įrengiami elektros įrenginiai;</w:t>
      </w:r>
    </w:p>
    <w:p>
      <w:pPr>
        <w:widowControl w:val="0"/>
        <w:tabs>
          <w:tab w:val="left" w:pos="-180"/>
          <w:tab w:val="left" w:pos="0"/>
          <w:tab w:val="left" w:pos="567"/>
          <w:tab w:val="left" w:pos="1440"/>
        </w:tabs>
        <w:ind w:firstLine="567"/>
        <w:jc w:val="both"/>
      </w:pPr>
      <w:r>
        <w:t>203.6</w:t>
      </w:r>
      <w:r>
        <w:t>. iki 50 V įtampos kintamosios srovės ir iki 75 V įtampos nuolatinės srovės kontrolinių ir galios kabelių ir laidų metalinius apvalkalus ir šarvus kartu su kabeliais ir laidais, kurie turi būti įžeminami arba įnulinami, nutiesti ant bendrų metalinių konstrukcijų, bendruose metaliniuose vamzdžiuose, loviuose, ant lentynų ir pan.;</w:t>
      </w:r>
    </w:p>
    <w:p>
      <w:pPr>
        <w:widowControl w:val="0"/>
        <w:tabs>
          <w:tab w:val="left" w:pos="-180"/>
          <w:tab w:val="left" w:pos="0"/>
          <w:tab w:val="left" w:pos="567"/>
          <w:tab w:val="left" w:pos="1440"/>
        </w:tabs>
        <w:ind w:firstLine="567"/>
        <w:jc w:val="both"/>
      </w:pPr>
      <w:r>
        <w:t>203.7</w:t>
      </w:r>
      <w:r>
        <w:t>. metalinius kilnojamųjų elektros imtuvų korpusus;</w:t>
      </w:r>
    </w:p>
    <w:p>
      <w:pPr>
        <w:widowControl w:val="0"/>
        <w:tabs>
          <w:tab w:val="left" w:pos="-180"/>
          <w:tab w:val="left" w:pos="0"/>
          <w:tab w:val="left" w:pos="567"/>
          <w:tab w:val="left" w:pos="1440"/>
        </w:tabs>
        <w:ind w:firstLine="567"/>
        <w:jc w:val="both"/>
      </w:pPr>
      <w:r>
        <w:t>203.8</w:t>
      </w:r>
      <w:r>
        <w:t>. elektros įrenginius, įrengtus ant staklių, mašinų ir mechanizmų judamųjų dalių;</w:t>
      </w:r>
    </w:p>
    <w:p>
      <w:pPr>
        <w:widowControl w:val="0"/>
        <w:tabs>
          <w:tab w:val="left" w:pos="-180"/>
          <w:tab w:val="left" w:pos="0"/>
          <w:tab w:val="left" w:pos="567"/>
          <w:tab w:val="left" w:pos="1440"/>
        </w:tabs>
        <w:ind w:firstLine="567"/>
        <w:jc w:val="both"/>
      </w:pPr>
      <w:r>
        <w:t>203.9</w:t>
      </w:r>
      <w:r>
        <w:t>. metalinę skardą, kuria padengtos 10 kV įtampos skirstyklų, valdymo pultų ir kitų pastatų išorinės sienos, ant kurių yra sumontuoti elektros įrenginiai;</w:t>
      </w:r>
    </w:p>
    <w:p>
      <w:pPr>
        <w:widowControl w:val="0"/>
        <w:tabs>
          <w:tab w:val="left" w:pos="-180"/>
          <w:tab w:val="left" w:pos="0"/>
          <w:tab w:val="left" w:pos="567"/>
          <w:tab w:val="left" w:pos="1440"/>
        </w:tabs>
        <w:ind w:firstLine="567"/>
        <w:jc w:val="both"/>
      </w:pPr>
      <w:r>
        <w:t>203.10</w:t>
      </w:r>
      <w:r>
        <w:t>. tvirtinamo prie medinės konstrukcijos kabelio metalinį apvalkalą;</w:t>
      </w:r>
    </w:p>
    <w:p>
      <w:pPr>
        <w:widowControl w:val="0"/>
        <w:tabs>
          <w:tab w:val="left" w:pos="-180"/>
          <w:tab w:val="left" w:pos="0"/>
          <w:tab w:val="left" w:pos="567"/>
          <w:tab w:val="left" w:pos="1440"/>
        </w:tabs>
        <w:ind w:firstLine="567"/>
        <w:jc w:val="both"/>
      </w:pPr>
      <w:r>
        <w:t>203.11</w:t>
      </w:r>
      <w:r>
        <w:t>. visas laisvas (rezervines) kontrolinių ir valdymo kabelių gyslas sujungti tarpusavyje ir įžeminti.</w:t>
      </w:r>
    </w:p>
    <w:p>
      <w:pPr>
        <w:widowControl w:val="0"/>
        <w:tabs>
          <w:tab w:val="left" w:pos="-180"/>
          <w:tab w:val="left" w:pos="0"/>
          <w:tab w:val="left" w:pos="567"/>
          <w:tab w:val="left" w:pos="1440"/>
        </w:tabs>
        <w:ind w:firstLine="567"/>
        <w:jc w:val="both"/>
      </w:pPr>
      <w:r>
        <w:t>204</w:t>
      </w:r>
      <w:r>
        <w:t>. Patalpose ir lauke, kur naudojami įžeminti arba įnulinti elektros įrenginiai, potencialams išlyginti turi būti įžemintos arba įnulintos visos statybinės ir technologinės konstrukcijos, visi stacionarieji metaliniai vamzdynai, gamybinių įrenginių korpusai, kranų ir geležinkelių bėgiai ir pan. Sustiprinti šių įrenginių natūralių jungčių nereikalaujama.</w:t>
      </w:r>
    </w:p>
    <w:p>
      <w:pPr>
        <w:widowControl w:val="0"/>
        <w:tabs>
          <w:tab w:val="left" w:pos="-180"/>
          <w:tab w:val="left" w:pos="0"/>
          <w:tab w:val="left" w:pos="567"/>
          <w:tab w:val="left" w:pos="1440"/>
        </w:tabs>
        <w:ind w:firstLine="567"/>
        <w:jc w:val="both"/>
      </w:pPr>
      <w:r>
        <w:t>205</w:t>
      </w:r>
      <w:r>
        <w:t>. Atskirai įžeminti ar įnulinti nereikia:</w:t>
      </w:r>
    </w:p>
    <w:p>
      <w:pPr>
        <w:widowControl w:val="0"/>
        <w:tabs>
          <w:tab w:val="left" w:pos="-180"/>
          <w:tab w:val="left" w:pos="0"/>
          <w:tab w:val="left" w:pos="567"/>
          <w:tab w:val="left" w:pos="1440"/>
        </w:tabs>
        <w:ind w:firstLine="567"/>
        <w:jc w:val="both"/>
      </w:pPr>
      <w:r>
        <w:t>205.1</w:t>
      </w:r>
      <w:r>
        <w:t>. elektros įrenginių ir aparatų korpusų, kabelių apvalkalų ir šarvų ir kitų elektros konstrukcijų, įrengtų ant įžemintų (įnulintų) metalinių konstrukcijų, skirstomųjų įrenginių, spintų, skydų, skydelių, staklių, mašinų ir mechanizmų stovų, jeigu užtikrintas reikiamas elektrinis kontaktas su įžemintu arba įnulintu pagrindu, išskyrus zonas, kuriose galimi sprogimai. Taip įžeminti ar įnulinti įrenginiai neturi būti panaudoti kitiems ant jų esantiems įrenginiams įžeminti ar įnulinti;</w:t>
      </w:r>
    </w:p>
    <w:p>
      <w:pPr>
        <w:widowControl w:val="0"/>
        <w:tabs>
          <w:tab w:val="left" w:pos="-180"/>
          <w:tab w:val="left" w:pos="0"/>
          <w:tab w:val="left" w:pos="567"/>
          <w:tab w:val="left" w:pos="1440"/>
        </w:tabs>
        <w:ind w:firstLine="567"/>
        <w:jc w:val="both"/>
      </w:pPr>
      <w:r>
        <w:t>205.2</w:t>
      </w:r>
      <w:r>
        <w:t>. visų tipų izoliatorių armatūrą, atotampas, šviestuvų korpusų ir jų tvirtinimo armatūrą, įrengtų ant medinių elektros tinklų konstrukcijų, neįžemintų apsaugai nuo atmosferinių viršįtampių;</w:t>
      </w:r>
    </w:p>
    <w:p>
      <w:pPr>
        <w:widowControl w:val="0"/>
        <w:tabs>
          <w:tab w:val="left" w:pos="-180"/>
          <w:tab w:val="left" w:pos="0"/>
          <w:tab w:val="left" w:pos="567"/>
          <w:tab w:val="left" w:pos="1440"/>
        </w:tabs>
        <w:ind w:firstLine="567"/>
        <w:jc w:val="both"/>
      </w:pPr>
      <w:r>
        <w:t>205.3</w:t>
      </w:r>
      <w:r>
        <w:t>. skirstomųjų ir valdymo skydų, skydelių ir spintų išardomų ir atidaromų dalių, jeigu ant jų neįrengti aukštesnės kaip 50 V įtampos kintamosios srovės ar aukštesnės kaip 75 V įtampos nuolatinės srovės įrenginiai;</w:t>
      </w:r>
    </w:p>
    <w:p>
      <w:pPr>
        <w:widowControl w:val="0"/>
        <w:tabs>
          <w:tab w:val="left" w:pos="-180"/>
          <w:tab w:val="left" w:pos="0"/>
          <w:tab w:val="left" w:pos="567"/>
          <w:tab w:val="left" w:pos="1440"/>
        </w:tabs>
        <w:ind w:firstLine="567"/>
        <w:jc w:val="both"/>
      </w:pPr>
      <w:r>
        <w:t>205.4</w:t>
      </w:r>
      <w:r>
        <w:t>. dvigubosios izoliacijos elektros imtuvų korpusų;</w:t>
      </w:r>
    </w:p>
    <w:p>
      <w:pPr>
        <w:widowControl w:val="0"/>
        <w:tabs>
          <w:tab w:val="left" w:pos="-180"/>
          <w:tab w:val="left" w:pos="0"/>
          <w:tab w:val="left" w:pos="567"/>
          <w:tab w:val="left" w:pos="1440"/>
        </w:tabs>
        <w:ind w:firstLine="567"/>
        <w:jc w:val="both"/>
      </w:pPr>
      <w:r>
        <w:t>205.5</w:t>
      </w:r>
      <w:r>
        <w:t>. ant sienų, pertvarų, perdangų ir kitų statybinių konstrukcijų tiesiamų kabelių ir izoliuotų laidų tvirtinimo ir mechaninės apsaugos metalinių dalių, taip pat iki 100 cm</w:t>
      </w:r>
      <w:r>
        <w:rPr>
          <w:vertAlign w:val="superscript"/>
        </w:rPr>
        <w:t>2</w:t>
      </w:r>
      <w:r>
        <w:t xml:space="preserve"> ploto jungiamųjų ir atšakos dėžučių.</w:t>
      </w:r>
    </w:p>
    <w:p>
      <w:pPr>
        <w:widowControl w:val="0"/>
        <w:tabs>
          <w:tab w:val="left" w:pos="-180"/>
          <w:tab w:val="left" w:pos="0"/>
          <w:tab w:val="left" w:pos="567"/>
          <w:tab w:val="left" w:pos="1440"/>
        </w:tabs>
        <w:ind w:firstLine="567"/>
        <w:jc w:val="both"/>
      </w:pPr>
    </w:p>
    <w:p>
      <w:pPr>
        <w:widowControl w:val="0"/>
        <w:jc w:val="center"/>
        <w:rPr>
          <w:b/>
        </w:rPr>
      </w:pPr>
      <w:r>
        <w:rPr>
          <w:b/>
        </w:rPr>
        <w:t>KETVIRTASIS</w:t>
      </w:r>
      <w:r>
        <w:rPr>
          <w:b/>
        </w:rPr>
        <w:t xml:space="preserve"> SKIRSNIS</w:t>
      </w:r>
    </w:p>
    <w:p>
      <w:pPr>
        <w:widowControl w:val="0"/>
        <w:jc w:val="center"/>
        <w:rPr>
          <w:b/>
        </w:rPr>
      </w:pPr>
      <w:r>
        <w:rPr>
          <w:b/>
        </w:rPr>
        <w:t xml:space="preserve">AUKŠTESNĖS KAIP 1000 V ĮTAMPOS ELEKTROS ĮRENGINIŲ ĮŽEMINIMAS TIESIOGIAI ĮŽEMINTOS NEUTRALĖS TINKLUOSE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206</w:t>
      </w:r>
      <w:r>
        <w:t>. Įžeminimo įrenginio įtampa, tekant įžemėjimo srovei, turi būti ne aukštesnė kaip 10 kV. Esant aukštesnei kaip 10 kV įtampai, potencialas neturi atsirasti už pastato arba išorinės elektros įrenginio aptvaros ribų.</w:t>
      </w:r>
    </w:p>
    <w:p>
      <w:pPr>
        <w:widowControl w:val="0"/>
        <w:tabs>
          <w:tab w:val="left" w:pos="-180"/>
          <w:tab w:val="left" w:pos="0"/>
          <w:tab w:val="left" w:pos="1440"/>
        </w:tabs>
        <w:ind w:firstLine="567"/>
        <w:jc w:val="both"/>
      </w:pPr>
      <w:r>
        <w:t>207</w:t>
      </w:r>
      <w:r>
        <w:t xml:space="preserve">. Įžeminimo varža, vertinant ir natūraliųjų įžemintuvų varžas, bet kokiu metų laiku turi būti ne didesnė kaip 0,5 </w:t>
      </w:r>
      <w:r>
        <w:rPr>
          <w:position w:val="-4"/>
        </w:rPr>
        <w:object w:dxaOrig="255" w:dyaOrig="255">
          <v:shape id="_x0000_i1038" type="#_x0000_t75" style="width:12.8pt;height:12.8pt" o:ole="">
            <v:imagedata r:id="rId45" o:title=""/>
          </v:shape>
          <o:OLEObject Type="Embed" ProgID="Equation.3" ShapeID="_x0000_i1038" DrawAspect="Content" ObjectID="_0000000001" r:id="rId46"/>
        </w:object>
      </w:r>
      <w:r>
        <w:t>.</w:t>
      </w:r>
    </w:p>
    <w:p>
      <w:pPr>
        <w:widowControl w:val="0"/>
        <w:tabs>
          <w:tab w:val="left" w:pos="-180"/>
          <w:tab w:val="left" w:pos="0"/>
          <w:tab w:val="left" w:pos="1440"/>
        </w:tabs>
        <w:ind w:firstLine="567"/>
        <w:jc w:val="both"/>
      </w:pPr>
      <w:r>
        <w:t xml:space="preserve">Elektros įrenginiams prijungti prie įžemintuvo ir potencialui išlyginti šių įrenginių teritorijoje reikia įrengti išlyginamąjį tinklą. Išlyginamojo tinklo laidininkus reikia tiesti išilgai įrenginių išdėstymo eilių jų priežiūros pusėje, 0,5–0,7 m gylyje ir 0,8–1,0 m atstumu nuo įrenginių pamato arba pagrindo. Jeigu gretimos įrenginių eilės yra prižiūrimos iš tos pačios perėjos ir atstumas tarp gretimų įrenginių pamatų arba pagrindų ne didesnis kaip 3 m, tai abiem įrenginių eilėms per perėjos vidurį turi būti tiesiamas tiktai vienas išlyginamojo tinklo laidininkas. </w:t>
      </w:r>
    </w:p>
    <w:p>
      <w:pPr>
        <w:widowControl w:val="0"/>
        <w:tabs>
          <w:tab w:val="left" w:pos="-180"/>
          <w:tab w:val="left" w:pos="0"/>
          <w:tab w:val="left" w:pos="1440"/>
        </w:tabs>
        <w:ind w:firstLine="567"/>
        <w:jc w:val="both"/>
      </w:pPr>
      <w:r>
        <w:t>Skersiniai įžeminimo laidininkai turi būti klojami 0,5–0,7 m gylyje patogiose vietose tarp įrenginių. Atstumai tarp šių laidininkų nuo įžeminimo tinklo krašto einant į centrą turi didėti, bet neviršyti atitinkamai 4; 5; 6; 7,5; 9; 11; 13,5; 16 ir 20 m. Galios transformatorių neutralės ir trumpiklių prijungimo prie įžemintuvo vietose metalinio įžeminimo tinklo akys turi būti ne didesnės kaip 6 x 6 m.</w:t>
      </w:r>
    </w:p>
    <w:p>
      <w:pPr>
        <w:widowControl w:val="0"/>
        <w:tabs>
          <w:tab w:val="left" w:pos="-180"/>
          <w:tab w:val="left" w:pos="0"/>
          <w:tab w:val="left" w:pos="1440"/>
        </w:tabs>
        <w:ind w:firstLine="567"/>
        <w:jc w:val="both"/>
      </w:pPr>
      <w:r>
        <w:t>Įžeminimo įrenginio teritorijos kraštuose jungiamieji laidininkai turi sudaryti uždarą kontūrą. Jeigu įžeminimo įrenginys yra elektros įrenginių teritorijoje, tai prie įėjimų ir įvažiavimų į šią teritoriją būtina išlyginti potencialą. Tam reikia įkalti į gruntą du vertikaliuosius elektrodus, sujungtus su kraštiniu horizontaliuoju įžeminimo laidininku. Jie turi būti ne trumpesni kaip 3 m ilgio ir įrengti iš abiejų įėjimo ar įvažiavimo pusių.</w:t>
      </w:r>
    </w:p>
    <w:p>
      <w:pPr>
        <w:widowControl w:val="0"/>
        <w:tabs>
          <w:tab w:val="left" w:pos="-180"/>
          <w:tab w:val="left" w:pos="0"/>
          <w:tab w:val="left" w:pos="1440"/>
        </w:tabs>
        <w:ind w:firstLine="567"/>
        <w:jc w:val="both"/>
      </w:pPr>
      <w:r>
        <w:t>208</w:t>
      </w:r>
      <w:r>
        <w:t>. Įžeminimo įrenginys, projektuojamas vertinant prisilietimo įtampą, turi būti įrengtas taip, kad srovei tekant įžeminimo įrenginiu bet kuriuo metų laiku nebūtų viršijama leistinoji prisilietimo įtampa. Įžeminimo varža šiuo atveju nustatoma pagal įžeminimo įrenginio įtampą, leistinąją prisilietimo įtampą ir įžemėjimo srovę.</w:t>
      </w:r>
    </w:p>
    <w:p>
      <w:pPr>
        <w:widowControl w:val="0"/>
        <w:tabs>
          <w:tab w:val="left" w:pos="-180"/>
          <w:tab w:val="left" w:pos="0"/>
          <w:tab w:val="left" w:pos="1440"/>
        </w:tabs>
        <w:ind w:firstLine="567"/>
        <w:jc w:val="both"/>
      </w:pPr>
      <w:r>
        <w:t>Nustatant leistinąją prisilietimo įtampą (Taisyklių 4 priedo 1 lentelė), skaičiuojamojo poveikio trukmė nustatoma susumavus pagrindinės apsaugos suveikimo ir jungtuvo išjungimo trukmes. Nustatant leistinąsias prisilietimo įtampas tose vietose, kuriose atliekant įrenginių operatyviuosius perjungimus gali įvykti trumpasis jungimas ir prie įrenginių gali prisiliesti perjungimus atliekantys darbuotojai, reikia įvertinti rezervinės apsaugos suveikimo trukmę.</w:t>
      </w:r>
    </w:p>
    <w:p>
      <w:pPr>
        <w:widowControl w:val="0"/>
        <w:tabs>
          <w:tab w:val="left" w:pos="-180"/>
          <w:tab w:val="left" w:pos="0"/>
          <w:tab w:val="left" w:pos="1440"/>
        </w:tabs>
        <w:ind w:firstLine="567"/>
        <w:jc w:val="both"/>
      </w:pPr>
      <w:r>
        <w:t xml:space="preserve">Išilginiai ir skersiniai horizontalieji įžemintuvo jungiamieji laidininkai turi būti išdėstyti taip, kad prisilietimo įtampa neviršytų leistinosios ir kad būtų patogu prijungti įžeminamuosius įrenginius. Atstumas tarp gretimų išilginių ir tarp gretimų skersinių įžeminimo laidininkų turi būti ne didesnis kaip 30 m. Įžeminimo laidininkai turi būti tiesiami ne mažesniame kaip 0,3 m gylyje. Darbo vietose įžeminimo laidininkai tiesiami ne taip giliai tik pagrindus skaičiavimais, jei tai nesumažina įžeminimo laidininkų ilgaamžiškumo ir netrukdo eksploatuoti įrenginių. </w:t>
      </w:r>
    </w:p>
    <w:p>
      <w:pPr>
        <w:widowControl w:val="0"/>
        <w:tabs>
          <w:tab w:val="left" w:pos="-180"/>
          <w:tab w:val="left" w:pos="0"/>
          <w:tab w:val="left" w:pos="1440"/>
        </w:tabs>
        <w:ind w:firstLine="567"/>
        <w:jc w:val="both"/>
      </w:pPr>
      <w:r>
        <w:t>209</w:t>
      </w:r>
      <w:r>
        <w:t>. Įrengiant įžeminimo įrenginį pagal Taisyklių 207 ir 208 punktų reikalavimus, įžeminimo laidininkai, jungiantys įrenginius ar konstrukcijas su įžemintuvu, turi būti tiesiami ne mažesniame kaip 0,3 m gylyje.</w:t>
      </w:r>
    </w:p>
    <w:p>
      <w:pPr>
        <w:widowControl w:val="0"/>
        <w:tabs>
          <w:tab w:val="left" w:pos="-180"/>
          <w:tab w:val="left" w:pos="0"/>
          <w:tab w:val="left" w:pos="1440"/>
        </w:tabs>
        <w:ind w:firstLine="567"/>
        <w:jc w:val="both"/>
      </w:pPr>
      <w:r>
        <w:t>Šalia galios transformatorių neutralių ir trumpiklių įžeminimo vietų keturiomis kryptimis būtina nutiesti išilginius ir skersinius horizontaliuosius įžeminimo laidininkus.</w:t>
      </w:r>
    </w:p>
    <w:p>
      <w:pPr>
        <w:widowControl w:val="0"/>
        <w:tabs>
          <w:tab w:val="left" w:pos="-180"/>
          <w:tab w:val="left" w:pos="0"/>
          <w:tab w:val="left" w:pos="1440"/>
        </w:tabs>
        <w:ind w:firstLine="567"/>
        <w:jc w:val="both"/>
      </w:pPr>
      <w:r>
        <w:t>Įžeminimo įrenginio dalis, esanti už elektros įrenginių teritorijos, turi būti nutiesta ne mažesniame kaip 1 m gylyje ir sudaryti uždarą kontūrą.</w:t>
      </w:r>
    </w:p>
    <w:p>
      <w:pPr>
        <w:widowControl w:val="0"/>
        <w:tabs>
          <w:tab w:val="left" w:pos="-180"/>
          <w:tab w:val="left" w:pos="0"/>
          <w:tab w:val="left" w:pos="1440"/>
        </w:tabs>
        <w:ind w:firstLine="567"/>
        <w:jc w:val="both"/>
      </w:pPr>
      <w:r>
        <w:t>210</w:t>
      </w:r>
      <w:r>
        <w:t>. Jeigu prie pastotės prijungtos 110 kV ar aukštesnės įtampos linijos, tai aptvara turi būti įžeminta pagal visą jos perimetrą, kas 20–50 m ties aptvaros stulpeliais į gruntą įkalant ne trumpesnius kaip 2 m ilgio vertikaliuosius elektrodus. Tokio įžeminimo įrenginio nereikia, jei aptvaros stulpeliai yra metaliniai ar gelžbetoniniai, o jų armatūra elektrai laidžiu ryšiu sujungta su metalinėmis aptvaros dalimis. Kiti reikalavimai:</w:t>
      </w:r>
    </w:p>
    <w:p>
      <w:pPr>
        <w:widowControl w:val="0"/>
        <w:tabs>
          <w:tab w:val="left" w:pos="-180"/>
          <w:tab w:val="left" w:pos="0"/>
          <w:tab w:val="left" w:pos="1440"/>
        </w:tabs>
        <w:ind w:firstLine="567"/>
        <w:jc w:val="both"/>
      </w:pPr>
      <w:r>
        <w:t>210.1</w:t>
      </w:r>
      <w:r>
        <w:t>. Elektros įrenginių įžeminimo įrenginio elementai, nutiesti išilgai aptvaros iš bet kurios pusės, turi būti ne arčiau kaip 2 m nuo aptvaros, kad būtų išvengta tiesioginio laidžiojo ryšio tarp aptvaros ir įžeminimo įrenginio.</w:t>
      </w:r>
    </w:p>
    <w:p>
      <w:pPr>
        <w:widowControl w:val="0"/>
        <w:tabs>
          <w:tab w:val="left" w:pos="-180"/>
          <w:tab w:val="left" w:pos="0"/>
          <w:tab w:val="left" w:pos="1440"/>
        </w:tabs>
        <w:ind w:firstLine="567"/>
        <w:jc w:val="both"/>
      </w:pPr>
      <w:r>
        <w:t>210.2</w:t>
      </w:r>
      <w:r>
        <w:t>. Už aptvaros ribų klojami metaliniai vamzdžiai, kabeliai metaliniu apvalkalu, horizontalieji įžeminimo laidininkai ir kitos metalinės komunikacijos turi būti ne mažesniame kaip 0,5 m gylyje – per vidurį tarp aptvaros stulpelių. Tose vietose, kur aptvara priartėja prie statinių, arba tose vietose, kur metalinė vidaus užtvara priartėja prie aptvaros, turi būti įrengti ne trumpesni kaip 1 m elektrai nelaidžių statybos produktų arba mediniai aptvaros intarpai.</w:t>
      </w:r>
    </w:p>
    <w:p>
      <w:pPr>
        <w:widowControl w:val="0"/>
        <w:tabs>
          <w:tab w:val="left" w:pos="-180"/>
          <w:tab w:val="left" w:pos="0"/>
          <w:tab w:val="left" w:pos="1440"/>
        </w:tabs>
        <w:ind w:firstLine="567"/>
        <w:jc w:val="both"/>
      </w:pPr>
      <w:r>
        <w:t>210.3</w:t>
      </w:r>
      <w:r>
        <w:t>. Jei iki 1000 V įtampos elektros imtuvus reikia įrengti ant aptvaros, jie turi būti prijungti skiriamaisiais transformatoriais. Ant aptvaros šie transformatoriai neturi būti įrengiami. Linija, jungianti skiriamojo transformatoriaus antrinę apviją su elektros imtuvu, įrengtu ant aptvaros, turi būti izoliuota nuo žemės, o šios linijos izoliacijos atsparumas elektrai turi būti parinktas pagal įžeminimo įrenginio įtampą.</w:t>
      </w:r>
    </w:p>
    <w:p>
      <w:pPr>
        <w:widowControl w:val="0"/>
        <w:tabs>
          <w:tab w:val="left" w:pos="-180"/>
          <w:tab w:val="left" w:pos="0"/>
          <w:tab w:val="left" w:pos="1440"/>
        </w:tabs>
        <w:ind w:firstLine="567"/>
        <w:jc w:val="both"/>
      </w:pPr>
      <w:r>
        <w:t>210.4</w:t>
      </w:r>
      <w:r>
        <w:t>. Jeigu bent vienas iš nurodytų reikalavimų neįvykdomas, tai metalines aptvaros dalis būtina sujungti su įžeminimo įrenginiu – išlyginant potencialą taip, kad prisilietimo įtampa tiek iš išorinės, tiek iš vidinės aptvaros pusės neviršytų leistinosios. Jei įžeminimo įrenginys įrengtas pagal leistinąją varžą, tai potencialui išlyginti aptvaros išorėje 1 m atstumu nuo jos (1 m gylyje) turi būti nutiestas horizontalusis įžeminimo laidininkas. Šis laidininkas ne mažiau kaip keturiuose taškuose turi būti prijungtas prie aptvaros ir įžemintuvo.</w:t>
      </w:r>
    </w:p>
    <w:p>
      <w:pPr>
        <w:widowControl w:val="0"/>
        <w:tabs>
          <w:tab w:val="left" w:pos="-180"/>
          <w:tab w:val="left" w:pos="0"/>
          <w:tab w:val="left" w:pos="1440"/>
        </w:tabs>
        <w:ind w:firstLine="567"/>
        <w:jc w:val="both"/>
      </w:pPr>
      <w:r>
        <w:t>211</w:t>
      </w:r>
      <w:r>
        <w:t>. Jeigu prie aukštesnės kaip 1000 V įtampos tiesiogiai įžemintos neutralės tinklo elektros įrenginio įžemintuvo izoliuotu laidininku prijungiamas kito elektros įrenginio įžemintuvas, tai aplink šį elektros įrenginį arba pastatą, kuriame jis yra, reikia papildomai išlyginti potencialą, o jeigu įžemintuvai sujungti neizoliuotu laidininku arba metalinį apvalkalą, šarvą turinčiu kabeliu, tai potencialą reikia išlyginti ir šio ryšio laidininko trasoje. Potencialui išlyginti naudojami žemėje nutiesti laidininkai, esamos metalinės konstrukcijos ir gelžbetoniniai pamatai, sujungti su įžemintuvu ir užtikrinantys reikiamą potencialo išlyginimą. Potencialo išlyginti nereikia, jeigu įvažiavimai, įėjimai ir teritorija aplink pastatus asfaltuota.</w:t>
      </w:r>
    </w:p>
    <w:p>
      <w:pPr>
        <w:widowControl w:val="0"/>
        <w:tabs>
          <w:tab w:val="left" w:pos="-180"/>
          <w:tab w:val="left" w:pos="0"/>
          <w:tab w:val="left" w:pos="1440"/>
        </w:tabs>
        <w:ind w:firstLine="567"/>
        <w:jc w:val="both"/>
      </w:pPr>
      <w:r>
        <w:t>212</w:t>
      </w:r>
      <w:r>
        <w:t>. Iki 1000 V įtampos imtuvai, esantys už 110 kV ir aukštesnės įtampos pastotės įžeminimo įrenginio ribų, neturi būti maitinami iš pastotės teritorijoje esančio transformatoriaus, kurio neutralė yra tiesiogiai įžeminta, kad neatsirastų potencialas už pastotės ribų. Šie imtuvai kabeliais be metalinio apvalkalo ar šarvo arba oro linijomis maitinami iš izoliuotosios neutralės transformatoriaus. Tokie elektros imtuvai maitinami ir per skiriamuosius transformatorius, tačiau paties skiriamojo transformatoriaus ir prie jo antrinės apvijos prijungtų linijų, einančių per 110 kV ir aukštesnės įtampos įrenginių įžemintuvo įrengimo vietą, izoliacijos lygis turi atitikti įžeminimo įrenginio įtampą. Jei nurodytų sąlygų neįmanoma įvykdyti, tai elektros imtuvų išdėstymo teritorijoje reikia išlyginti potencialą.</w:t>
      </w:r>
    </w:p>
    <w:p>
      <w:pPr>
        <w:widowControl w:val="0"/>
        <w:ind w:firstLine="567"/>
        <w:jc w:val="both"/>
      </w:pPr>
    </w:p>
    <w:p>
      <w:pPr>
        <w:widowControl w:val="0"/>
        <w:jc w:val="center"/>
        <w:rPr>
          <w:b/>
        </w:rPr>
      </w:pPr>
      <w:r>
        <w:rPr>
          <w:b/>
        </w:rPr>
        <w:t>PENKTASIS</w:t>
      </w:r>
      <w:r>
        <w:rPr>
          <w:b/>
        </w:rPr>
        <w:t xml:space="preserve"> SKIRSNIS</w:t>
      </w:r>
    </w:p>
    <w:p>
      <w:pPr>
        <w:widowControl w:val="0"/>
        <w:jc w:val="center"/>
        <w:rPr>
          <w:b/>
        </w:rPr>
      </w:pPr>
      <w:r>
        <w:rPr>
          <w:b/>
        </w:rPr>
        <w:t xml:space="preserve">AUKŠTESNĖS KAIP 1000 V ĮTAMPOS ELEKTROS ĮRENGINIŲ ĮŽEMINIMAS IZOLIUOTOSIOS NEUTRALĖS TINKLUOSE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213</w:t>
      </w:r>
      <w:r>
        <w:t>. Aukštesnės kaip 1000 V įtampos elektros įrenginių įžemintuvų varža izoliuotosios neutralės tinkluose apskaičiuojama pagal formulę:</w:t>
      </w:r>
    </w:p>
    <w:p>
      <w:pPr>
        <w:widowControl w:val="0"/>
        <w:tabs>
          <w:tab w:val="left" w:pos="-180"/>
          <w:tab w:val="left" w:pos="0"/>
          <w:tab w:val="left" w:pos="1440"/>
        </w:tabs>
        <w:ind w:firstLine="567"/>
        <w:jc w:val="both"/>
      </w:pPr>
    </w:p>
    <w:p>
      <w:pPr>
        <w:widowControl w:val="0"/>
        <w:tabs>
          <w:tab w:val="right" w:pos="9071"/>
        </w:tabs>
        <w:ind w:left="567"/>
        <w:jc w:val="center"/>
      </w:pPr>
      <w:r>
        <w:rPr>
          <w:position w:val="-24"/>
        </w:rPr>
        <w:object w:dxaOrig="780" w:dyaOrig="615">
          <v:shape id="_x0000_i1039" type="#_x0000_t75" style="width:39.2pt;height:30.4pt" o:ole="" fillcolor="window">
            <v:imagedata r:id="rId47" o:title=""/>
          </v:shape>
          <o:OLEObject Type="Embed" ProgID="Equation.3" ShapeID="_x0000_i1039" DrawAspect="Content" ObjectID="_0000000001" r:id="rId48"/>
        </w:object>
      </w:r>
      <w:r>
        <w:tab/>
        <w:t>(12)</w:t>
      </w:r>
    </w:p>
    <w:p>
      <w:pPr>
        <w:widowControl w:val="0"/>
        <w:tabs>
          <w:tab w:val="left" w:pos="-180"/>
          <w:tab w:val="left" w:pos="0"/>
          <w:tab w:val="left" w:pos="1440"/>
          <w:tab w:val="left" w:pos="6804"/>
          <w:tab w:val="left" w:pos="11482"/>
        </w:tabs>
        <w:ind w:firstLine="567"/>
        <w:jc w:val="both"/>
      </w:pPr>
    </w:p>
    <w:p>
      <w:pPr>
        <w:widowControl w:val="0"/>
        <w:tabs>
          <w:tab w:val="left" w:pos="1134"/>
          <w:tab w:val="left" w:pos="1418"/>
          <w:tab w:val="left" w:pos="1701"/>
        </w:tabs>
        <w:ind w:firstLine="567"/>
        <w:jc w:val="both"/>
      </w:pPr>
      <w:r>
        <w:t xml:space="preserve">čia: U – leistinoji įžeminimo įrenginio įtampa voltais. Aukštesnės kaip 1000 V įtampos įrenginiams U </w:t>
        <w:sym w:font="Symbol" w:char="F03D"/>
        <w:t xml:space="preserve"> 125 V. Jeigu prie įžeminimo įrenginio jungiami žemesnės kaip 1000 V ir aukštesnės kaip 1000 V įtampos elektros įrenginiai, tai U </w:t>
        <w:sym w:font="Symbol" w:char="F03D"/>
        <w:t xml:space="preserve"> 50 V;</w:t>
      </w:r>
    </w:p>
    <w:p>
      <w:pPr>
        <w:widowControl w:val="0"/>
        <w:tabs>
          <w:tab w:val="left" w:pos="-180"/>
          <w:tab w:val="left" w:pos="0"/>
          <w:tab w:val="left" w:pos="1134"/>
          <w:tab w:val="left" w:pos="1418"/>
          <w:tab w:val="left" w:pos="1701"/>
        </w:tabs>
        <w:ind w:firstLine="567"/>
        <w:jc w:val="both"/>
      </w:pPr>
      <w:r>
        <w:t>I – skaičiuojamoji įžemėjimo srovė amperais.</w:t>
      </w:r>
    </w:p>
    <w:p>
      <w:pPr>
        <w:widowControl w:val="0"/>
        <w:tabs>
          <w:tab w:val="left" w:pos="-180"/>
          <w:tab w:val="left" w:pos="0"/>
          <w:tab w:val="left" w:pos="1440"/>
        </w:tabs>
        <w:ind w:firstLine="567"/>
        <w:jc w:val="both"/>
      </w:pPr>
      <w:r>
        <w:t>Skaičiuojamąja įžemėjimo srove turi būti laikoma:</w:t>
      </w:r>
    </w:p>
    <w:p>
      <w:pPr>
        <w:widowControl w:val="0"/>
        <w:tabs>
          <w:tab w:val="left" w:pos="-180"/>
          <w:tab w:val="left" w:pos="0"/>
          <w:tab w:val="left" w:pos="567"/>
          <w:tab w:val="left" w:pos="1440"/>
        </w:tabs>
        <w:ind w:firstLine="567"/>
        <w:jc w:val="both"/>
      </w:pPr>
      <w:r>
        <w:t>213.1</w:t>
      </w:r>
      <w:r>
        <w:t>. izoliuotosios neutralės tinklo įžemėjimo srovė;</w:t>
      </w:r>
    </w:p>
    <w:p>
      <w:pPr>
        <w:widowControl w:val="0"/>
        <w:tabs>
          <w:tab w:val="left" w:pos="-180"/>
          <w:tab w:val="left" w:pos="0"/>
          <w:tab w:val="left" w:pos="567"/>
          <w:tab w:val="left" w:pos="1440"/>
        </w:tabs>
        <w:ind w:firstLine="567"/>
        <w:jc w:val="both"/>
      </w:pPr>
      <w:r>
        <w:t>213.2</w:t>
      </w:r>
      <w:r>
        <w:t>. 100 proc. kompensavimo įrenginių vardinės srovės tiems įžeminimo įrenginiams, prie kurių jungiami kompensavimo aparatai kompensuotosios neutralės tinkle;</w:t>
      </w:r>
    </w:p>
    <w:p>
      <w:pPr>
        <w:widowControl w:val="0"/>
        <w:tabs>
          <w:tab w:val="left" w:pos="-180"/>
          <w:tab w:val="left" w:pos="0"/>
          <w:tab w:val="left" w:pos="567"/>
          <w:tab w:val="left" w:pos="1440"/>
        </w:tabs>
        <w:ind w:firstLine="567"/>
        <w:jc w:val="both"/>
      </w:pPr>
      <w:r>
        <w:t>213.3</w:t>
      </w:r>
      <w:r>
        <w:t>. liekamoji įžemėjimo srovė, kai išjungtas galingiausias kompensavimo įrenginys arba atjungta labiausiai išsišakojusi tinklo dalis tiems įžeminimo įrenginiams, prie kurių nejungiami kompensavimo įrenginiai kompensuotosios neutralės tinkle.</w:t>
      </w:r>
    </w:p>
    <w:p>
      <w:pPr>
        <w:widowControl w:val="0"/>
        <w:tabs>
          <w:tab w:val="left" w:pos="-180"/>
          <w:tab w:val="left" w:pos="0"/>
          <w:tab w:val="left" w:pos="567"/>
          <w:tab w:val="left" w:pos="1440"/>
        </w:tabs>
        <w:ind w:firstLine="567"/>
        <w:jc w:val="both"/>
      </w:pPr>
      <w:r>
        <w:t xml:space="preserve">Aukštesnės kaip 1000 V įtampos įrenginių įžeminimo varža turi būti ne didesnė kaip 10 </w:t>
      </w:r>
      <w:r>
        <w:rPr>
          <w:position w:val="-4"/>
        </w:rPr>
        <w:object w:dxaOrig="255" w:dyaOrig="255">
          <v:shape id="_x0000_i1040" type="#_x0000_t75" style="width:12.8pt;height:12.8pt" o:ole="">
            <v:imagedata r:id="rId49" o:title=""/>
          </v:shape>
          <o:OLEObject Type="Embed" ProgID="Equation.3" ShapeID="_x0000_i1040" DrawAspect="Content" ObjectID="_0000000001" r:id="rId50"/>
        </w:object>
      </w:r>
      <w:r>
        <w:t>, išskyrus elektros įrenginių, įrengtų ant oro linijų atramų, įžemintuvų varžas. Didžiausios leistinosios elektros įrenginių, įrengtų ant oro linijų atramų, įžemintuvų varžos pateiktos Taisyklių 4 priedo 6 lentelėje. Jungiant prie to paties įžeminimo įrenginio aukštesnės kaip 1000 V ir žemesnės kaip 1000 V įtampos įrenginius, įžeminimo įrenginio varža turi atitikti Taisyklių 217 ir 220 punktų reikalavimus. Šiuo atveju formulė (12) netaikoma.</w:t>
      </w:r>
    </w:p>
    <w:p>
      <w:pPr>
        <w:widowControl w:val="0"/>
        <w:tabs>
          <w:tab w:val="left" w:pos="-180"/>
          <w:tab w:val="left" w:pos="0"/>
          <w:tab w:val="left" w:pos="567"/>
          <w:tab w:val="left" w:pos="1440"/>
        </w:tabs>
        <w:ind w:firstLine="567"/>
        <w:jc w:val="both"/>
      </w:pPr>
      <w:r>
        <w:t>Skaičiuojamąja įžemėjimo srove laikoma saugiklio lyduko vardinė srovė arba vienfazio įžemėjimo ir tarpfazių trumpųjų jungimų relinės apsaugos suveikimo srovė.</w:t>
      </w:r>
    </w:p>
    <w:p>
      <w:pPr>
        <w:widowControl w:val="0"/>
        <w:tabs>
          <w:tab w:val="left" w:pos="-180"/>
          <w:tab w:val="left" w:pos="0"/>
          <w:tab w:val="left" w:pos="567"/>
          <w:tab w:val="left" w:pos="1440"/>
        </w:tabs>
        <w:ind w:firstLine="567"/>
        <w:jc w:val="both"/>
      </w:pPr>
      <w:r>
        <w:t>Skaičiuojant įžeminimo įrenginius pagal leistinąją prisilietimo įtampą, ši įtampa turi būti ne aukštesnė, kaip nurodyta Taisyklių 4 priedo 1 lentelėje, o jeigu įtampa išlieka ilgą laiką, tai ji turi būti ne aukštesnė kaip 50 V.</w:t>
      </w:r>
    </w:p>
    <w:p>
      <w:pPr>
        <w:widowControl w:val="0"/>
        <w:tabs>
          <w:tab w:val="left" w:pos="-180"/>
          <w:tab w:val="left" w:pos="0"/>
          <w:tab w:val="left" w:pos="567"/>
          <w:tab w:val="left" w:pos="1440"/>
        </w:tabs>
        <w:ind w:firstLine="567"/>
        <w:jc w:val="both"/>
      </w:pPr>
      <w:r>
        <w:t>Didelės savitosios varžos gruntuose nurodytas pavienių įžemintuvų leistinosios varžos padidinamos pagal Taisyklių 222 punkto nurodymus.</w:t>
      </w:r>
    </w:p>
    <w:p>
      <w:pPr>
        <w:widowControl w:val="0"/>
        <w:tabs>
          <w:tab w:val="left" w:pos="-180"/>
          <w:tab w:val="left" w:pos="0"/>
          <w:tab w:val="left" w:pos="567"/>
          <w:tab w:val="left" w:pos="1440"/>
        </w:tabs>
        <w:ind w:firstLine="567"/>
        <w:jc w:val="both"/>
      </w:pPr>
      <w:r>
        <w:t>214</w:t>
      </w:r>
      <w:r>
        <w:t xml:space="preserve">. Aplink atvirų aukštesnės kaip 1000 V įtampos izoliuotosios neutralės elektros įrenginių teritoriją ne mažesniame kaip 0,5 m gylyje turi būti įrengtas uždaro kontūro įžemintuvas. </w:t>
      </w:r>
    </w:p>
    <w:p>
      <w:pPr>
        <w:widowControl w:val="0"/>
        <w:tabs>
          <w:tab w:val="left" w:pos="-180"/>
          <w:tab w:val="left" w:pos="0"/>
          <w:tab w:val="left" w:pos="567"/>
          <w:tab w:val="left" w:pos="1440"/>
        </w:tabs>
        <w:ind w:firstLine="567"/>
        <w:jc w:val="both"/>
      </w:pPr>
    </w:p>
    <w:p>
      <w:pPr>
        <w:widowControl w:val="0"/>
        <w:jc w:val="center"/>
        <w:rPr>
          <w:b/>
        </w:rPr>
      </w:pPr>
      <w:r>
        <w:rPr>
          <w:b/>
        </w:rPr>
        <w:t>ŠEŠTASIS</w:t>
      </w:r>
      <w:r>
        <w:rPr>
          <w:b/>
        </w:rPr>
        <w:t xml:space="preserve"> SKIRSNIS</w:t>
      </w:r>
    </w:p>
    <w:p>
      <w:pPr>
        <w:widowControl w:val="0"/>
        <w:jc w:val="center"/>
        <w:rPr>
          <w:b/>
        </w:rPr>
      </w:pPr>
      <w:r>
        <w:rPr>
          <w:b/>
        </w:rPr>
        <w:t xml:space="preserve">IKI 1000 V ĮTAMPOS ELEKTROS ĮRENGINIŲ ĮŽEMINIMAS TIESIOGIAI ĮŽEMINTOS NEUTRALĖS TINKLUOSE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215</w:t>
      </w:r>
      <w:r>
        <w:t>. Generatoriaus ir transformatoriaus neutralės turi būti įžemintos. Įžemintuvas turi būti įrengtas kuo arčiau generatoriaus ar transformatoriaus. Pastatuose įrengiamų pastočių įžemintuvai įrengiami viduje arba išorėje šalia pastatų.</w:t>
      </w:r>
    </w:p>
    <w:p>
      <w:pPr>
        <w:widowControl w:val="0"/>
        <w:tabs>
          <w:tab w:val="left" w:pos="-180"/>
          <w:tab w:val="left" w:pos="0"/>
          <w:tab w:val="left" w:pos="1440"/>
        </w:tabs>
        <w:ind w:firstLine="567"/>
        <w:jc w:val="both"/>
      </w:pPr>
      <w:r>
        <w:t>216</w:t>
      </w:r>
      <w:r>
        <w:t>. Generatoriaus ar transformatoriaus neutralę su skirstyklos skydu jungiantis nulinis laidininkas turi būti šyna, įrengta ant izoliatorių, jeigu fazių laidininkai yra šynos. Jeigu jungiama kabeliu, tai nulinis laidininkas turi būti ketvirtoji kabelio gysla arba kabelio aliumininis apvalkalas. Nulinio laidininko, jungiančio generatoriaus ar transformatoriaus neutralę su skirstyklomis, laidumas turi būti toks pats kaip ir fazinio laidininko. Jei TN-S posistemėje nuliniu laidininku sujungta generatoriaus arba transformatoriaus neutralė su skirstyklos skydu, skirstyklos skydą įnulinti draudžiama.</w:t>
      </w:r>
    </w:p>
    <w:p>
      <w:pPr>
        <w:widowControl w:val="0"/>
        <w:tabs>
          <w:tab w:val="left" w:pos="-180"/>
          <w:tab w:val="left" w:pos="0"/>
          <w:tab w:val="left" w:pos="1440"/>
        </w:tabs>
        <w:ind w:firstLine="567"/>
        <w:jc w:val="both"/>
      </w:pPr>
      <w:r>
        <w:t>217</w:t>
      </w:r>
      <w:r>
        <w:t xml:space="preserve">. Įžeminimo įrenginių, prie kurių jungiamos generatorių ar transformatorių iki 1000 V įtampos apvijų neutralės arba vienfazių šaltinių apvijų taškai, varžos turi būti ne didesnės kaip 10 </w:t>
      </w:r>
      <w:r>
        <w:rPr>
          <w:position w:val="-4"/>
        </w:rPr>
        <w:object w:dxaOrig="255" w:dyaOrig="255">
          <v:shape id="_x0000_i1041" type="#_x0000_t75" style="width:12.8pt;height:12.8pt" o:ole="">
            <v:imagedata r:id="rId51" o:title=""/>
          </v:shape>
          <o:OLEObject Type="Embed" ProgID="Equation.3" ShapeID="_x0000_i1041" DrawAspect="Content" ObjectID="_0000000001" r:id="rId52"/>
        </w:object>
      </w:r>
      <w:r>
        <w:t xml:space="preserve">. TN sistemos tinkle generatorių, transformatorių ir visų pakartotinių nulinio laido įžeminimo įrenginių atstojamoji varža turi būti ne didesnė kaip 2,5 </w:t>
      </w:r>
      <w:r>
        <w:rPr>
          <w:position w:val="-4"/>
        </w:rPr>
        <w:object w:dxaOrig="255" w:dyaOrig="255">
          <v:shape id="_x0000_i1042" type="#_x0000_t75" style="width:12.8pt;height:12.8pt" o:ole="">
            <v:imagedata r:id="rId53" o:title=""/>
          </v:shape>
          <o:OLEObject Type="Embed" ProgID="Equation.3" ShapeID="_x0000_i1042" DrawAspect="Content" ObjectID="_0000000001" r:id="rId54"/>
        </w:object>
      </w:r>
      <w:r>
        <w:t>. TT sistemos tinkle įžeminimo įrenginių varža turi būti nustatoma pagal Taisyklių 197 punkto reikalavimus.</w:t>
      </w:r>
    </w:p>
    <w:p>
      <w:pPr>
        <w:widowControl w:val="0"/>
        <w:tabs>
          <w:tab w:val="left" w:pos="-180"/>
          <w:tab w:val="left" w:pos="0"/>
          <w:tab w:val="left" w:pos="1440"/>
        </w:tabs>
        <w:ind w:firstLine="567"/>
        <w:jc w:val="both"/>
      </w:pPr>
      <w:r>
        <w:t xml:space="preserve">Jei savitoji grunto varža </w:t>
      </w:r>
      <w:r>
        <w:rPr>
          <w:i/>
        </w:rPr>
        <w:t>ρ</w:t>
      </w:r>
      <w:r>
        <w:t xml:space="preserve"> didesnė kaip 100 </w:t>
      </w:r>
      <w:r>
        <w:rPr>
          <w:position w:val="-4"/>
        </w:rPr>
        <w:object w:dxaOrig="255" w:dyaOrig="255">
          <v:shape id="_x0000_i1043" type="#_x0000_t75" style="width:12.8pt;height:12.8pt" o:ole="">
            <v:imagedata r:id="rId55" o:title=""/>
          </v:shape>
          <o:OLEObject Type="Embed" ProgID="Equation.3" ShapeID="_x0000_i1043" DrawAspect="Content" ObjectID="_0000000001" r:id="rId56"/>
        </w:object>
      </w:r>
      <w:r>
        <w:t xml:space="preserve"> m, nurodytoji pavienių įžemintuvų leistinoji varža padidinama 0,01</w:t>
      </w:r>
      <w:r>
        <w:rPr>
          <w:vanish/>
        </w:rPr>
        <w:t xml:space="preserve"> </w:t>
      </w:r>
      <w:r>
        <w:rPr>
          <w:i/>
        </w:rPr>
        <w:t>ρ</w:t>
      </w:r>
      <w:r>
        <w:t xml:space="preserve"> karto, bet ne daugiau kaip 10 kartų. </w:t>
      </w:r>
    </w:p>
    <w:p>
      <w:pPr>
        <w:tabs>
          <w:tab w:val="left" w:pos="-180"/>
          <w:tab w:val="left" w:pos="0"/>
          <w:tab w:val="left" w:pos="1440"/>
        </w:tabs>
        <w:ind w:firstLine="567"/>
        <w:jc w:val="both"/>
        <w:rPr>
          <w:szCs w:val="24"/>
        </w:rPr>
      </w:pPr>
      <w:r>
        <w:t>218</w:t>
      </w:r>
      <w:r>
        <w:t xml:space="preserve">. </w:t>
      </w:r>
      <w:r>
        <w:rPr>
          <w:szCs w:val="24"/>
        </w:rPr>
        <w:t>Įrenginiams įnulinti taip pat naudojamas kabelių arba elektros oro linijų apsauginis nulinis laidininkas, nutiestas ant tų pačių atramų kaip ir faziniai laidai.</w:t>
      </w:r>
    </w:p>
    <w:p>
      <w:pPr>
        <w:tabs>
          <w:tab w:val="left" w:pos="-180"/>
          <w:tab w:val="left" w:pos="0"/>
          <w:tab w:val="left" w:pos="1440"/>
        </w:tabs>
        <w:ind w:firstLine="567"/>
        <w:jc w:val="both"/>
        <w:rPr>
          <w:szCs w:val="24"/>
        </w:rPr>
      </w:pPr>
      <w:r>
        <w:rPr>
          <w:szCs w:val="24"/>
        </w:rPr>
        <w:t xml:space="preserve">TN tinklų sistemoje apsauginis nulinis laidininkas turi būti pakartotinai įžemintas oro linijų, požeminių ir oro kabelių linijų ir ilgesnių kaip </w:t>
      </w:r>
      <w:smartTag w:uri="urn:schemas-microsoft-com:office:smarttags" w:element="metricconverter">
        <w:smartTagPr>
          <w:attr w:name="ProductID" w:val="200ﾠm"/>
        </w:smartTagPr>
        <w:r>
          <w:rPr>
            <w:szCs w:val="24"/>
          </w:rPr>
          <w:t>200 m</w:t>
        </w:r>
      </w:smartTag>
      <w:r>
        <w:rPr>
          <w:szCs w:val="24"/>
        </w:rPr>
        <w:t xml:space="preserve"> linijų atšakų galuose. Šis laidininkas taip pat turi būti pakartotinai įžeminamas oro ir oro kabelių linijų atramose, prie kurių jungiami atvadai, arba įvadinėje spintoje, jeigu vartotojų įrenginiai įnulinami apsauginiu laidininku PE. Pakartotinai įžeminant nulinį laidininką taip pat panaudojamas ir vartotojo įžemintuvas. Vartotojo įžeminimo įrenginių varža turi būti ne didesnė kaip 10 </w:t>
        <w:sym w:font="Symbol" w:char="F057"/>
        <w:t>.</w:t>
      </w:r>
    </w:p>
    <w:p>
      <w:pPr>
        <w:tabs>
          <w:tab w:val="left" w:pos="-180"/>
          <w:tab w:val="left" w:pos="0"/>
          <w:tab w:val="left" w:pos="1440"/>
        </w:tabs>
        <w:ind w:firstLine="567"/>
        <w:jc w:val="both"/>
        <w:rPr>
          <w:szCs w:val="24"/>
        </w:rPr>
      </w:pPr>
      <w:r>
        <w:rPr>
          <w:szCs w:val="24"/>
        </w:rPr>
        <w:t>Apsauginio nulinio laidininko pakartotinio įžeminimo įrenginio varža turi būti ne didesnė kaip 10 </w:t>
        <w:sym w:font="Symbol" w:char="F057"/>
        <w:t>.</w:t>
      </w:r>
    </w:p>
    <w:p>
      <w:pPr>
        <w:tabs>
          <w:tab w:val="left" w:pos="-180"/>
          <w:tab w:val="left" w:pos="0"/>
          <w:tab w:val="left" w:pos="1440"/>
        </w:tabs>
        <w:ind w:firstLine="567"/>
        <w:jc w:val="both"/>
        <w:rPr>
          <w:szCs w:val="24"/>
        </w:rPr>
      </w:pPr>
      <w:r>
        <w:rPr>
          <w:szCs w:val="24"/>
        </w:rPr>
        <w:t>Kiekvienos oro ir kabelių linijų apsauginio nulinio laidininko pakartotinių įžeminimo įrenginių atstojamoji varža turi būti ne didesnė kaip 10 </w:t>
        <w:sym w:font="Symbol" w:char="F057"/>
        <w:t>.</w:t>
      </w:r>
    </w:p>
    <w:p>
      <w:pPr>
        <w:tabs>
          <w:tab w:val="left" w:pos="-180"/>
          <w:tab w:val="left" w:pos="0"/>
          <w:tab w:val="left" w:pos="1440"/>
        </w:tabs>
        <w:ind w:firstLine="567"/>
        <w:jc w:val="both"/>
        <w:rPr>
          <w:szCs w:val="24"/>
        </w:rPr>
      </w:pPr>
      <w:r>
        <w:rPr>
          <w:szCs w:val="24"/>
        </w:rPr>
        <w:t>Įrenginiams įžeminti pirmiausia turi būti panaudoti visi natūralieji įžemintuvai ir įžeminimo įrenginiai, skirti apsaugai nuo atmosferinių viršįtampių.</w:t>
      </w:r>
    </w:p>
    <w:p>
      <w:pPr>
        <w:tabs>
          <w:tab w:val="left" w:pos="-180"/>
          <w:tab w:val="left" w:pos="0"/>
          <w:tab w:val="left" w:pos="1440"/>
        </w:tabs>
        <w:ind w:firstLine="567"/>
        <w:jc w:val="both"/>
        <w:rPr>
          <w:szCs w:val="24"/>
        </w:rPr>
      </w:pPr>
      <w:r>
        <w:rPr>
          <w:szCs w:val="24"/>
        </w:rPr>
        <w:t>Nuolatinės srovės tinkluose nulinio (neigiamo) poliaus laidininkui pakartotinai įžeminti turi būti naudojami tik dirbtiniai įžeminimo įrenginiai, nesujungti su kitos paskirties metaliniais požeminiais vamzdynais. Šiam tikslui taip pat naudojami įžeminimo įrenginiai, skirti apsaugai nuo atmosferinių viršįtampių.</w:t>
      </w:r>
    </w:p>
    <w:p>
      <w:pPr>
        <w:tabs>
          <w:tab w:val="left" w:pos="-180"/>
          <w:tab w:val="left" w:pos="0"/>
          <w:tab w:val="left" w:pos="1440"/>
        </w:tabs>
        <w:ind w:firstLine="567"/>
        <w:jc w:val="both"/>
      </w:pPr>
      <w:r>
        <w:rPr>
          <w:szCs w:val="24"/>
        </w:rPr>
        <w:t xml:space="preserve">Jei savitoji grunto varža </w:t>
        <w:sym w:font="Symbol" w:char="F072"/>
        <w:t xml:space="preserve"> didesnė kaip 100 </w:t>
        <w:sym w:font="Symbol" w:char="F057"/>
        <w:t>m, nurodytos pavienių įžemintuvų leistinosios varžos padidinamos 0,01</w:t>
        <w:sym w:font="Symbol" w:char="F072"/>
        <w:t xml:space="preserve"> karto, bet ne daugiau kaip 10 kartų.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widowControl w:val="0"/>
        <w:tabs>
          <w:tab w:val="left" w:pos="-180"/>
          <w:tab w:val="left" w:pos="0"/>
          <w:tab w:val="left" w:pos="1440"/>
        </w:tabs>
        <w:ind w:firstLine="567"/>
        <w:jc w:val="both"/>
      </w:pPr>
      <w:r>
        <w:t>219</w:t>
      </w:r>
      <w:r>
        <w:t>. Laidininkai, naudojami apsauginiam nuliniam laidui pakartotinai įžeminti, turi būti parinkti ne mažesnei kaip 25 A dydžio ilgalaikei srovei.</w:t>
      </w:r>
    </w:p>
    <w:p>
      <w:pPr>
        <w:widowControl w:val="0"/>
        <w:tabs>
          <w:tab w:val="left" w:pos="-180"/>
          <w:tab w:val="left" w:pos="0"/>
          <w:tab w:val="left" w:pos="1440"/>
        </w:tabs>
        <w:ind w:firstLine="567"/>
        <w:jc w:val="both"/>
      </w:pPr>
      <w:r>
        <w:t>Leistinoji prisilietimo įtampa eksploatuojant elektros įrenginius turi būti ne aukštesnė kaip nurodyta Taisyklių 4 priedo 1 lentelėje, o jeigu įtampa išlieka ilgą laiką, tai ji turi būti ne aukštesnė kaip 50 V, esant kintamosios ir 75 V nuolatinės srovės įtampai.</w:t>
      </w:r>
    </w:p>
    <w:p>
      <w:pPr>
        <w:widowControl w:val="0"/>
        <w:tabs>
          <w:tab w:val="left" w:pos="-180"/>
          <w:tab w:val="left" w:pos="0"/>
          <w:tab w:val="left" w:pos="1440"/>
        </w:tabs>
        <w:ind w:firstLine="567"/>
        <w:jc w:val="both"/>
      </w:pPr>
    </w:p>
    <w:p>
      <w:pPr>
        <w:widowControl w:val="0"/>
        <w:tabs>
          <w:tab w:val="left" w:pos="-180"/>
          <w:tab w:val="left" w:pos="0"/>
          <w:tab w:val="left" w:pos="1440"/>
        </w:tabs>
        <w:jc w:val="center"/>
        <w:rPr>
          <w:b/>
        </w:rPr>
      </w:pPr>
      <w:r>
        <w:rPr>
          <w:b/>
        </w:rPr>
        <w:t>SEPTINTASIS</w:t>
      </w:r>
      <w:r>
        <w:rPr>
          <w:b/>
        </w:rPr>
        <w:t xml:space="preserve"> SKIRSNIS</w:t>
      </w:r>
    </w:p>
    <w:p>
      <w:pPr>
        <w:widowControl w:val="0"/>
        <w:tabs>
          <w:tab w:val="left" w:pos="-180"/>
          <w:tab w:val="left" w:pos="0"/>
          <w:tab w:val="left" w:pos="1440"/>
        </w:tabs>
        <w:jc w:val="center"/>
        <w:rPr>
          <w:b/>
        </w:rPr>
      </w:pPr>
      <w:r>
        <w:rPr>
          <w:b/>
        </w:rPr>
        <w:t xml:space="preserve">IKI 1000 V ĮTAMPOS ELEKTROS ĮRENGINIŲ ĮŽEMINIMAS IZOLIUOTOSIOS NEUTRALĖS TINKLUOSE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 w:val="left" w:pos="6804"/>
          <w:tab w:val="left" w:pos="11482"/>
        </w:tabs>
        <w:ind w:firstLine="567"/>
        <w:jc w:val="both"/>
      </w:pPr>
      <w:r>
        <w:t>220</w:t>
      </w:r>
      <w:r>
        <w:t>. Iki 1000 V įtampos izoliuotosios neutralės tinkluose elektros įrenginiai turi būti įžeminti. Įžeminimo įrenginio varža nustatoma pagal Taisyklių 198 punkto reikalavimus.</w:t>
      </w:r>
    </w:p>
    <w:p>
      <w:pPr>
        <w:widowControl w:val="0"/>
        <w:jc w:val="center"/>
      </w:pPr>
    </w:p>
    <w:p>
      <w:pPr>
        <w:widowControl w:val="0"/>
        <w:jc w:val="center"/>
        <w:rPr>
          <w:b/>
        </w:rPr>
      </w:pPr>
      <w:r>
        <w:rPr>
          <w:b/>
        </w:rPr>
        <w:t>AŠTUNTASIS</w:t>
      </w:r>
      <w:r>
        <w:rPr>
          <w:b/>
        </w:rPr>
        <w:t xml:space="preserve"> SKIRSNIS</w:t>
      </w:r>
    </w:p>
    <w:p>
      <w:pPr>
        <w:widowControl w:val="0"/>
        <w:jc w:val="center"/>
        <w:rPr>
          <w:b/>
        </w:rPr>
      </w:pPr>
      <w:r>
        <w:rPr>
          <w:b/>
        </w:rPr>
        <w:t xml:space="preserve">ELEKTROS ĮRENGINIŲ ĮŽEMINIMAS DIDELĖS SAVITOSIOS VARŽOS GRUNTE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221</w:t>
      </w:r>
      <w:r>
        <w:t>. Aukštesnės kaip 1000 V įtampos tiesiogiai įžemintos neutralės tinkluose įžeminimo įrenginiai didelės savitosios varžos grunte įrengiami atsižvelgiant į prisilietimo įtampos reikalavimus.</w:t>
      </w:r>
    </w:p>
    <w:p>
      <w:pPr>
        <w:widowControl w:val="0"/>
        <w:tabs>
          <w:tab w:val="left" w:pos="-180"/>
          <w:tab w:val="left" w:pos="0"/>
          <w:tab w:val="left" w:pos="567"/>
          <w:tab w:val="left" w:pos="1440"/>
        </w:tabs>
        <w:ind w:firstLine="567"/>
        <w:jc w:val="both"/>
      </w:pPr>
      <w:r>
        <w:t>222</w:t>
      </w:r>
      <w:r>
        <w:t>. Didelės savitosios varžos grunte naudojami dirbtiniai įžemintuvai:</w:t>
      </w:r>
    </w:p>
    <w:p>
      <w:pPr>
        <w:widowControl w:val="0"/>
        <w:tabs>
          <w:tab w:val="left" w:pos="-180"/>
          <w:tab w:val="left" w:pos="0"/>
          <w:tab w:val="left" w:pos="567"/>
          <w:tab w:val="left" w:pos="709"/>
          <w:tab w:val="left" w:pos="993"/>
          <w:tab w:val="left" w:pos="1440"/>
        </w:tabs>
        <w:ind w:firstLine="567"/>
        <w:jc w:val="both"/>
      </w:pPr>
      <w:r>
        <w:t>222.1</w:t>
      </w:r>
      <w:r>
        <w:t>. giluminiai įžemintuvai, jeigu giliau savitoji grunto varža mažesnė;</w:t>
      </w:r>
    </w:p>
    <w:p>
      <w:pPr>
        <w:widowControl w:val="0"/>
        <w:tabs>
          <w:tab w:val="left" w:pos="-180"/>
          <w:tab w:val="left" w:pos="0"/>
          <w:tab w:val="left" w:pos="567"/>
          <w:tab w:val="left" w:pos="709"/>
          <w:tab w:val="left" w:pos="993"/>
          <w:tab w:val="left" w:pos="1440"/>
        </w:tabs>
        <w:ind w:firstLine="567"/>
        <w:jc w:val="both"/>
      </w:pPr>
      <w:r>
        <w:t>222.2</w:t>
      </w:r>
      <w:r>
        <w:t>. nutolusieji įžemintuvai, jei toliau nuo elektros įrenginio yra mažesnės savitosios varžos gruntas;</w:t>
      </w:r>
    </w:p>
    <w:p>
      <w:pPr>
        <w:widowControl w:val="0"/>
        <w:tabs>
          <w:tab w:val="left" w:pos="-180"/>
          <w:tab w:val="left" w:pos="0"/>
          <w:tab w:val="left" w:pos="567"/>
          <w:tab w:val="left" w:pos="709"/>
          <w:tab w:val="left" w:pos="993"/>
          <w:tab w:val="left" w:pos="1440"/>
        </w:tabs>
        <w:ind w:firstLine="567"/>
        <w:jc w:val="both"/>
      </w:pPr>
      <w:r>
        <w:t>222.3</w:t>
      </w:r>
      <w:r>
        <w:t>. horizontalieji įžemintuvai, užpylus tranšėjas drėgnu moliu, jį suspaudus ir užpylus skalda.</w:t>
      </w:r>
    </w:p>
    <w:p>
      <w:pPr>
        <w:widowControl w:val="0"/>
        <w:tabs>
          <w:tab w:val="left" w:pos="-180"/>
          <w:tab w:val="left" w:pos="0"/>
          <w:tab w:val="left" w:pos="567"/>
          <w:tab w:val="left" w:pos="1440"/>
        </w:tabs>
        <w:ind w:firstLine="567"/>
        <w:jc w:val="both"/>
      </w:pPr>
      <w:r>
        <w:t>Savitajai grunto varžai sumažinti atitinkamai apdorojamas gruntas, jeigu kiti būdai nenaudojami arba neduoda reikiamo efekto.</w:t>
      </w:r>
    </w:p>
    <w:p>
      <w:pPr>
        <w:widowControl w:val="0"/>
        <w:tabs>
          <w:tab w:val="left" w:pos="-180"/>
          <w:tab w:val="left" w:pos="0"/>
          <w:tab w:val="left" w:pos="567"/>
          <w:tab w:val="left" w:pos="1440"/>
        </w:tabs>
        <w:ind w:firstLine="567"/>
        <w:jc w:val="both"/>
      </w:pPr>
      <w:r>
        <w:t>223</w:t>
      </w:r>
      <w:r>
        <w:t>. Aukštesnės kaip 1000 V įtampos elektros įrenginiuose, taip pat iki 1000 V įtampos izoliuotosios neutralės elektros įrenginiuose įžeminimo leistinosios varžos padidinamos 0,002</w:t>
      </w:r>
      <w:r>
        <w:rPr>
          <w:vanish/>
        </w:rPr>
        <w:t xml:space="preserve">  </w:t>
      </w:r>
      <w:r>
        <w:rPr>
          <w:position w:val="-10"/>
        </w:rPr>
        <w:object w:dxaOrig="240" w:dyaOrig="255">
          <v:shape id="_x0000_i1044" type="#_x0000_t75" style="width:12pt;height:12.8pt" o:ole="">
            <v:imagedata r:id="rId57" o:title=""/>
          </v:shape>
          <o:OLEObject Type="Embed" ProgID="Equation.3" ShapeID="_x0000_i1044" DrawAspect="Content" ObjectID="_0000000001" r:id="rId58"/>
        </w:object>
      </w:r>
      <w:r>
        <w:t xml:space="preserve"> karto, jeigu savitoji grunto varža </w:t>
      </w:r>
      <w:r>
        <w:rPr>
          <w:vanish/>
        </w:rPr>
        <w:t xml:space="preserve"> </w:t>
      </w:r>
      <w:r>
        <w:rPr>
          <w:position w:val="-10"/>
        </w:rPr>
        <w:object w:dxaOrig="240" w:dyaOrig="255">
          <v:shape id="_x0000_i1045" type="#_x0000_t75" style="width:12pt;height:12.8pt" o:ole="">
            <v:imagedata r:id="rId59" o:title=""/>
          </v:shape>
          <o:OLEObject Type="Embed" ProgID="Equation.3" ShapeID="_x0000_i1045" DrawAspect="Content" ObjectID="_0000000001" r:id="rId60"/>
        </w:object>
      </w:r>
      <w:r>
        <w:t xml:space="preserve"> </w:t>
        <w:sym w:font="Symbol" w:char="F03E"/>
        <w:t xml:space="preserve"> 500 </w:t>
      </w:r>
      <w:r>
        <w:rPr>
          <w:position w:val="-4"/>
        </w:rPr>
        <w:object w:dxaOrig="255" w:dyaOrig="255">
          <v:shape id="_x0000_i1046" type="#_x0000_t75" style="width:12.8pt;height:12.8pt" o:ole="">
            <v:imagedata r:id="rId61" o:title=""/>
          </v:shape>
          <o:OLEObject Type="Embed" ProgID="Equation.3" ShapeID="_x0000_i1046" DrawAspect="Content" ObjectID="_0000000001" r:id="rId62"/>
        </w:object>
      </w:r>
      <w:r>
        <w:t xml:space="preserve"> m ir jeigu įgyvendinus Taisyklių 221 ir 222 punktuose nurodytas priemones nėra galimybės įrengti ekonomiškai priimtinų įžemintuvų. Tačiau šiame skirsnyje nurodomos įžeminimo įrenginių varžos neturi padidėti daugiau kaip 10 kartų, o prisilietimo įtampa turi neviršyti leistinųjų dydžių.</w:t>
      </w:r>
    </w:p>
    <w:p>
      <w:pPr>
        <w:widowControl w:val="0"/>
        <w:ind w:firstLine="567"/>
        <w:jc w:val="both"/>
      </w:pPr>
    </w:p>
    <w:p>
      <w:pPr>
        <w:widowControl w:val="0"/>
        <w:jc w:val="center"/>
        <w:rPr>
          <w:b/>
        </w:rPr>
      </w:pPr>
      <w:r>
        <w:rPr>
          <w:b/>
        </w:rPr>
        <w:t>DEVINTASIS</w:t>
      </w:r>
      <w:r>
        <w:rPr>
          <w:b/>
        </w:rPr>
        <w:t xml:space="preserve"> SKIRSNIS</w:t>
      </w:r>
    </w:p>
    <w:p>
      <w:pPr>
        <w:widowControl w:val="0"/>
        <w:jc w:val="center"/>
        <w:rPr>
          <w:b/>
        </w:rPr>
      </w:pPr>
      <w:r>
        <w:rPr>
          <w:b/>
        </w:rPr>
        <w:t xml:space="preserve">ĮŽEMINTUVAI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224</w:t>
      </w:r>
      <w:r>
        <w:t>. Natūralieji įžemintuvai yra:</w:t>
      </w:r>
    </w:p>
    <w:p>
      <w:pPr>
        <w:widowControl w:val="0"/>
        <w:tabs>
          <w:tab w:val="left" w:pos="-180"/>
          <w:tab w:val="left" w:pos="0"/>
          <w:tab w:val="left" w:pos="567"/>
          <w:tab w:val="left" w:pos="709"/>
          <w:tab w:val="left" w:pos="993"/>
          <w:tab w:val="left" w:pos="1440"/>
        </w:tabs>
        <w:ind w:firstLine="567"/>
        <w:jc w:val="both"/>
      </w:pPr>
      <w:r>
        <w:t>224.1</w:t>
      </w:r>
      <w:r>
        <w:t>. vandentiekio ir kiti metaliniai vamzdynai, nutiesti žemėje, išskyrus degių skysčių, dujų ir sprogių statybos produktų vamzdynus;</w:t>
      </w:r>
    </w:p>
    <w:p>
      <w:pPr>
        <w:widowControl w:val="0"/>
        <w:tabs>
          <w:tab w:val="left" w:pos="-180"/>
          <w:tab w:val="left" w:pos="0"/>
          <w:tab w:val="left" w:pos="567"/>
          <w:tab w:val="left" w:pos="709"/>
          <w:tab w:val="left" w:pos="993"/>
          <w:tab w:val="left" w:pos="1440"/>
        </w:tabs>
        <w:ind w:firstLine="567"/>
        <w:jc w:val="both"/>
      </w:pPr>
      <w:r>
        <w:t>224.2</w:t>
      </w:r>
      <w:r>
        <w:t>. apsauginiai gręžinių vamzdynai;</w:t>
      </w:r>
    </w:p>
    <w:p>
      <w:pPr>
        <w:widowControl w:val="0"/>
        <w:tabs>
          <w:tab w:val="left" w:pos="-180"/>
          <w:tab w:val="left" w:pos="0"/>
          <w:tab w:val="left" w:pos="567"/>
          <w:tab w:val="left" w:pos="709"/>
          <w:tab w:val="left" w:pos="993"/>
          <w:tab w:val="left" w:pos="1440"/>
        </w:tabs>
        <w:ind w:firstLine="567"/>
        <w:jc w:val="both"/>
      </w:pPr>
      <w:r>
        <w:t>224.3</w:t>
      </w:r>
      <w:r>
        <w:t>. reikiamą sąlytį su žeme turinčios metalinės ir gelžbetoninės statinių konstrukcijos;</w:t>
      </w:r>
    </w:p>
    <w:p>
      <w:pPr>
        <w:widowControl w:val="0"/>
        <w:tabs>
          <w:tab w:val="left" w:pos="-180"/>
          <w:tab w:val="left" w:pos="0"/>
          <w:tab w:val="left" w:pos="567"/>
          <w:tab w:val="left" w:pos="709"/>
          <w:tab w:val="left" w:pos="993"/>
          <w:tab w:val="left" w:pos="1440"/>
        </w:tabs>
        <w:ind w:firstLine="567"/>
        <w:jc w:val="both"/>
      </w:pPr>
      <w:r>
        <w:t>224.4</w:t>
      </w:r>
      <w:r>
        <w:t>. metalinės hidrotechninių statinių ir įrenginių konstrukcijos;</w:t>
      </w:r>
    </w:p>
    <w:p>
      <w:pPr>
        <w:widowControl w:val="0"/>
        <w:tabs>
          <w:tab w:val="left" w:pos="-180"/>
          <w:tab w:val="left" w:pos="0"/>
          <w:tab w:val="left" w:pos="567"/>
          <w:tab w:val="left" w:pos="709"/>
          <w:tab w:val="left" w:pos="993"/>
          <w:tab w:val="left" w:pos="1440"/>
        </w:tabs>
        <w:ind w:firstLine="567"/>
        <w:jc w:val="both"/>
      </w:pPr>
      <w:r>
        <w:t>224.5</w:t>
      </w:r>
      <w:r>
        <w:t>. ne mažiau kaip dviejų grunte nutiestų kabelių švininiai apvalkalai (aliumininiai kabelių apvalkalai neturi būti natūraliais įžemintuvais);</w:t>
      </w:r>
    </w:p>
    <w:p>
      <w:pPr>
        <w:widowControl w:val="0"/>
        <w:tabs>
          <w:tab w:val="left" w:pos="-180"/>
          <w:tab w:val="left" w:pos="0"/>
          <w:tab w:val="left" w:pos="567"/>
          <w:tab w:val="left" w:pos="709"/>
          <w:tab w:val="left" w:pos="993"/>
          <w:tab w:val="left" w:pos="1440"/>
        </w:tabs>
        <w:ind w:firstLine="567"/>
        <w:jc w:val="both"/>
      </w:pPr>
      <w:r>
        <w:t>224.6</w:t>
      </w:r>
      <w:r>
        <w:t>. oro linijų atramų įžeminimo įrenginiai, kurie prie kitų įrenginių įžemintuvų prijungti įžemintais linijų apsaugos nuo viršįtampių trosais;</w:t>
      </w:r>
    </w:p>
    <w:p>
      <w:pPr>
        <w:widowControl w:val="0"/>
        <w:tabs>
          <w:tab w:val="left" w:pos="-180"/>
          <w:tab w:val="left" w:pos="0"/>
          <w:tab w:val="left" w:pos="567"/>
          <w:tab w:val="left" w:pos="709"/>
          <w:tab w:val="left" w:pos="993"/>
          <w:tab w:val="left" w:pos="1440"/>
        </w:tabs>
        <w:ind w:firstLine="567"/>
        <w:jc w:val="both"/>
      </w:pPr>
      <w:r>
        <w:t>224.7</w:t>
      </w:r>
      <w:r>
        <w:t>. ne mažiau kaip dviejų iki 1000 V įtampos oro linijų pakartotinai įžeminti apsauginiai nuliniai laidai;</w:t>
      </w:r>
    </w:p>
    <w:p>
      <w:pPr>
        <w:widowControl w:val="0"/>
        <w:tabs>
          <w:tab w:val="left" w:pos="-180"/>
          <w:tab w:val="left" w:pos="0"/>
          <w:tab w:val="left" w:pos="567"/>
          <w:tab w:val="left" w:pos="709"/>
          <w:tab w:val="left" w:pos="993"/>
          <w:tab w:val="left" w:pos="1440"/>
        </w:tabs>
        <w:ind w:firstLine="567"/>
        <w:jc w:val="both"/>
      </w:pPr>
      <w:r>
        <w:t>224.8</w:t>
      </w:r>
      <w:r>
        <w:t>. neelektrifikuotų geležinkelių bėgiai, jeigu jie sujungti reikiamo elektrinio laidumo jungtimis.</w:t>
      </w:r>
    </w:p>
    <w:p>
      <w:pPr>
        <w:widowControl w:val="0"/>
        <w:tabs>
          <w:tab w:val="left" w:pos="-180"/>
          <w:tab w:val="left" w:pos="0"/>
          <w:tab w:val="left" w:pos="567"/>
          <w:tab w:val="left" w:pos="1440"/>
        </w:tabs>
        <w:ind w:firstLine="567"/>
        <w:jc w:val="both"/>
      </w:pPr>
      <w:r>
        <w:t>225</w:t>
      </w:r>
      <w:r>
        <w:t>. Įžemintuvai su įžeminimo magistralėmis skirtingose vietose turi būti sujungti ne mažiau kaip dviem laidininkais. Šis reikalavimas netaikomas įžeminant oro linijų atramas, apsauginius nulinius laidus ir metalinius kabelių apvalkalus.</w:t>
      </w:r>
    </w:p>
    <w:p>
      <w:pPr>
        <w:widowControl w:val="0"/>
        <w:tabs>
          <w:tab w:val="left" w:pos="-180"/>
          <w:tab w:val="left" w:pos="0"/>
          <w:tab w:val="left" w:pos="567"/>
          <w:tab w:val="left" w:pos="1440"/>
        </w:tabs>
        <w:ind w:firstLine="567"/>
        <w:jc w:val="both"/>
      </w:pPr>
      <w:r>
        <w:t>226</w:t>
      </w:r>
      <w:r>
        <w:t>. Dirbtiniai įžemintuvai turi būti variniai, plieniniai arba gelžbetoniniai – nedažyti. Plieniniai įžemintuvai padengiami arba nepadengiami laidžia antikorozine danga. Jų skerspjūvis parenkamas pagal didžiausią įžemėjimo srovę, neatsižvelgiant į prijungtų įžeminimo įrenginių skaičių. Mažiausi įžemintuvų įžeminimo ir apsauginių laidininkų matmenys pateikti Taisyklių 4 priedo 2 lentelėje.</w:t>
      </w:r>
    </w:p>
    <w:p>
      <w:pPr>
        <w:widowControl w:val="0"/>
        <w:tabs>
          <w:tab w:val="left" w:pos="-180"/>
          <w:tab w:val="left" w:pos="0"/>
          <w:tab w:val="left" w:pos="1440"/>
        </w:tabs>
        <w:ind w:firstLine="567"/>
        <w:jc w:val="both"/>
      </w:pPr>
      <w:r>
        <w:t>Esant korozijos pavojui, įrenginiams įžeminti turi būti naudojami atsparūs korozijai laidininkai arba turi būti įrengta elektrinė apsauga nuo korozijos.</w:t>
      </w:r>
    </w:p>
    <w:p>
      <w:pPr>
        <w:widowControl w:val="0"/>
        <w:tabs>
          <w:tab w:val="left" w:pos="-180"/>
          <w:tab w:val="left" w:pos="0"/>
          <w:tab w:val="left" w:pos="1440"/>
        </w:tabs>
        <w:ind w:firstLine="567"/>
        <w:jc w:val="both"/>
      </w:pPr>
      <w:r>
        <w:t xml:space="preserve">Visi įžeminimo įrenginių laidininkai turi būti termiškai atsparūs. Neizoliuoto varinio, plieninio ir cinkuoto laidininko leistinoji trumpalaikė įšilimo temperatūra yra +300 </w:t>
      </w:r>
      <w:r>
        <w:rPr>
          <w:vertAlign w:val="superscript"/>
        </w:rPr>
        <w:t>o</w:t>
      </w:r>
      <w:r>
        <w:t xml:space="preserve">C, o kabelio švino apvalkalo – +150 </w:t>
      </w:r>
      <w:r>
        <w:rPr>
          <w:vertAlign w:val="superscript"/>
        </w:rPr>
        <w:t>o</w:t>
      </w:r>
      <w:r>
        <w:t xml:space="preserve">C. </w:t>
      </w:r>
    </w:p>
    <w:p>
      <w:pPr>
        <w:widowControl w:val="0"/>
        <w:tabs>
          <w:tab w:val="left" w:pos="-180"/>
          <w:tab w:val="left" w:pos="0"/>
          <w:tab w:val="left" w:pos="1440"/>
        </w:tabs>
        <w:ind w:firstLine="567"/>
        <w:jc w:val="both"/>
      </w:pPr>
      <w:r>
        <w:t>Įžemintuvai neturi būti įrengiami virš žemėje esančių inžinerinių komunikacijos tinklų. Įžeminimo įrenginiai neturi būti įrengti tose vietose, kur gruntą gali išdžiovinti šilumos vamzdynai ar kiti šalutiniai šilumos šaltiniai.</w:t>
      </w:r>
    </w:p>
    <w:p>
      <w:pPr>
        <w:widowControl w:val="0"/>
        <w:tabs>
          <w:tab w:val="left" w:pos="-180"/>
          <w:tab w:val="left" w:pos="0"/>
          <w:tab w:val="left" w:pos="1440"/>
        </w:tabs>
        <w:ind w:firstLine="567"/>
        <w:jc w:val="both"/>
      </w:pPr>
      <w:r>
        <w:t>Tranšėjose nutiesti įžeminimo laidininkai turi būti užpilti vienalyčiu, smulkiu ir rišliu gruntu.</w:t>
      </w:r>
    </w:p>
    <w:p>
      <w:pPr>
        <w:widowControl w:val="0"/>
        <w:ind w:firstLine="567"/>
        <w:jc w:val="both"/>
      </w:pPr>
    </w:p>
    <w:p>
      <w:pPr>
        <w:widowControl w:val="0"/>
        <w:jc w:val="center"/>
        <w:rPr>
          <w:b/>
        </w:rPr>
      </w:pPr>
      <w:r>
        <w:rPr>
          <w:b/>
        </w:rPr>
        <w:t>DEŠIMTASIS</w:t>
      </w:r>
      <w:r>
        <w:rPr>
          <w:b/>
        </w:rPr>
        <w:t xml:space="preserve"> SKIRSNIS</w:t>
      </w:r>
    </w:p>
    <w:p>
      <w:pPr>
        <w:widowControl w:val="0"/>
        <w:jc w:val="center"/>
        <w:rPr>
          <w:b/>
        </w:rPr>
      </w:pPr>
      <w:r>
        <w:rPr>
          <w:b/>
        </w:rPr>
        <w:t xml:space="preserve">ĮŽEMINIMO IR APSAUGINIAI LAIDININKAI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227</w:t>
      </w:r>
      <w:r>
        <w:t>. TN sistemos tinkle įrenginiams įnulinti naudojami apsauginiai nuliniai (PEN) arba apsauginiai (PE) laidininkai. Įžeminti ir įnulinti naudojami elektros grandinę užtikrinantys laidininkai ir konstrukcijos:</w:t>
      </w:r>
    </w:p>
    <w:p>
      <w:pPr>
        <w:widowControl w:val="0"/>
        <w:tabs>
          <w:tab w:val="left" w:pos="-180"/>
          <w:tab w:val="left" w:pos="0"/>
          <w:tab w:val="left" w:pos="709"/>
          <w:tab w:val="left" w:pos="993"/>
          <w:tab w:val="left" w:pos="1440"/>
        </w:tabs>
        <w:ind w:firstLine="567"/>
        <w:jc w:val="both"/>
      </w:pPr>
      <w:r>
        <w:t>227.1</w:t>
      </w:r>
      <w:r>
        <w:t xml:space="preserve">. papildomi (penktasis – trifazėje sistemoje, trečiasis – vienfazėje sistemoje) izoliuoti laidininkai; </w:t>
      </w:r>
    </w:p>
    <w:p>
      <w:pPr>
        <w:widowControl w:val="0"/>
        <w:tabs>
          <w:tab w:val="left" w:pos="-180"/>
          <w:tab w:val="left" w:pos="0"/>
          <w:tab w:val="left" w:pos="709"/>
          <w:tab w:val="left" w:pos="993"/>
          <w:tab w:val="left" w:pos="1440"/>
        </w:tabs>
        <w:ind w:firstLine="567"/>
        <w:jc w:val="both"/>
      </w:pPr>
      <w:r>
        <w:t>227.2</w:t>
      </w:r>
      <w:r>
        <w:t>. specialiai nutiesti neizoliuoti metaliniai laidininkai;</w:t>
      </w:r>
    </w:p>
    <w:p>
      <w:pPr>
        <w:widowControl w:val="0"/>
        <w:tabs>
          <w:tab w:val="left" w:pos="-180"/>
          <w:tab w:val="left" w:pos="0"/>
          <w:tab w:val="left" w:pos="709"/>
          <w:tab w:val="left" w:pos="993"/>
          <w:tab w:val="left" w:pos="1440"/>
        </w:tabs>
        <w:ind w:firstLine="567"/>
        <w:jc w:val="both"/>
      </w:pPr>
      <w:r>
        <w:t>227.3</w:t>
      </w:r>
      <w:r>
        <w:t>. metalinės pastatų konstrukcijos (fermos, kolonos ir pan.);</w:t>
      </w:r>
    </w:p>
    <w:p>
      <w:pPr>
        <w:widowControl w:val="0"/>
        <w:tabs>
          <w:tab w:val="left" w:pos="-180"/>
          <w:tab w:val="left" w:pos="0"/>
          <w:tab w:val="left" w:pos="709"/>
          <w:tab w:val="left" w:pos="993"/>
          <w:tab w:val="left" w:pos="1440"/>
        </w:tabs>
        <w:ind w:firstLine="567"/>
        <w:jc w:val="both"/>
      </w:pPr>
      <w:r>
        <w:t>227.4</w:t>
      </w:r>
      <w:r>
        <w:t>. metalinės konstrukcijos, ant kurių įrengti technologiniai įrenginiai;</w:t>
      </w:r>
    </w:p>
    <w:p>
      <w:pPr>
        <w:widowControl w:val="0"/>
        <w:tabs>
          <w:tab w:val="left" w:pos="-180"/>
          <w:tab w:val="left" w:pos="0"/>
          <w:tab w:val="left" w:pos="709"/>
          <w:tab w:val="left" w:pos="993"/>
          <w:tab w:val="left" w:pos="1440"/>
        </w:tabs>
        <w:ind w:firstLine="567"/>
        <w:jc w:val="both"/>
      </w:pPr>
      <w:r>
        <w:t>227.5</w:t>
      </w:r>
      <w:r>
        <w:t>. metaliniai elektros instaliacijos vamzdžiai;</w:t>
      </w:r>
    </w:p>
    <w:p>
      <w:pPr>
        <w:widowControl w:val="0"/>
        <w:tabs>
          <w:tab w:val="left" w:pos="-180"/>
          <w:tab w:val="left" w:pos="0"/>
          <w:tab w:val="left" w:pos="567"/>
          <w:tab w:val="left" w:pos="1440"/>
        </w:tabs>
        <w:ind w:firstLine="567"/>
        <w:jc w:val="both"/>
      </w:pPr>
      <w:r>
        <w:t>227.6</w:t>
      </w:r>
      <w:r>
        <w:t>. metalinės šynų konstrukcijos, metaliniai elektros instaliacijos loviai ir lentynos;</w:t>
      </w:r>
    </w:p>
    <w:p>
      <w:pPr>
        <w:widowControl w:val="0"/>
        <w:tabs>
          <w:tab w:val="left" w:pos="-180"/>
          <w:tab w:val="left" w:pos="0"/>
          <w:tab w:val="left" w:pos="709"/>
          <w:tab w:val="left" w:pos="993"/>
          <w:tab w:val="left" w:pos="1440"/>
        </w:tabs>
        <w:ind w:firstLine="567"/>
        <w:jc w:val="both"/>
      </w:pPr>
      <w:r>
        <w:t>227.7</w:t>
      </w:r>
      <w:r>
        <w:t>. metaliniai technologiniai ir kiti atvirai nutiesti stacionarieji vamzdynai, išskyrus Taisyklių 224 punkte nurodytus atvejus;</w:t>
      </w:r>
    </w:p>
    <w:p>
      <w:pPr>
        <w:widowControl w:val="0"/>
        <w:tabs>
          <w:tab w:val="left" w:pos="-180"/>
          <w:tab w:val="left" w:pos="0"/>
          <w:tab w:val="left" w:pos="709"/>
          <w:tab w:val="left" w:pos="993"/>
          <w:tab w:val="left" w:pos="1440"/>
        </w:tabs>
        <w:ind w:firstLine="567"/>
        <w:jc w:val="both"/>
      </w:pPr>
      <w:r>
        <w:t>227.8</w:t>
      </w:r>
      <w:r>
        <w:t>. aliumininiai kabelių apvalkalai;</w:t>
      </w:r>
    </w:p>
    <w:p>
      <w:pPr>
        <w:widowControl w:val="0"/>
        <w:tabs>
          <w:tab w:val="left" w:pos="-180"/>
          <w:tab w:val="left" w:pos="0"/>
          <w:tab w:val="left" w:pos="709"/>
          <w:tab w:val="left" w:pos="993"/>
          <w:tab w:val="left" w:pos="1440"/>
        </w:tabs>
        <w:ind w:firstLine="567"/>
        <w:jc w:val="both"/>
      </w:pPr>
      <w:r>
        <w:t>227.9</w:t>
      </w:r>
      <w:r>
        <w:t>. specialieji instaliacijai naudojami lynai (oro kabelių ir pan. mechaniškai sustiprinti apsauginiai nuliniai laidai);</w:t>
      </w:r>
    </w:p>
    <w:p>
      <w:pPr>
        <w:widowControl w:val="0"/>
        <w:tabs>
          <w:tab w:val="left" w:pos="-180"/>
          <w:tab w:val="left" w:pos="0"/>
          <w:tab w:val="left" w:pos="709"/>
          <w:tab w:val="left" w:pos="993"/>
          <w:tab w:val="left" w:pos="1440"/>
        </w:tabs>
        <w:ind w:firstLine="567"/>
        <w:jc w:val="both"/>
      </w:pPr>
      <w:r>
        <w:t>227.10</w:t>
      </w:r>
      <w:r>
        <w:t>. gelžbetoninių konstrukcijų ir pamatų armatūra.</w:t>
      </w:r>
    </w:p>
    <w:p>
      <w:pPr>
        <w:widowControl w:val="0"/>
        <w:tabs>
          <w:tab w:val="left" w:pos="-180"/>
          <w:tab w:val="left" w:pos="0"/>
          <w:tab w:val="left" w:pos="1440"/>
        </w:tabs>
        <w:ind w:firstLine="567"/>
        <w:jc w:val="both"/>
      </w:pPr>
      <w:r>
        <w:t>Įžeminti ir įnulinti naudojami elementai turi būti patikimai sujungti. Metalinės jungiamosios movos, dėžutės, movų gaubtai prie kabelių metalinių apvalkalų ir šarvų turi būti prilituoti arba kitaip patikimai prijungti.</w:t>
      </w:r>
    </w:p>
    <w:p>
      <w:pPr>
        <w:widowControl w:val="0"/>
        <w:tabs>
          <w:tab w:val="left" w:pos="-180"/>
          <w:tab w:val="left" w:pos="0"/>
          <w:tab w:val="left" w:pos="1440"/>
        </w:tabs>
        <w:ind w:firstLine="567"/>
        <w:jc w:val="both"/>
      </w:pPr>
      <w:r>
        <w:t>Įžeminimo ir įnulinimo laidininkai turi būti apsaugoti nuo korozijos.</w:t>
      </w:r>
    </w:p>
    <w:p>
      <w:pPr>
        <w:widowControl w:val="0"/>
        <w:tabs>
          <w:tab w:val="left" w:pos="-180"/>
          <w:tab w:val="left" w:pos="0"/>
          <w:tab w:val="left" w:pos="1440"/>
        </w:tabs>
        <w:ind w:firstLine="567"/>
        <w:jc w:val="both"/>
      </w:pPr>
      <w:r>
        <w:t>228</w:t>
      </w:r>
      <w:r>
        <w:t>. Plieniniai instaliacijos lynai, metaliniai instaliaciniai vamzdeliai ir laidų apvalkalai, kabelių ir laidų šarvai ir švininiai apvalkalai neturi būti naudojami kaip įžeminimo ir apsauginiai laidininkai.</w:t>
      </w:r>
    </w:p>
    <w:p>
      <w:pPr>
        <w:widowControl w:val="0"/>
        <w:tabs>
          <w:tab w:val="left" w:pos="-180"/>
          <w:tab w:val="left" w:pos="0"/>
          <w:tab w:val="left" w:pos="1440"/>
        </w:tabs>
        <w:ind w:firstLine="567"/>
        <w:jc w:val="both"/>
      </w:pPr>
      <w:r>
        <w:t>Atvirai įrengtos įžeminimo arba įnulinimo magistralės ir jų atšakos turi būti lengvai prieinamos apžiūrėti. Elektros įrenginiams įžeminti ir įnulinti naudojami kabelių apvalkalai, jų nulinės gyslos, gelžbetoninių konstrukcijų armatūra ir laidai, nutiesti vamzdžiuose ir loviuose arba statybinėse konstrukcijose, neapžiūrimi.</w:t>
      </w:r>
    </w:p>
    <w:p>
      <w:pPr>
        <w:widowControl w:val="0"/>
        <w:tabs>
          <w:tab w:val="left" w:pos="-180"/>
          <w:tab w:val="left" w:pos="0"/>
          <w:tab w:val="left" w:pos="1440"/>
        </w:tabs>
        <w:ind w:firstLine="567"/>
        <w:jc w:val="both"/>
      </w:pPr>
      <w:r>
        <w:t>Iki 1000 V įtampos elektros tinkluose atšakas nuo įžeminimo arba įnulinimo magistralės iki imtuvų įrengiamos sienose, pertvarose, po grindimis ir pan., apsaugant jas nuo šalutinio poveikio. Šios atšakos turi būti ištisinės.</w:t>
      </w:r>
    </w:p>
    <w:p>
      <w:pPr>
        <w:widowControl w:val="0"/>
        <w:tabs>
          <w:tab w:val="left" w:pos="-180"/>
          <w:tab w:val="left" w:pos="0"/>
          <w:tab w:val="left" w:pos="1440"/>
        </w:tabs>
        <w:ind w:firstLine="567"/>
        <w:jc w:val="both"/>
      </w:pPr>
      <w:r>
        <w:t>Elektros įrenginių, įrengtų lauke, įžeminimo, apsauginiai laidininkai ir apsauginiai nuliniai laidininkai tiesiami grunte, grindyse, technologinių įrenginių pamatų ir aikštelių pakraščiais.</w:t>
      </w:r>
    </w:p>
    <w:p>
      <w:pPr>
        <w:widowControl w:val="0"/>
        <w:tabs>
          <w:tab w:val="left" w:pos="-180"/>
          <w:tab w:val="left" w:pos="0"/>
          <w:tab w:val="left" w:pos="1440"/>
        </w:tabs>
        <w:ind w:firstLine="567"/>
        <w:jc w:val="both"/>
      </w:pPr>
      <w:r>
        <w:t>Neizoliuoti aliumininiai įžeminimo, apsauginiai laidininkai ir apsauginiai nuliniai laidininkai neturi būti tiesiami žemėje.</w:t>
      </w:r>
    </w:p>
    <w:p>
      <w:pPr>
        <w:widowControl w:val="0"/>
        <w:tabs>
          <w:tab w:val="left" w:pos="-180"/>
          <w:tab w:val="left" w:pos="0"/>
          <w:tab w:val="left" w:pos="1440"/>
        </w:tabs>
        <w:ind w:firstLine="567"/>
        <w:jc w:val="both"/>
      </w:pPr>
      <w:r>
        <w:t>Degiųjų ir sprogiųjų medžiagų ir jų mišinių, nuotekų šalintuvai ir šildymo vamzdynai neturi būti naudojami įrenginiams įžeminti ar įnulinti.</w:t>
      </w:r>
    </w:p>
    <w:p>
      <w:pPr>
        <w:widowControl w:val="0"/>
        <w:tabs>
          <w:tab w:val="left" w:pos="-180"/>
          <w:tab w:val="left" w:pos="0"/>
          <w:tab w:val="left" w:pos="1440"/>
        </w:tabs>
        <w:ind w:firstLine="567"/>
        <w:jc w:val="both"/>
      </w:pPr>
      <w:r>
        <w:t>229</w:t>
      </w:r>
      <w:r>
        <w:t>. Aukštesnės kaip 1000 V įtampos tiesiogiai įžemintos neutralės elektros tinklo įžeminimo laidininkai turi būti termiškai atsparūs (leistinoji trumpalaikė įšilimo temperatūra +300 oc).</w:t>
      </w:r>
    </w:p>
    <w:p>
      <w:pPr>
        <w:widowControl w:val="0"/>
        <w:tabs>
          <w:tab w:val="left" w:pos="-180"/>
          <w:tab w:val="left" w:pos="0"/>
          <w:tab w:val="left" w:pos="1440"/>
        </w:tabs>
        <w:ind w:firstLine="567"/>
        <w:jc w:val="both"/>
      </w:pPr>
      <w:r>
        <w:t>230</w:t>
      </w:r>
      <w:r>
        <w:t>. Izoliuotosios neutralės tinklų elektros įrenginiuose įžeminimo laidininkų laidumas turi būti ne mažesnis kaip 33 proc. fazinių laidų laidumo. Gamybos patalpose plieninės įžeminimo magistralės skerspjūvis turi būti ne mažesnis kaip 100 mm</w:t>
      </w:r>
      <w:r>
        <w:rPr>
          <w:vertAlign w:val="superscript"/>
        </w:rPr>
        <w:t>2</w:t>
      </w:r>
      <w:r>
        <w:t>.</w:t>
      </w:r>
    </w:p>
    <w:p>
      <w:pPr>
        <w:widowControl w:val="0"/>
        <w:tabs>
          <w:tab w:val="left" w:pos="-180"/>
          <w:tab w:val="left" w:pos="0"/>
          <w:tab w:val="left" w:pos="1440"/>
        </w:tabs>
        <w:ind w:firstLine="567"/>
        <w:jc w:val="both"/>
      </w:pPr>
      <w:r>
        <w:t>231</w:t>
      </w:r>
      <w:r>
        <w:t>. Iki 1000 V įtampos įžemintos neutralės tinklų elektros įrenginiuose fazinių ir apsauginio arba apsauginio nulinio laidų skerspjūviai turi būti tokie, kad vienfazio trumpojo jungimo srovė užtikrintų automatinį pažeisto elemento atjungimą ir leistiną prisilietimo įtampą.</w:t>
      </w:r>
    </w:p>
    <w:p>
      <w:pPr>
        <w:widowControl w:val="0"/>
        <w:tabs>
          <w:tab w:val="left" w:pos="-180"/>
          <w:tab w:val="left" w:pos="0"/>
          <w:tab w:val="left" w:pos="1440"/>
        </w:tabs>
        <w:ind w:firstLine="567"/>
        <w:jc w:val="both"/>
      </w:pPr>
      <w:r>
        <w:t>Jeigu įprastinėmis apsaugomis nepasiekiamas reikiamas jautrumas, reikia naudoti specialiąsias apsaugas arba tinklą skaidyti sekcijomis.</w:t>
      </w:r>
    </w:p>
    <w:p>
      <w:pPr>
        <w:widowControl w:val="0"/>
        <w:tabs>
          <w:tab w:val="left" w:pos="-180"/>
          <w:tab w:val="left" w:pos="0"/>
          <w:tab w:val="left" w:pos="1440"/>
        </w:tabs>
        <w:ind w:firstLine="567"/>
        <w:jc w:val="both"/>
      </w:pPr>
      <w:r>
        <w:t>Apsauginių nulinių (PEN) laidininkų skerspjūvis turi būti ne mažesnis kaip nulinių (N) laidininkų skerspjūvis (Taisyklių 62 punktas).</w:t>
      </w:r>
    </w:p>
    <w:p>
      <w:pPr>
        <w:widowControl w:val="0"/>
        <w:tabs>
          <w:tab w:val="left" w:pos="-180"/>
          <w:tab w:val="left" w:pos="0"/>
          <w:tab w:val="left" w:pos="1440"/>
        </w:tabs>
        <w:ind w:firstLine="567"/>
        <w:jc w:val="both"/>
      </w:pPr>
      <w:r>
        <w:t>Apsauginių (PE) laidininkų skerspjūvis turi būti lygus:</w:t>
      </w:r>
    </w:p>
    <w:p>
      <w:pPr>
        <w:widowControl w:val="0"/>
        <w:tabs>
          <w:tab w:val="left" w:pos="-180"/>
          <w:tab w:val="left" w:pos="0"/>
          <w:tab w:val="left" w:pos="1440"/>
        </w:tabs>
        <w:ind w:firstLine="567"/>
        <w:jc w:val="both"/>
      </w:pPr>
      <w:r>
        <w:t>231.1</w:t>
      </w:r>
      <w:r>
        <w:t>. fazinių laidų skerspjūviui, kai šių skerspjūvis yra mažesnis kaip 16 mm</w:t>
      </w:r>
      <w:r>
        <w:rPr>
          <w:vertAlign w:val="superscript"/>
        </w:rPr>
        <w:t>2</w:t>
      </w:r>
      <w:r>
        <w:t xml:space="preserve">; </w:t>
      </w:r>
    </w:p>
    <w:p>
      <w:pPr>
        <w:widowControl w:val="0"/>
        <w:tabs>
          <w:tab w:val="left" w:pos="-180"/>
          <w:tab w:val="left" w:pos="0"/>
          <w:tab w:val="left" w:pos="1440"/>
        </w:tabs>
        <w:ind w:firstLine="567"/>
        <w:jc w:val="both"/>
      </w:pPr>
      <w:r>
        <w:t>231.2</w:t>
      </w:r>
      <w:r>
        <w:t>. 16 mm</w:t>
      </w:r>
      <w:r>
        <w:rPr>
          <w:vertAlign w:val="superscript"/>
        </w:rPr>
        <w:t>2</w:t>
      </w:r>
      <w:r>
        <w:t>, kai fazinių laidų skerspjūvis yra nuo 16 iki 35 mm</w:t>
      </w:r>
      <w:r>
        <w:rPr>
          <w:vertAlign w:val="superscript"/>
        </w:rPr>
        <w:t>2</w:t>
      </w:r>
      <w:r>
        <w:t>;</w:t>
      </w:r>
    </w:p>
    <w:p>
      <w:pPr>
        <w:widowControl w:val="0"/>
        <w:tabs>
          <w:tab w:val="left" w:pos="-180"/>
          <w:tab w:val="left" w:pos="0"/>
          <w:tab w:val="left" w:pos="1440"/>
        </w:tabs>
        <w:ind w:firstLine="567"/>
        <w:jc w:val="both"/>
      </w:pPr>
      <w:r>
        <w:t>231.3</w:t>
      </w:r>
      <w:r>
        <w:t>. 50 proc. fazinių laidų skerspjūvio, kai fazinių laidų skerspjūvis didesnis kaip 35 mm</w:t>
      </w:r>
      <w:r>
        <w:rPr>
          <w:vertAlign w:val="superscript"/>
        </w:rPr>
        <w:t>2</w:t>
      </w:r>
      <w:r>
        <w:t>.</w:t>
      </w:r>
    </w:p>
    <w:p>
      <w:pPr>
        <w:widowControl w:val="0"/>
        <w:tabs>
          <w:tab w:val="left" w:pos="-180"/>
          <w:tab w:val="left" w:pos="0"/>
          <w:tab w:val="left" w:pos="1440"/>
        </w:tabs>
        <w:ind w:firstLine="567"/>
        <w:jc w:val="both"/>
      </w:pPr>
      <w:r>
        <w:t>Apsauginių laidininkų, neįeinančių į kabelio sudėtį, skerspjūvis turi būti ne mažesnis kaip 2,5 mm</w:t>
      </w:r>
      <w:r>
        <w:rPr>
          <w:vertAlign w:val="superscript"/>
        </w:rPr>
        <w:t>2</w:t>
      </w:r>
      <w:r>
        <w:t>, kai yra mechaninė apsauga, ir 4 mm</w:t>
      </w:r>
      <w:r>
        <w:rPr>
          <w:vertAlign w:val="superscript"/>
        </w:rPr>
        <w:t>2</w:t>
      </w:r>
      <w:r>
        <w:t xml:space="preserve"> – kai jos nėra.</w:t>
      </w:r>
    </w:p>
    <w:p>
      <w:pPr>
        <w:widowControl w:val="0"/>
        <w:tabs>
          <w:tab w:val="left" w:pos="-180"/>
          <w:tab w:val="left" w:pos="0"/>
          <w:tab w:val="left" w:pos="1440"/>
        </w:tabs>
        <w:ind w:firstLine="567"/>
        <w:jc w:val="both"/>
      </w:pPr>
      <w:r>
        <w:t>232</w:t>
      </w:r>
      <w:r>
        <w:t>. Iki 1000 V įtampos įžemintos neutralės tinklų elektros įrenginiuose apsauginiai laidininkai tiesiami bet kuria trasa, kur yra techninės galimybės.</w:t>
      </w:r>
    </w:p>
    <w:p>
      <w:pPr>
        <w:widowControl w:val="0"/>
        <w:tabs>
          <w:tab w:val="left" w:pos="-180"/>
          <w:tab w:val="left" w:pos="0"/>
          <w:tab w:val="left" w:pos="1440"/>
        </w:tabs>
        <w:ind w:firstLine="567"/>
        <w:jc w:val="both"/>
      </w:pPr>
      <w:r>
        <w:t>233</w:t>
      </w:r>
      <w:r>
        <w:t>. Nuliniai laidininkai turi būti parinkti atsižvelgiant į ilgalaikį įšilimą. Nulinių ir fazinių laidininkų izoliacijos lygis turi būti vienodas. Oro kabelių apsauginis nulinis laidininkas naudojamas izoliuotas arba neizoliuotas. Komplektinių šynų gaubtai ir kitos metalinės konstrukcijos, skirstyklų šynų ir kabelių metaliniai apvalkalai ir ekranai naudojami kaip apsauginiai arba kaip apsauginiai nuliniai laidininkai. Kabelių švininiai apvalkalai tam tikslui naudojami tiktai rekonstruojamose kabelių linijose.</w:t>
      </w:r>
    </w:p>
    <w:p>
      <w:pPr>
        <w:widowControl w:val="0"/>
        <w:tabs>
          <w:tab w:val="left" w:pos="-180"/>
          <w:tab w:val="left" w:pos="0"/>
          <w:tab w:val="left" w:pos="1440"/>
        </w:tabs>
        <w:ind w:firstLine="567"/>
        <w:jc w:val="both"/>
      </w:pPr>
      <w:r>
        <w:t>234</w:t>
      </w:r>
      <w:r>
        <w:t>. Linijos, maitinančios vienfazius, trifazius ir nuolatinės srovės kilnojamuosius imtuvus, nulinis laidininkas neturi būti apsauginiu laidininku. Šiems imtuvams įnulinti turi būti panaudotas papildomas laidininkas, sujungtas su maitinimo skydo ar rinklės apsauginiu laidininku.</w:t>
      </w:r>
    </w:p>
    <w:p>
      <w:pPr>
        <w:widowControl w:val="0"/>
        <w:tabs>
          <w:tab w:val="left" w:pos="-180"/>
          <w:tab w:val="left" w:pos="0"/>
          <w:tab w:val="left" w:pos="1440"/>
        </w:tabs>
        <w:ind w:firstLine="567"/>
        <w:jc w:val="both"/>
      </w:pPr>
      <w:r>
        <w:t>235</w:t>
      </w:r>
      <w:r>
        <w:t>. Įžeminimo ir apsauginių laidininkų grandinėse neturi būti įrengiami saugikliai ir kiti valdymo aparatai.</w:t>
      </w:r>
    </w:p>
    <w:p>
      <w:pPr>
        <w:widowControl w:val="0"/>
        <w:tabs>
          <w:tab w:val="left" w:pos="-180"/>
          <w:tab w:val="left" w:pos="0"/>
          <w:tab w:val="left" w:pos="1440"/>
        </w:tabs>
        <w:ind w:firstLine="567"/>
        <w:jc w:val="both"/>
      </w:pPr>
      <w:r>
        <w:t>Vienpolis jungiklis turi būti įrengtas fazinio, o ne apsauginio nulinio laidininko grandinėje. Apsauginio nulinio laidininko grandinėje įrengiant valdymo aparatus</w:t>
      </w:r>
      <w:r>
        <w:rPr>
          <w:color w:val="0000FF"/>
        </w:rPr>
        <w:t xml:space="preserve"> </w:t>
      </w:r>
      <w:r>
        <w:t xml:space="preserve">sprogiose zonose, jie turi kartu išjungti ir fazinius laidininkus. </w:t>
      </w:r>
    </w:p>
    <w:p>
      <w:pPr>
        <w:widowControl w:val="0"/>
        <w:tabs>
          <w:tab w:val="left" w:pos="-180"/>
          <w:tab w:val="left" w:pos="0"/>
          <w:tab w:val="left" w:pos="1440"/>
        </w:tabs>
        <w:ind w:firstLine="567"/>
        <w:jc w:val="both"/>
      </w:pPr>
      <w:r>
        <w:t>236</w:t>
      </w:r>
      <w:r>
        <w:t>. Linijos apsauginį nulinį laidininką draudžiama naudoti įrenginiams, maitinamiems iš kitų linijų, įnulinti.</w:t>
      </w:r>
    </w:p>
    <w:p>
      <w:pPr>
        <w:widowControl w:val="0"/>
        <w:tabs>
          <w:tab w:val="left" w:pos="-180"/>
          <w:tab w:val="left" w:pos="0"/>
          <w:tab w:val="left" w:pos="1440"/>
        </w:tabs>
        <w:ind w:firstLine="567"/>
        <w:jc w:val="both"/>
      </w:pPr>
      <w:r>
        <w:t>Įrenginiai įnulinami nuliniu apšvietimo linijos laidininku, jeigu įrenginius ir apšvietimą maitinančios linijos prijungtos prie to paties transformatoriaus, o nulinių laidininkų skerspjūviai yra pakankami ir jie neturi būti išjungiami. Tokie laidininkai grandinėse neturi būti naudojami išjungiant nulinius ir fazinius laidininkus vienu metu.</w:t>
      </w:r>
    </w:p>
    <w:p>
      <w:pPr>
        <w:widowControl w:val="0"/>
        <w:tabs>
          <w:tab w:val="left" w:pos="-180"/>
          <w:tab w:val="left" w:pos="0"/>
          <w:tab w:val="left" w:pos="1440"/>
        </w:tabs>
        <w:ind w:firstLine="567"/>
        <w:jc w:val="both"/>
      </w:pPr>
      <w:r>
        <w:t>237</w:t>
      </w:r>
      <w:r>
        <w:t>. Nepavojingose patalpose įžeminimo ir apsauginiai laidininkai tiesiami ir prie sienų ar pertvarų. Chemiškai aktyvioje aplinkoje ir drėgnose patalpose jie turi būti nuo sienų ar pertvarų ne mažiau kaip 10 mm.</w:t>
      </w:r>
    </w:p>
    <w:p>
      <w:pPr>
        <w:widowControl w:val="0"/>
        <w:ind w:firstLine="567"/>
        <w:jc w:val="both"/>
      </w:pPr>
      <w:r>
        <w:t>238</w:t>
      </w:r>
      <w:r>
        <w:t>. Įžeminimo ir apsauginiai laidininkai turi būti apsaugoti nuo cheminio poveikio.</w:t>
      </w:r>
    </w:p>
    <w:p>
      <w:pPr>
        <w:widowControl w:val="0"/>
        <w:ind w:firstLine="567"/>
        <w:jc w:val="both"/>
      </w:pPr>
      <w:r>
        <w:t>Įžeminimo ir apsauginiai laidininkai sankirtose su kabeliais, vamzdynais ar kitais tiesiniais, taip pat įvadų į pastatus ir patalpas vietose, kur yra galimybė mechaniškai juos pažeisti, turi būti apsaugoti.</w:t>
      </w:r>
    </w:p>
    <w:p>
      <w:pPr>
        <w:widowControl w:val="0"/>
        <w:ind w:firstLine="567"/>
        <w:jc w:val="both"/>
      </w:pPr>
      <w:r>
        <w:t>239</w:t>
      </w:r>
      <w:r>
        <w:t>. Įžeminimo ir apsauginių laidininkų perėjimo per sienas, pertvaras ir perdangas vietas reikia sandarinti A1 degumo klasės statybos produktais. Šiose vietose neturi būti atšakų ir jungčių.</w:t>
      </w:r>
    </w:p>
    <w:p>
      <w:pPr>
        <w:widowControl w:val="0"/>
        <w:ind w:firstLine="567"/>
        <w:jc w:val="both"/>
      </w:pPr>
      <w:r>
        <w:rPr>
          <w:lang w:eastAsia="lt-LT"/>
        </w:rPr>
        <mc:AlternateContent>
          <mc:Choice Requires="wpg">
            <w:drawing>
              <wp:anchor distT="0" distB="0" distL="114300" distR="114300" simplePos="0" relativeHeight="251656192" behindDoc="0" locked="0" layoutInCell="1" allowOverlap="1">
                <wp:simplePos x="0" y="0"/>
                <wp:positionH relativeFrom="column">
                  <wp:posOffset>3968750</wp:posOffset>
                </wp:positionH>
                <wp:positionV relativeFrom="paragraph">
                  <wp:posOffset>208280</wp:posOffset>
                </wp:positionV>
                <wp:extent cx="99695" cy="13208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32080"/>
                          <a:chOff x="8225" y="3008"/>
                          <a:chExt cx="270" cy="315"/>
                        </a:xfrm>
                      </wpg:grpSpPr>
                      <wps:wsp>
                        <wps:cNvPr id="2" name="Line 3"/>
                        <wps:cNvCnPr/>
                        <wps:spPr bwMode="auto">
                          <a:xfrm>
                            <a:off x="8345" y="300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8225" y="318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8285" y="3323"/>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8255" y="3263"/>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2.5pt;margin-top:16.4pt;width:7.85pt;height:10.4pt;z-index:251656192" coordorigin="8225,3008" coordsize="270,3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N9t0gIAAIgMAAAOAAAAZHJzL2Uyb0RvYy54bWzsV8lu2zAQvRfoPxC6O1rtykLsoPCSS9oG SPsBNEUtqEQKpGI5KPrvHQ5pNXYPbROgKJD4IJMcajTz3psRdXl1aBuy50rXUiy88CLwCBdM5rUo F96Xz9tJ6hHdU5HTRgq+8B649q6Wb99cDl3GI1nJJueKgBOhs6FbeFXfd5nva1bxluoL2XEBxkKq lvYwVaWfKzqA97bxoyCY+YNUeack41rD6toavSX6LwrO+k9FoXlPmoUHsfV4VXjdmau/vKRZqWhX 1cyFQZ8QRUtrAQ8dXa1pT8m9qn9x1dZMSS2L/oLJ1pdFUTOOOUA2YXCWzbWS9x3mUmZD2Y0wAbRn OD3ZLfu4v1WkzoE7jwjaAkX4VBIZaIauzGDHteruultl84PhjWRfNZj9c7uZl3Yz2Q0fZA7u6H0v EZpDoVrjApImB2TgYWSAH3rCYHE+n82nHmFgCeMoSB1BrAIWzU1pFIEZrHEQpJY8Vm3czdE7YNjc GodTY/NpZp+Jcbq4TFIgNf0TTf08NO8q2nEkSRusHJrREc2bWnASWzBxw0rcKoRWZxpA/S1OaZyc p3xEy6UbWpjGdGnWKd1fc9kSM1h4DcSAFND9je4tMscthhEht3XTwDrNGkEGoGEKMJuplk2dGyNO VLlbNYrsqSkm/DmYT7aBaEWOzipO840b97Ru7BjibITxB2lAOG5kq+XbPJhv0k2aTJJotpkkwXo9 eb9dJZPZNnw3Xcfr1WodfjehhUlW1XnOhYnuWLlh8mdcuh5ia26s3REG/9Q7KgmCPf5j0KApS6AV 1E7mD8grroO8/pHO4hOdJc/R2VhaYepK66izsbCwHF91BvJ4aTpLTnSG7dUUADS8v+5nUer6WRxh X8RGgN0/nLqO9qozPBC9QJ2BNOwpBN+bs2f1s6nTWTQ701kUvurs/31v4mkNjrv4unVHc3OefjyH 8eMPiOUPAAAA//8DAFBLAwQUAAYACAAAACEAoCPUAOEAAAAJAQAADwAAAGRycy9kb3ducmV2Lnht bEyPTUvDQBCG74L/YRnBm918mFhiNqUU9VQEW0F62ybTJDQ7G7LbJP33jid7HOblfZ8nX82mEyMO rrWkIFwEIJBKW7VUK/jevz8tQTivqdKdJVRwRQer4v4u11llJ/rCcedrwSXkMq2g8b7PpHRlg0a7 he2R+Heyg9Gez6GW1aAnLjedjIIglUa3xAuN7nHTYHneXYyCj0lP6zh8G7fn0+Z62CefP9sQlXp8 mNevIDzO/j8Mf/iMDgUzHe2FKic6BWmUsItXEEeswIH0OXgBcVSQxCnIIpe3BsUvAAAA//8DAFBL AQItABQABgAIAAAAIQC2gziS/gAAAOEBAAATAAAAAAAAAAAAAAAAAAAAAABbQ29udGVudF9UeXBl c10ueG1sUEsBAi0AFAAGAAgAAAAhADj9If/WAAAAlAEAAAsAAAAAAAAAAAAAAAAALwEAAF9yZWxz Ly5yZWxzUEsBAi0AFAAGAAgAAAAhAC0s323SAgAAiAwAAA4AAAAAAAAAAAAAAAAALgIAAGRycy9l Mm9Eb2MueG1sUEsBAi0AFAAGAAgAAAAhAKAj1ADhAAAACQEAAA8AAAAAAAAAAAAAAAAALAUAAGRy cy9kb3ducmV2LnhtbFBLBQYAAAAABAAEAPMAAAA6BgAAAAA= ">
                <v:line id="Line 3" o:spid="_x0000_s1027" style="position:absolute;visibility:visible;mso-wrap-style:square" from="8345,3008" to="8345,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2JR8QAAADaAAAADwAAAGRycy9kb3ducmV2LnhtbESPQWvCQBSE74L/YXlCb7rRQijRVUQp aA+lWkGPz+wziWbfht1tkv77bqHQ4zAz3zCLVW9q0ZLzlWUF00kCgji3uuJCwenzdfwCwgdkjbVl UvBNHlbL4WCBmbYdH6g9hkJECPsMFZQhNJmUPi/JoJ/Yhjh6N+sMhihdIbXDLsJNLWdJkkqDFceF EhvalJQ/jl9Gwfv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lHxAAAANoAAAAPAAAAAAAAAAAA AAAAAKECAABkcnMvZG93bnJldi54bWxQSwUGAAAAAAQABAD5AAAAkgMAAAAA "/>
                <v:line id="Line 4" o:spid="_x0000_s1028" style="position:absolute;visibility:visible;mso-wrap-style:square" from="8225,3188" to="8495,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Es3MQAAADaAAAADwAAAGRycy9kb3ducmV2LnhtbESPQWvCQBSE74L/YXlCb7qxQijRVUQp aA+lWkGPz+wziWbfht1tkv77bqHQ4zAz3zCLVW9q0ZLzlWUF00kCgji3uuJCwenzdfwCwgdkjbVl UvBNHlbL4WCBmbYdH6g9hkJECPsMFZQhNJmUPi/JoJ/Yhjh6N+sMhihdIbXDLsJNLZ+TJJUGK44L JTa0KSl/HL+Mgvf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sSzcxAAAANoAAAAPAAAAAAAAAAAA AAAAAKECAABkcnMvZG93bnJldi54bWxQSwUGAAAAAAQABAD5AAAAkgMAAAAA "/>
                <v:line id="Line 5" o:spid="_x0000_s1029" style="position:absolute;visibility:visible;mso-wrap-style:square" from="8285,3323" to="8435,33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i0qMUAAADaAAAADwAAAGRycy9kb3ducmV2LnhtbESPT2vCQBTE74V+h+UJvdWNbQk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i0qMUAAADaAAAADwAAAAAAAAAA AAAAAAChAgAAZHJzL2Rvd25yZXYueG1sUEsFBgAAAAAEAAQA+QAAAJMDAAAAAA== "/>
                <v:line id="Line 6" o:spid="_x0000_s1030" style="position:absolute;visibility:visible;mso-wrap-style:square" from="8255,3263" to="8465,32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QRM8UAAADaAAAADwAAAGRycy9kb3ducmV2LnhtbESPT2vCQBTE74V+h+UJvdWNLQ0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QRM8UAAADaAAAADwAAAAAAAAAA AAAAAAChAgAAZHJzL2Rvd25yZXYueG1sUEsFBgAAAAAEAAQA+QAAAJMDAAAAAA== "/>
              </v:group>
            </w:pict>
          </mc:Fallback>
        </mc:AlternateContent>
      </w:r>
      <w:r>
        <w:t>240</w:t>
      </w:r>
      <w:r>
        <w:t>. Įžeminimo laidininko įvado į pastatus vieta, įžeminimo laidininko prijungimo prie įrenginio gnybtas ir pan. turi būti paženklinti apsauginio įžeminimo ženklu . Neturi būti ženklinama lipniais ženklais.</w:t>
      </w:r>
    </w:p>
    <w:p>
      <w:pPr>
        <w:widowControl w:val="0"/>
        <w:ind w:firstLine="567"/>
        <w:jc w:val="both"/>
      </w:pPr>
      <w:r>
        <w:t>Nuliniai laidininkai elektros instaliacijoje, įrenginiuose ir kabeliuose žymimi mėlyna spalva.</w:t>
      </w:r>
    </w:p>
    <w:p>
      <w:pPr>
        <w:widowControl w:val="0"/>
        <w:ind w:firstLine="567"/>
        <w:jc w:val="both"/>
      </w:pPr>
      <w:r>
        <w:t>Apsauginio įžeminimo ir įnulinimo laidininkai turi būti pažymėti žalia ir geltona spalvomis. Apsauginio įžeminimo šynos turi būti dažomos suglaustomis nuo 15 iki 100 mm lygaus pločio žalios ir geltonos spalvų skersinėmis juostelėmis per visą ilgį arba apsauginio įžeminimo laidininkai pažymimi nuo 15 iki 100 mm vienodo pločio žalios ir geltonos spalvų skersinių juostelių deriniu. Šiam tikslui naudojamas ir termiškai susitraukiantis vamzdelis su žalios ir geltonos spalvų išilginių juostelių deriniu.</w:t>
      </w:r>
    </w:p>
    <w:p>
      <w:pPr>
        <w:widowControl w:val="0"/>
        <w:tabs>
          <w:tab w:val="left" w:pos="-180"/>
          <w:tab w:val="left" w:pos="0"/>
          <w:tab w:val="left" w:pos="1440"/>
        </w:tabs>
        <w:ind w:firstLine="567"/>
        <w:jc w:val="both"/>
      </w:pPr>
      <w:r>
        <w:t>Specialiai įrengtus apsauginius laidininkus draudžiama naudoti kitiems tikslams.</w:t>
      </w:r>
    </w:p>
    <w:p>
      <w:pPr>
        <w:widowControl w:val="0"/>
        <w:ind w:firstLine="567"/>
        <w:jc w:val="both"/>
      </w:pPr>
    </w:p>
    <w:p>
      <w:pPr>
        <w:widowControl w:val="0"/>
        <w:jc w:val="center"/>
        <w:rPr>
          <w:b/>
        </w:rPr>
      </w:pPr>
      <w:r>
        <w:rPr>
          <w:b/>
        </w:rPr>
        <w:t>VIENUOLIKTASIS</w:t>
      </w:r>
      <w:r>
        <w:rPr>
          <w:b/>
        </w:rPr>
        <w:t xml:space="preserve"> SKIRSNIS</w:t>
      </w:r>
    </w:p>
    <w:p>
      <w:pPr>
        <w:widowControl w:val="0"/>
        <w:jc w:val="center"/>
        <w:rPr>
          <w:b/>
        </w:rPr>
      </w:pPr>
      <w:r>
        <w:rPr>
          <w:b/>
        </w:rPr>
        <w:t xml:space="preserve">ĮŽEMINIMO IR APSAUGINIŲ LAIDININKŲ SUJUNGIMAS IR PRIJUNGIMAS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720"/>
        </w:tabs>
        <w:ind w:firstLine="567"/>
        <w:jc w:val="both"/>
      </w:pPr>
      <w:r>
        <w:t>241</w:t>
      </w:r>
      <w:r>
        <w:t>. Įžeminimo ir apsauginiai laidininkai, nutiesti grunte, turi būti sujungiami suvirinant. Patalpose arba lauke, kur aplinka chemiškai neaktyvi, nutiesti laidininkai sujungiami varžtais, jungėmis ir pan. Įžemintuvų iš spalvotųjų arba jais padengtų metalų požeminiams elementams sujungti naudojamos specialios jungės. Jungties kontaktai turi būti apsaugoti nuo korozijos ir atsipalaidavimo.</w:t>
      </w:r>
    </w:p>
    <w:p>
      <w:pPr>
        <w:widowControl w:val="0"/>
        <w:tabs>
          <w:tab w:val="left" w:pos="-180"/>
          <w:tab w:val="left" w:pos="0"/>
          <w:tab w:val="left" w:pos="1440"/>
        </w:tabs>
        <w:ind w:firstLine="567"/>
        <w:jc w:val="both"/>
      </w:pPr>
      <w:r>
        <w:t>242</w:t>
      </w:r>
      <w:r>
        <w:t>. Kaip įžeminimo arba apsauginiai laidininkai naudojami elektros instaliacijos plieniniai vamzdžiai ir kitos konstrukcijos turi būti patikimai sujungtos. Plieniniai elektros instaliacijos vamzdžiai turi būti patikimai sujungti su įrenginių korpusais ir metalinėmis skirstomosiomis dėžutėmis.</w:t>
      </w:r>
    </w:p>
    <w:p>
      <w:pPr>
        <w:widowControl w:val="0"/>
        <w:tabs>
          <w:tab w:val="left" w:pos="-180"/>
          <w:tab w:val="left" w:pos="0"/>
          <w:tab w:val="left" w:pos="1440"/>
        </w:tabs>
        <w:ind w:firstLine="567"/>
        <w:jc w:val="both"/>
      </w:pPr>
      <w:r>
        <w:t>243</w:t>
      </w:r>
      <w:r>
        <w:t>. Įžeminimo laidininkai ir natūralieji įžemintuvai turi būti sujungiami taip, kad, remontuojant natūraliuosius įžemintuvus, būtų užtikrinta leistinoji įžeminimo varža. Jeigu remonto metu įžeminimo laidininkai nutraukiami, nutraukimo vietą būtina šuntuoti.</w:t>
      </w:r>
    </w:p>
    <w:p>
      <w:pPr>
        <w:widowControl w:val="0"/>
        <w:tabs>
          <w:tab w:val="left" w:pos="-180"/>
          <w:tab w:val="left" w:pos="0"/>
          <w:tab w:val="left" w:pos="1440"/>
        </w:tabs>
        <w:ind w:firstLine="567"/>
        <w:jc w:val="both"/>
      </w:pPr>
      <w:r>
        <w:t>244</w:t>
      </w:r>
      <w:r>
        <w:t>. Įžeminimo ir apsauginiai laidininkai prie įžeminamų ar įnulinamų įrenginių dalių matomose ir apžiūrėti prieinamose vietose turi būti prijungti varžtais. Varžtais sujungti kontaktai turi būti apsaugoti nuo korozijos ir atsipalaidavimo.</w:t>
      </w:r>
    </w:p>
    <w:p>
      <w:pPr>
        <w:widowControl w:val="0"/>
        <w:tabs>
          <w:tab w:val="left" w:pos="-180"/>
          <w:tab w:val="left" w:pos="0"/>
          <w:tab w:val="left" w:pos="1440"/>
        </w:tabs>
        <w:ind w:firstLine="567"/>
        <w:jc w:val="both"/>
      </w:pPr>
      <w:r>
        <w:t>Dažnai išmontuojami, ant judamųjų dalių esantys ir vibruojantys įrenginiai turi būti įžeminti arba įnulinti lanksčiaisiais laidininkais.</w:t>
      </w:r>
    </w:p>
    <w:p>
      <w:pPr>
        <w:widowControl w:val="0"/>
        <w:tabs>
          <w:tab w:val="left" w:pos="-180"/>
          <w:tab w:val="left" w:pos="0"/>
          <w:tab w:val="left" w:pos="1440"/>
        </w:tabs>
        <w:ind w:firstLine="567"/>
        <w:jc w:val="both"/>
      </w:pPr>
      <w:r>
        <w:t>245</w:t>
      </w:r>
      <w:r>
        <w:t>. Visi įžeminami ar įnulinami elektros įrenginiai ar jų dalys prie įžeminimo ar įnulinimo magistralės turi būti prijungti atskirais laidininkais. Kelių elektros įrenginių įžeminimo laidininkai neturi būti jungiami nuosekliai.</w:t>
      </w:r>
    </w:p>
    <w:p>
      <w:pPr>
        <w:widowControl w:val="0"/>
        <w:ind w:firstLine="567"/>
        <w:jc w:val="both"/>
      </w:pPr>
    </w:p>
    <w:p>
      <w:pPr>
        <w:widowControl w:val="0"/>
        <w:jc w:val="center"/>
        <w:rPr>
          <w:b/>
        </w:rPr>
      </w:pPr>
      <w:r>
        <w:rPr>
          <w:b/>
        </w:rPr>
        <w:t>DVYLIKTASIS</w:t>
      </w:r>
      <w:r>
        <w:rPr>
          <w:b/>
        </w:rPr>
        <w:t xml:space="preserve"> SKIRSNIS</w:t>
      </w:r>
    </w:p>
    <w:p>
      <w:pPr>
        <w:widowControl w:val="0"/>
        <w:jc w:val="center"/>
        <w:rPr>
          <w:b/>
        </w:rPr>
      </w:pPr>
      <w:r>
        <w:rPr>
          <w:b/>
        </w:rPr>
        <w:t xml:space="preserve">KILNOJAMIEJI ELEKTROS IMTUVAI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246</w:t>
      </w:r>
      <w:r>
        <w:t>. Visų įtampų kilnojamųjų elektros imtuvų, turinčių specialųjį įžeminimo gnybtą (šakutę su trim gnybtais), esančių nepavojingose patalpose, korpusus tikslinga įžeminti arba įnulinti. Pavieniams kilnojamiesiems elektros imtuvams srovės skirtuminė apsauga naudojama vadovaujantis normatyvais. Suveikimo srovė ne didesnė kaip 10 mA. Nereikia įžeminti arba įnulinti imtuvų, turinčių dvigubą ar sustiprintą izoliaciją arba prijungtų skiriamaisiais transformatoriais.</w:t>
      </w:r>
    </w:p>
    <w:p>
      <w:pPr>
        <w:widowControl w:val="0"/>
        <w:tabs>
          <w:tab w:val="left" w:pos="-180"/>
          <w:tab w:val="left" w:pos="0"/>
          <w:tab w:val="left" w:pos="720"/>
          <w:tab w:val="left" w:pos="1440"/>
          <w:tab w:val="left" w:pos="6804"/>
          <w:tab w:val="left" w:pos="11482"/>
        </w:tabs>
        <w:ind w:firstLine="567"/>
        <w:jc w:val="both"/>
      </w:pPr>
      <w:r>
        <w:t>247</w:t>
      </w:r>
      <w:r>
        <w:t>. Kilnojamieji elektros imtuvai įžeminami arba įnulinami specialiu laidininku. Tam naudojama atskira maitinančiojo kabelio gysla. Šios gyslos skerspjūvis turi būti toks pats kaip ir fazinių laidų.</w:t>
      </w:r>
    </w:p>
    <w:p>
      <w:pPr>
        <w:widowControl w:val="0"/>
        <w:tabs>
          <w:tab w:val="left" w:pos="-180"/>
          <w:tab w:val="left" w:pos="0"/>
          <w:tab w:val="left" w:pos="1440"/>
        </w:tabs>
        <w:ind w:firstLine="567"/>
        <w:jc w:val="both"/>
      </w:pPr>
      <w:r>
        <w:t>Kilnojamuosius imtuvus maitinančių linijų reikalavimai pateikti Taisyklių 233 punkte.</w:t>
      </w:r>
    </w:p>
    <w:p>
      <w:pPr>
        <w:widowControl w:val="0"/>
        <w:tabs>
          <w:tab w:val="left" w:pos="-180"/>
          <w:tab w:val="left" w:pos="0"/>
          <w:tab w:val="left" w:pos="1440"/>
        </w:tabs>
        <w:ind w:firstLine="567"/>
        <w:jc w:val="both"/>
      </w:pPr>
      <w:r>
        <w:t>248</w:t>
      </w:r>
      <w:r>
        <w:t>. Kilnojamieji elektros įrenginiai, naudojami bandymams, turi būti įžeminti stacionariaisiais arba atskirais kilnojamaisiais įžeminimo laidininkais.</w:t>
      </w:r>
    </w:p>
    <w:p>
      <w:pPr>
        <w:widowControl w:val="0"/>
        <w:tabs>
          <w:tab w:val="left" w:pos="-180"/>
          <w:tab w:val="left" w:pos="0"/>
          <w:tab w:val="left" w:pos="1440"/>
        </w:tabs>
        <w:ind w:firstLine="567"/>
        <w:jc w:val="both"/>
      </w:pPr>
      <w:r>
        <w:t>Kilnojamųjų imtuvų prijungimo laidininkų kištukai turi būti prijungti iš elektros imtuvo pusės, o kištukų lizdas – iš elektros šaltinio pusės.</w:t>
      </w:r>
    </w:p>
    <w:p>
      <w:pPr>
        <w:widowControl w:val="0"/>
        <w:tabs>
          <w:tab w:val="left" w:pos="-180"/>
          <w:tab w:val="left" w:pos="0"/>
          <w:tab w:val="left" w:pos="1440"/>
        </w:tabs>
        <w:ind w:firstLine="567"/>
        <w:jc w:val="both"/>
      </w:pPr>
      <w:r>
        <w:t>Metalinį kištukų lizdo korpusą reikia įnulinti (įžeminti).</w:t>
      </w:r>
    </w:p>
    <w:p>
      <w:pPr>
        <w:widowControl w:val="0"/>
        <w:tabs>
          <w:tab w:val="left" w:pos="-180"/>
          <w:tab w:val="left" w:pos="0"/>
          <w:tab w:val="left" w:pos="1440"/>
        </w:tabs>
        <w:ind w:firstLine="567"/>
        <w:jc w:val="both"/>
      </w:pPr>
      <w:r>
        <w:t>249</w:t>
      </w:r>
      <w:r>
        <w:t>. Kilnojamųjų elektros imtuvų apsauginio įžeminimo ir įnulinimo laidininkai turi būti pažymėti geltonos ir žalios spalvos deriniu.</w:t>
      </w:r>
    </w:p>
    <w:p>
      <w:pPr>
        <w:widowControl w:val="0"/>
        <w:ind w:firstLine="567"/>
        <w:jc w:val="both"/>
      </w:pPr>
    </w:p>
    <w:p>
      <w:pPr>
        <w:widowControl w:val="0"/>
        <w:jc w:val="center"/>
        <w:rPr>
          <w:b/>
        </w:rPr>
      </w:pPr>
      <w:r>
        <w:rPr>
          <w:b/>
        </w:rPr>
        <w:t>TRYLIKTASIS</w:t>
      </w:r>
      <w:r>
        <w:rPr>
          <w:b/>
        </w:rPr>
        <w:t xml:space="preserve"> SKIRSNIS</w:t>
      </w:r>
    </w:p>
    <w:p>
      <w:pPr>
        <w:widowControl w:val="0"/>
        <w:jc w:val="center"/>
        <w:rPr>
          <w:b/>
        </w:rPr>
      </w:pPr>
      <w:r>
        <w:rPr>
          <w:b/>
        </w:rPr>
        <w:t xml:space="preserve">NESTACIONARIEJI ELEKTROS ĮRENGINIAI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250</w:t>
      </w:r>
      <w:r>
        <w:t>. Nestacionariųjų įrenginių elektros imtuvai maitinami iš stacionariųjų arba kilnojamųjų tiesiogiai įžemintos arba izoliuotosios neutralės elektros šaltinių.</w:t>
      </w:r>
    </w:p>
    <w:p>
      <w:pPr>
        <w:widowControl w:val="0"/>
        <w:tabs>
          <w:tab w:val="left" w:pos="-180"/>
          <w:tab w:val="left" w:pos="0"/>
          <w:tab w:val="left" w:pos="1440"/>
        </w:tabs>
        <w:ind w:firstLine="567"/>
        <w:jc w:val="both"/>
      </w:pPr>
      <w:r>
        <w:t>251</w:t>
      </w:r>
      <w:r>
        <w:t>. Prie kilnojamųjų šaltinių prijungiami stacionariųjų ir nestacionariųjų elektros įrenginių imtuvai.</w:t>
      </w:r>
    </w:p>
    <w:p>
      <w:pPr>
        <w:widowControl w:val="0"/>
        <w:tabs>
          <w:tab w:val="left" w:pos="-180"/>
          <w:tab w:val="left" w:pos="0"/>
          <w:tab w:val="left" w:pos="1440"/>
        </w:tabs>
        <w:ind w:firstLine="567"/>
        <w:jc w:val="both"/>
      </w:pPr>
      <w:r>
        <w:t>252</w:t>
      </w:r>
      <w:r>
        <w:t>. Jei stacionarieji elektros imtuvai maitinami autonominių kilnojamųjų elektros šaltinių, pastarųjų neutralės būsena ir saugos priemonės turi atitikti stacionariųjų elektros imtuvų tinklų reikalavimus.</w:t>
      </w:r>
    </w:p>
    <w:p>
      <w:pPr>
        <w:widowControl w:val="0"/>
        <w:tabs>
          <w:tab w:val="left" w:pos="-180"/>
          <w:tab w:val="left" w:pos="0"/>
          <w:tab w:val="left" w:pos="1440"/>
        </w:tabs>
        <w:ind w:firstLine="567"/>
        <w:jc w:val="both"/>
      </w:pPr>
      <w:r>
        <w:t>253</w:t>
      </w:r>
      <w:r>
        <w:t>. Jei nestacionarieji įrenginiai maitinami stacionariųjų arba kilnojamųjų izoliuotosios neutralės šaltinių, elektros šaltinio ir įrenginio korpusai nesujungiami, jeigu jie turi atskirus įžeminimo įrenginius, užtikrinančius leistinąją prisilietimo įtampą, kai į skirtingų įrenginių korpusus įžemėja skirtingos fazės.</w:t>
      </w:r>
    </w:p>
    <w:p>
      <w:pPr>
        <w:widowControl w:val="0"/>
        <w:tabs>
          <w:tab w:val="left" w:pos="-180"/>
          <w:tab w:val="left" w:pos="0"/>
          <w:tab w:val="left" w:pos="567"/>
          <w:tab w:val="left" w:pos="1440"/>
        </w:tabs>
        <w:ind w:firstLine="567"/>
        <w:jc w:val="both"/>
      </w:pPr>
      <w:r>
        <w:t>254</w:t>
      </w:r>
      <w:r>
        <w:t>. Jei nestacionarieji elektros imtuvai maitinami kilnojamųjų autonominių šaltinių, tai trifazio trilaidžio arba keturlaidžio tinklo neutralė ir vienfazio dvilaidžio tinklo įvadai turi būti izoliuoti. Šiuo atveju pakanka elektros šaltinį įžeminti, o imtuvus įžeminti įrenginių korpusus jungiančiais metalinio ryšio laidininkais.</w:t>
      </w:r>
    </w:p>
    <w:p>
      <w:pPr>
        <w:widowControl w:val="0"/>
        <w:tabs>
          <w:tab w:val="left" w:pos="-180"/>
          <w:tab w:val="left" w:pos="0"/>
          <w:tab w:val="left" w:pos="567"/>
          <w:tab w:val="left" w:pos="1440"/>
        </w:tabs>
        <w:ind w:firstLine="567"/>
        <w:jc w:val="both"/>
      </w:pPr>
      <w:r>
        <w:t>255</w:t>
      </w:r>
      <w:r>
        <w:t>. Jei nestacionarieji elektros įrenginiai maitinami kilnojamųjų autonominių izoliuotosios neutralės šaltinių, įžeminimo įrenginys turi atitikti įžeminimo varžos arba prisilietimo įtampos, įvykus vienfaziam susijungimui su korpusu, reikalavimus.</w:t>
      </w:r>
    </w:p>
    <w:p>
      <w:pPr>
        <w:widowControl w:val="0"/>
        <w:tabs>
          <w:tab w:val="left" w:pos="-180"/>
          <w:tab w:val="left" w:pos="0"/>
          <w:tab w:val="left" w:pos="567"/>
          <w:tab w:val="left" w:pos="1440"/>
        </w:tabs>
        <w:ind w:firstLine="567"/>
        <w:jc w:val="both"/>
      </w:pPr>
      <w:r>
        <w:t xml:space="preserve">Projektuojamo įžeminimo įrenginio varža turi būti ne didesnė kaip 25 </w:t>
      </w:r>
      <w:r>
        <w:rPr>
          <w:position w:val="-4"/>
        </w:rPr>
        <w:object w:dxaOrig="255" w:dyaOrig="255">
          <v:shape id="_x0000_i1047" type="#_x0000_t75" style="width:12.8pt;height:12.8pt" o:ole="">
            <v:imagedata r:id="rId63" o:title=""/>
          </v:shape>
          <o:OLEObject Type="Embed" ProgID="Equation.3" ShapeID="_x0000_i1047" DrawAspect="Content" ObjectID="_0000000001" r:id="rId64"/>
        </w:object>
      </w:r>
      <w:r>
        <w:t>.</w:t>
      </w:r>
    </w:p>
    <w:p>
      <w:pPr>
        <w:widowControl w:val="0"/>
        <w:tabs>
          <w:tab w:val="left" w:pos="-180"/>
          <w:tab w:val="left" w:pos="0"/>
          <w:tab w:val="left" w:pos="567"/>
          <w:tab w:val="left" w:pos="1440"/>
        </w:tabs>
        <w:ind w:firstLine="567"/>
        <w:jc w:val="both"/>
      </w:pPr>
      <w:r>
        <w:t>Projektuojamo pagal prisilietimo įtampą įžeminimo įrenginio varža nereglamentuojama.</w:t>
      </w:r>
    </w:p>
    <w:p>
      <w:pPr>
        <w:widowControl w:val="0"/>
        <w:tabs>
          <w:tab w:val="left" w:pos="-180"/>
          <w:tab w:val="left" w:pos="0"/>
          <w:tab w:val="left" w:pos="567"/>
          <w:tab w:val="left" w:pos="1440"/>
        </w:tabs>
        <w:ind w:firstLine="567"/>
        <w:jc w:val="both"/>
      </w:pPr>
      <w:r>
        <w:t>256</w:t>
      </w:r>
      <w:r>
        <w:t>. Nestacionariųjų elektros įrenginių, maitinamų kilnojamųjų autonominių izoliuotosios neutralės šaltiniai neįžeminami, jeigu:</w:t>
      </w:r>
    </w:p>
    <w:p>
      <w:pPr>
        <w:widowControl w:val="0"/>
        <w:tabs>
          <w:tab w:val="left" w:pos="-180"/>
          <w:tab w:val="left" w:pos="0"/>
          <w:tab w:val="left" w:pos="567"/>
          <w:tab w:val="left" w:pos="993"/>
          <w:tab w:val="left" w:pos="1440"/>
        </w:tabs>
        <w:ind w:firstLine="567"/>
        <w:jc w:val="both"/>
      </w:pPr>
      <w:r>
        <w:t>256.1</w:t>
      </w:r>
      <w:r>
        <w:t>. maitinimo šaltinis ir elektros imtuvai yra įrengti tame pačiame kilnojamajame įrenginyje ir jų korpusai sujungti laidininkais; nuo to paties šaltinio kiti elektros įrenginiai nemaitinami;</w:t>
      </w:r>
    </w:p>
    <w:p>
      <w:pPr>
        <w:widowControl w:val="0"/>
        <w:tabs>
          <w:tab w:val="left" w:pos="-180"/>
          <w:tab w:val="left" w:pos="0"/>
          <w:tab w:val="left" w:pos="567"/>
          <w:tab w:val="left" w:pos="993"/>
          <w:tab w:val="left" w:pos="1440"/>
        </w:tabs>
        <w:ind w:firstLine="567"/>
        <w:jc w:val="both"/>
      </w:pPr>
      <w:r>
        <w:t>256.2</w:t>
      </w:r>
      <w:r>
        <w:t>. vienas arba du įrenginiai prijungti prie specialaus, tik jiems skirto elektros šaltinio ir nutolę nuo jo ne daugiau kaip 50 m, o šaltinio ir imtuvų korpusai sujungti laidininkais. Maitinamų įrenginių skaičius ir maitinimo kabelių ilgis leistinas toks, kad vienfazio įžemėjimo atveju prisilietimo įtampa neviršytų leistinosios;</w:t>
      </w:r>
    </w:p>
    <w:p>
      <w:pPr>
        <w:widowControl w:val="0"/>
        <w:tabs>
          <w:tab w:val="left" w:pos="-180"/>
          <w:tab w:val="left" w:pos="0"/>
          <w:tab w:val="left" w:pos="567"/>
          <w:tab w:val="left" w:pos="993"/>
          <w:tab w:val="left" w:pos="1440"/>
        </w:tabs>
        <w:ind w:firstLine="567"/>
        <w:jc w:val="both"/>
      </w:pPr>
      <w:r>
        <w:t>256.3</w:t>
      </w:r>
      <w:r>
        <w:t>. įžeminimo įrenginio varža, apskaičiuota pagal prisilietimo įtampą, susijungus fazei su korpusu, didesnė kaip nuolatinės izoliacijos kontrolės įrenginio darbinio įžeminimo varža.</w:t>
      </w:r>
    </w:p>
    <w:p>
      <w:pPr>
        <w:widowControl w:val="0"/>
        <w:tabs>
          <w:tab w:val="left" w:pos="-180"/>
          <w:tab w:val="left" w:pos="0"/>
          <w:tab w:val="left" w:pos="567"/>
          <w:tab w:val="left" w:pos="1440"/>
        </w:tabs>
        <w:ind w:firstLine="567"/>
        <w:jc w:val="both"/>
      </w:pPr>
      <w:r>
        <w:t>257</w:t>
      </w:r>
      <w:r>
        <w:t>. Kilnojamųjų autonominių izoliuotosios neutralės elektros šaltinių izoliacijos varža neutralios žemės atžvilgiu turi būti matuojama nuolat prijungtais kontrolės prietaisais.</w:t>
      </w:r>
    </w:p>
    <w:p>
      <w:pPr>
        <w:widowControl w:val="0"/>
        <w:tabs>
          <w:tab w:val="left" w:pos="-180"/>
          <w:tab w:val="left" w:pos="0"/>
          <w:tab w:val="left" w:pos="567"/>
          <w:tab w:val="left" w:pos="1440"/>
        </w:tabs>
        <w:ind w:firstLine="567"/>
        <w:jc w:val="both"/>
      </w:pPr>
      <w:r>
        <w:t>258</w:t>
      </w:r>
      <w:r>
        <w:t>. Elektros imtuvų, įrengtų ant nestacionariojo įrenginio, korpusai turi turėti patikimą metalinį ryšį su šio įrenginio korpusu. Šiuo atveju specialiųjų laidininkų nereikia, jeigu įvykdyti Taisyklių 205.1 punkto reikalavimai.</w:t>
      </w:r>
    </w:p>
    <w:p>
      <w:pPr>
        <w:widowControl w:val="0"/>
        <w:tabs>
          <w:tab w:val="left" w:pos="-180"/>
          <w:tab w:val="left" w:pos="0"/>
          <w:tab w:val="left" w:pos="567"/>
          <w:tab w:val="left" w:pos="1440"/>
        </w:tabs>
        <w:ind w:firstLine="567"/>
        <w:jc w:val="both"/>
      </w:pPr>
      <w:r>
        <w:t>259</w:t>
      </w:r>
      <w:r>
        <w:t>. Kilnojamieji šaltiniai ir nestacionariųjų elektros imtuvų korpusai sujungiami šiais laidininkais:</w:t>
      </w:r>
    </w:p>
    <w:p>
      <w:pPr>
        <w:widowControl w:val="0"/>
        <w:tabs>
          <w:tab w:val="left" w:pos="-180"/>
          <w:tab w:val="left" w:pos="0"/>
          <w:tab w:val="left" w:pos="567"/>
          <w:tab w:val="left" w:pos="709"/>
          <w:tab w:val="left" w:pos="993"/>
          <w:tab w:val="left" w:pos="1440"/>
        </w:tabs>
        <w:ind w:firstLine="567"/>
        <w:jc w:val="both"/>
      </w:pPr>
      <w:r>
        <w:t>259.1</w:t>
      </w:r>
      <w:r>
        <w:t>. trifazio tinklo, naudojant nulinį laidą, kabelio papildoma penktąja gysla;</w:t>
      </w:r>
    </w:p>
    <w:p>
      <w:pPr>
        <w:widowControl w:val="0"/>
        <w:tabs>
          <w:tab w:val="left" w:pos="-180"/>
          <w:tab w:val="left" w:pos="0"/>
          <w:tab w:val="left" w:pos="567"/>
          <w:tab w:val="left" w:pos="709"/>
          <w:tab w:val="left" w:pos="993"/>
          <w:tab w:val="left" w:pos="1440"/>
        </w:tabs>
        <w:ind w:firstLine="567"/>
        <w:jc w:val="both"/>
      </w:pPr>
      <w:r>
        <w:t>259.2</w:t>
      </w:r>
      <w:r>
        <w:t>. trifazio tinklo, nenaudojant nulinio laido, kabelio papildoma ketvirtąja gysla;</w:t>
      </w:r>
    </w:p>
    <w:p>
      <w:pPr>
        <w:widowControl w:val="0"/>
        <w:tabs>
          <w:tab w:val="left" w:pos="-180"/>
          <w:tab w:val="left" w:pos="0"/>
          <w:tab w:val="left" w:pos="567"/>
          <w:tab w:val="left" w:pos="709"/>
          <w:tab w:val="left" w:pos="993"/>
          <w:tab w:val="left" w:pos="1440"/>
        </w:tabs>
        <w:ind w:firstLine="567"/>
        <w:jc w:val="both"/>
      </w:pPr>
      <w:r>
        <w:t>259.3</w:t>
      </w:r>
      <w:r>
        <w:t>. vienfazio tinklo kabelio papildoma trečiąja gysla.</w:t>
      </w:r>
    </w:p>
    <w:p>
      <w:pPr>
        <w:widowControl w:val="0"/>
        <w:tabs>
          <w:tab w:val="left" w:pos="-180"/>
          <w:tab w:val="left" w:pos="0"/>
          <w:tab w:val="left" w:pos="567"/>
          <w:tab w:val="left" w:pos="1440"/>
        </w:tabs>
        <w:ind w:firstLine="567"/>
        <w:jc w:val="both"/>
      </w:pPr>
      <w:r>
        <w:t>Fazinių laidininkų ir šaltinio ir elektros imtuvų korpusų jungties laidininkų laidumas turi atitikti Taisyklių 230 punkto reikalavimus.</w:t>
      </w:r>
    </w:p>
    <w:p>
      <w:pPr>
        <w:widowControl w:val="0"/>
        <w:tabs>
          <w:tab w:val="left" w:pos="-180"/>
          <w:tab w:val="left" w:pos="0"/>
          <w:tab w:val="left" w:pos="567"/>
          <w:tab w:val="left" w:pos="720"/>
          <w:tab w:val="left" w:pos="1440"/>
          <w:tab w:val="left" w:pos="6804"/>
          <w:tab w:val="left" w:pos="11482"/>
        </w:tabs>
        <w:ind w:firstLine="567"/>
        <w:jc w:val="both"/>
      </w:pPr>
      <w:r>
        <w:t>260</w:t>
      </w:r>
      <w:r>
        <w:t>. Įrenginių korpusams įžeminti ir įnulinti ir jiems sujungti reikia naudoti lanksčius varinius laidininkus. Jie turi būti bendrame apvalkale ir tokio paties kaip faziniai laidininkai skerspjūvio.</w:t>
      </w:r>
    </w:p>
    <w:p>
      <w:pPr>
        <w:widowControl w:val="0"/>
        <w:tabs>
          <w:tab w:val="left" w:pos="-180"/>
          <w:tab w:val="left" w:pos="0"/>
          <w:tab w:val="left" w:pos="567"/>
          <w:tab w:val="left" w:pos="1440"/>
        </w:tabs>
        <w:ind w:firstLine="567"/>
        <w:jc w:val="both"/>
      </w:pPr>
      <w:r>
        <w:t>Izoliuotosios neutralės tinkluose įrenginių korpusai jungiami atskiru variniu laidininku, kurio skerspjūvis ne mažesnis kaip 2,5 mm</w:t>
      </w:r>
      <w:r>
        <w:rPr>
          <w:vertAlign w:val="superscript"/>
        </w:rPr>
        <w:t>2</w:t>
      </w:r>
      <w:r>
        <w:t>.</w:t>
      </w:r>
    </w:p>
    <w:p>
      <w:pPr>
        <w:widowControl w:val="0"/>
        <w:tabs>
          <w:tab w:val="left" w:pos="-180"/>
          <w:tab w:val="left" w:pos="0"/>
          <w:tab w:val="left" w:pos="567"/>
          <w:tab w:val="left" w:pos="1440"/>
        </w:tabs>
        <w:ind w:firstLine="567"/>
        <w:jc w:val="both"/>
      </w:pPr>
      <w:r>
        <w:t>261</w:t>
      </w:r>
      <w:r>
        <w:t>. Nulinis laidininkas, jungiantis kilnojamojo autonominio trifazio generatoriaus neutralę su skirstomuoju skydu, naudojamas kaip ir įžeminimo laidininkas.</w:t>
      </w:r>
    </w:p>
    <w:p>
      <w:pPr>
        <w:widowControl w:val="0"/>
        <w:tabs>
          <w:tab w:val="left" w:pos="-180"/>
          <w:tab w:val="left" w:pos="0"/>
          <w:tab w:val="left" w:pos="567"/>
          <w:tab w:val="left" w:pos="1440"/>
        </w:tabs>
        <w:ind w:firstLine="567"/>
        <w:jc w:val="both"/>
      </w:pPr>
      <w:r>
        <w:t>262</w:t>
      </w:r>
      <w:r>
        <w:t>. Nestacionariųjų įrenginių, turinčių kilnojamuosius autonominius šaltinius, elektros tinklo laiduose ir korpusus jungiančiuose laidininkuose įrengiama ir valdymo aparatūra, jeigu ji atjungia visus fazinius ir nulinį laidininką anksčiau arba vienu metu su apsauginiais laidininkais.</w:t>
      </w:r>
    </w:p>
    <w:p>
      <w:pPr>
        <w:widowControl w:val="0"/>
        <w:tabs>
          <w:tab w:val="left" w:pos="-180"/>
          <w:tab w:val="left" w:pos="0"/>
          <w:tab w:val="left" w:pos="567"/>
          <w:tab w:val="left" w:pos="1440"/>
        </w:tabs>
        <w:ind w:firstLine="567"/>
        <w:jc w:val="both"/>
      </w:pPr>
      <w:r>
        <w:t>263</w:t>
      </w:r>
      <w:r>
        <w:t>. Jei naudojamas nestacionariojo įrenginio apsauginis atjungimas, komutavimo aparatas turi būti įrengtas prieš nestacionariojo įrenginio įvadą.</w:t>
      </w:r>
    </w:p>
    <w:p>
      <w:pPr>
        <w:widowControl w:val="0"/>
        <w:ind w:firstLine="567"/>
        <w:jc w:val="both"/>
      </w:pPr>
    </w:p>
    <w:p>
      <w:pPr>
        <w:widowControl w:val="0"/>
        <w:jc w:val="center"/>
        <w:rPr>
          <w:b/>
        </w:rPr>
      </w:pPr>
      <w:r>
        <w:rPr>
          <w:b/>
        </w:rPr>
        <w:t>KETURIOLIKTASIS</w:t>
      </w:r>
      <w:r>
        <w:rPr>
          <w:b/>
        </w:rPr>
        <w:t xml:space="preserve"> SKIRSNIS</w:t>
      </w:r>
    </w:p>
    <w:p>
      <w:pPr>
        <w:widowControl w:val="0"/>
        <w:jc w:val="center"/>
        <w:rPr>
          <w:b/>
        </w:rPr>
      </w:pPr>
      <w:r>
        <w:rPr>
          <w:b/>
        </w:rPr>
        <w:t xml:space="preserve">KABELIŲ LINIJŲ ĮŽEMINIMAS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264</w:t>
      </w:r>
      <w:r>
        <w:t>. Metaliniai kabelių apvalkalai, šarvai ir konstrukcijos, kuriomis tiesiami kabeliai, turi būti įžeminti arba įnulinti. 110 kV ir aukštesnės įtampos linijų tranzitinių kabelių apvalkalai, atlikus skaičiavimus, turi būti įžeminti tik viename linijos gale.</w:t>
      </w:r>
    </w:p>
    <w:p>
      <w:pPr>
        <w:widowControl w:val="0"/>
        <w:tabs>
          <w:tab w:val="left" w:pos="-180"/>
          <w:tab w:val="left" w:pos="0"/>
          <w:tab w:val="left" w:pos="1440"/>
        </w:tabs>
        <w:ind w:firstLine="567"/>
        <w:jc w:val="both"/>
      </w:pPr>
      <w:r>
        <w:t>265</w:t>
      </w:r>
      <w:r>
        <w:t>. Įžeminamas arba įnulinamas metalinis galios kabelio apvalkalas ir šarvas tarpusavyje turi būti sujungti lanksčiu variniu laidininku ir prijungti prie movos korpuso ir galūnės. Įvertinus movų konstrukciją ir naudojamas jų montavimo technologijas, visi metaliniai apvalkalai, ekranai ir šarvai įžeminami bendru laidininku, jeigu nenumatoma kabeliams įrengti antikorozinę apsaugą. Antikorozine apsauga saugomų kabelių įžeminami elementai turi būti įžeminti atskirais laidininkais.</w:t>
      </w:r>
    </w:p>
    <w:p>
      <w:pPr>
        <w:widowControl w:val="0"/>
        <w:tabs>
          <w:tab w:val="left" w:pos="-180"/>
          <w:tab w:val="left" w:pos="0"/>
          <w:tab w:val="left" w:pos="1440"/>
        </w:tabs>
        <w:ind w:firstLine="567"/>
        <w:jc w:val="both"/>
      </w:pPr>
      <w:r>
        <w:t>Nereikalaujama naudoti įžeminimo arba apsauginio laidininkų, kurių laidumas didesnis už kabelio apvalkalo laidumą. Visais atvejais laidininkų skerspjūvis turi būti ne mažesnis kaip 6 mm</w:t>
      </w:r>
      <w:r>
        <w:rPr>
          <w:vertAlign w:val="superscript"/>
        </w:rPr>
        <w:t>2</w:t>
      </w:r>
      <w:r>
        <w:t>.</w:t>
      </w:r>
    </w:p>
    <w:p>
      <w:pPr>
        <w:widowControl w:val="0"/>
        <w:tabs>
          <w:tab w:val="left" w:pos="-180"/>
          <w:tab w:val="left" w:pos="0"/>
          <w:tab w:val="left" w:pos="1440"/>
        </w:tabs>
        <w:ind w:firstLine="567"/>
        <w:jc w:val="both"/>
      </w:pPr>
      <w:r>
        <w:t>Kontrolinių kabelių apvalkalai naudojami kaip įžeminamieji laidininkai neprieštaraujant Taisyklių 228 punkto reikalavimams.</w:t>
      </w:r>
    </w:p>
    <w:p>
      <w:pPr>
        <w:widowControl w:val="0"/>
        <w:tabs>
          <w:tab w:val="left" w:pos="-180"/>
          <w:tab w:val="left" w:pos="0"/>
          <w:tab w:val="left" w:pos="1440"/>
        </w:tabs>
        <w:ind w:firstLine="567"/>
        <w:jc w:val="both"/>
      </w:pPr>
      <w:r>
        <w:t>Jeigu oro linijos atramoje įrengta kabelio mova ir viršįtampių ribotuvai, tai kabelio mova, apvalkalas ir šarvas turi būti prijungti prie ribotuvų įžeminimo įrenginio. Šiuo atveju kabelio švininis apvalkalas naudojamas tik kaip papildomas įžemintuvas.</w:t>
      </w:r>
    </w:p>
    <w:p>
      <w:pPr>
        <w:widowControl w:val="0"/>
        <w:tabs>
          <w:tab w:val="left" w:pos="-180"/>
          <w:tab w:val="left" w:pos="0"/>
          <w:tab w:val="left" w:pos="1440"/>
        </w:tabs>
        <w:ind w:firstLine="567"/>
        <w:jc w:val="both"/>
      </w:pPr>
      <w:r>
        <w:t>Kabelių estakados ir galerijos turi būti apsaugotos žaibolaidžių.</w:t>
      </w:r>
    </w:p>
    <w:p>
      <w:pPr>
        <w:widowControl w:val="0"/>
        <w:tabs>
          <w:tab w:val="left" w:pos="-180"/>
          <w:tab w:val="left" w:pos="0"/>
          <w:tab w:val="left" w:pos="1440"/>
        </w:tabs>
        <w:ind w:firstLine="567"/>
        <w:jc w:val="both"/>
      </w:pPr>
      <w:r>
        <w:t>266</w:t>
      </w:r>
      <w:r>
        <w:t>. Žemo slėgio alyvinių kabelių linijose turi būti įžeminamos jungiamosios, užtveriamosios ir galinės movos.</w:t>
      </w:r>
    </w:p>
    <w:p>
      <w:pPr>
        <w:widowControl w:val="0"/>
        <w:tabs>
          <w:tab w:val="left" w:pos="-180"/>
          <w:tab w:val="left" w:pos="0"/>
          <w:tab w:val="left" w:pos="1440"/>
        </w:tabs>
        <w:ind w:firstLine="567"/>
        <w:jc w:val="both"/>
      </w:pPr>
      <w:r>
        <w:t>Alyvos tiekimo įrenginiai prie kabelių aliumininių apvalkalų turi būti prijungti izoliaciniais intarpais. Kabelių galūnių korpusai turi būti izoliuoti nuo kabelių apvalkalų. To nereikia daryti, jeigu kabeliai tiesiog prijungti prie transformatorių.</w:t>
      </w:r>
    </w:p>
    <w:p>
      <w:pPr>
        <w:widowControl w:val="0"/>
        <w:tabs>
          <w:tab w:val="left" w:pos="-180"/>
          <w:tab w:val="left" w:pos="0"/>
          <w:tab w:val="left" w:pos="1440"/>
        </w:tabs>
        <w:ind w:firstLine="567"/>
        <w:jc w:val="both"/>
      </w:pPr>
      <w:r>
        <w:t>Kiekviename kabelių šulinyje žemo slėgio alyvinių kabelių šarvai iš abiejų movos pusių turi būti suvirinti ir įžeminti.</w:t>
      </w:r>
    </w:p>
    <w:p>
      <w:pPr>
        <w:widowControl w:val="0"/>
        <w:tabs>
          <w:tab w:val="left" w:pos="-180"/>
          <w:tab w:val="left" w:pos="0"/>
          <w:tab w:val="left" w:pos="1440"/>
        </w:tabs>
        <w:ind w:firstLine="567"/>
        <w:jc w:val="both"/>
      </w:pPr>
      <w:r>
        <w:t>267</w:t>
      </w:r>
      <w:r>
        <w:t>. Aukšto slėgio alyvinių kabelių linijų plieniniai vamzdžiai, nutiesti grunte, turi būti įžeminti galuose, visuose kabelių šuliniuose ir apsaugoti nuo korozijos. Jeigu būtina, reikia įrengti antikorozinės dangos elektrinę varžą kontroliuojantį prietaisą.</w:t>
      </w:r>
    </w:p>
    <w:p>
      <w:pPr>
        <w:widowControl w:val="0"/>
        <w:tabs>
          <w:tab w:val="left" w:pos="-180"/>
          <w:tab w:val="left" w:pos="0"/>
          <w:tab w:val="left" w:pos="1440"/>
        </w:tabs>
        <w:ind w:firstLine="567"/>
        <w:jc w:val="both"/>
      </w:pPr>
      <w:r>
        <w:t>268</w:t>
      </w:r>
      <w:r>
        <w:t>. Jeigu kabelio linijos perėjimo į oro liniją atrama yra be įžemintuvo, tai kabelio galūnė įžeminama prijungiant ją prie aliumininio kabelio apvalkalo tiktai tuo atveju, kai kita kabelio galūnė yra prijungta prie įžemintuvo arba kabelio apvalkalo, o įžeminimo varža atitinka šio skyriaus reikalavimus.</w:t>
      </w:r>
    </w:p>
    <w:p>
      <w:pPr>
        <w:widowControl w:val="0"/>
        <w:ind w:firstLine="567"/>
        <w:jc w:val="both"/>
      </w:pPr>
    </w:p>
    <w:p>
      <w:pPr>
        <w:widowControl w:val="0"/>
        <w:jc w:val="center"/>
        <w:rPr>
          <w:b/>
        </w:rPr>
      </w:pPr>
      <w:r>
        <w:rPr>
          <w:b/>
        </w:rPr>
        <w:t>PENKIOLIKTASIS</w:t>
      </w:r>
      <w:r>
        <w:rPr>
          <w:b/>
        </w:rPr>
        <w:t xml:space="preserve"> SKIRSNIS</w:t>
      </w:r>
    </w:p>
    <w:p>
      <w:pPr>
        <w:widowControl w:val="0"/>
        <w:jc w:val="center"/>
        <w:rPr>
          <w:b/>
        </w:rPr>
      </w:pPr>
      <w:r>
        <w:rPr>
          <w:b/>
        </w:rPr>
        <w:t xml:space="preserve">PLIENINIŲ APSAUGINIŲ KELIO ATITVARŲ SISTEMŲ, VIELINIŲ APTVARŲ IR METALINIŲ TVORŲ ĮŽEMINIMAS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keepNext/>
        <w:keepLines/>
        <w:ind w:firstLine="567"/>
        <w:jc w:val="both"/>
      </w:pPr>
      <w:r>
        <w:rPr>
          <w:szCs w:val="24"/>
          <w:lang w:eastAsia="lt-LT"/>
        </w:rPr>
        <w:t>269</w:t>
      </w:r>
      <w:r>
        <w:rPr>
          <w:szCs w:val="24"/>
          <w:lang w:eastAsia="lt-LT"/>
        </w:rPr>
        <w:t>. Oro linijų apsaugos zonose plieninių apsauginių kelio atitvarų sistemoms, vielinėms aptvaroms ir metalinėms tvoroms įrengti turi būti gautas šias linijas eksploatuojančių operatorių raštiškas sutikimas ir įžeminimo įrengimo sąlygos.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widowControl w:val="0"/>
        <w:tabs>
          <w:tab w:val="left" w:pos="-180"/>
          <w:tab w:val="left" w:pos="0"/>
          <w:tab w:val="left" w:pos="1440"/>
        </w:tabs>
        <w:ind w:firstLine="567"/>
        <w:jc w:val="both"/>
      </w:pPr>
      <w:r>
        <w:t>270</w:t>
      </w:r>
      <w:r>
        <w:t>. Vielinių aptvarų arba metalinių tvorų ir aukštesnės kaip 1000 V įtampos oro linijos sankirtose abiejose oro linijos pusėse 15–20 m atstumu nuo kraštinių laidų vertikaliųjų projekcijų vielinėje aptvaroje ir metalinėje tvoroje turi būti įrengiamas 0,25 m oro tarpas. Metalinės tvoros arba vielinės aptvaros ir iki 1000 V įtampos oro linijos sankirtoje tarpų tvoroje arba aptvaroje įrengti nebūtina, o reikia ją tik įžeminti.</w:t>
      </w:r>
    </w:p>
    <w:p>
      <w:pPr>
        <w:ind w:firstLine="567"/>
        <w:jc w:val="both"/>
      </w:pPr>
      <w:r>
        <w:rPr>
          <w:szCs w:val="24"/>
          <w:lang w:eastAsia="lt-LT"/>
        </w:rPr>
        <w:t>271</w:t>
      </w:r>
      <w:r>
        <w:rPr>
          <w:szCs w:val="24"/>
          <w:lang w:eastAsia="lt-LT"/>
        </w:rPr>
        <w:t>. Plieninių apsauginių kelio atitvarų sistemoms oro tarpas neįrengiamas. Plieninių apsauginių kelio atitvarų sistemos po oro linija turi būti įžemintos ne didesne kaip 30 Ω varža. Vielinių aptvarų ir metalinių tvorų dalis po oro linija turi būti įžeminta ne didesne kaip 30 Ω varža. Vielinės aptvaros ir metalinės tvoros, esančios už įrengtų tarpų 15–20 m atstumu, turi būti pakartotinai įžemintos. Įžeminimo varža nereglamentuojama.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ind w:firstLine="567"/>
        <w:jc w:val="both"/>
      </w:pPr>
      <w:r>
        <w:rPr>
          <w:szCs w:val="24"/>
          <w:lang w:eastAsia="lt-LT"/>
        </w:rPr>
        <w:t>272</w:t>
      </w:r>
      <w:r>
        <w:rPr>
          <w:szCs w:val="24"/>
          <w:lang w:eastAsia="lt-LT"/>
        </w:rPr>
        <w:t>. Įrengiant plieninių apsauginių kelio atitvarų sistemas, vielines aptvaras ir metalines tvoras lygiagrečiai 110 kV ir aukštesnės įtampos oro linijoms už jų apsaugos zonų, plieninių apsauginių kelio atitvarų sistemų, vielinių aptvarų ir metalinių tvorų įžeminimo reikalingumas turi būti nustatytas projekte. Bet kuriame sistemos, aptvaros arba tvoros taške, esančiame oro linijos elektromagnetinės įtakos zonoje, indukuota įtampa žemės atžvilgiu turi būti ne aukštesnė kaip 25 V.</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widowControl w:val="0"/>
        <w:jc w:val="center"/>
        <w:rPr>
          <w:b/>
        </w:rPr>
      </w:pPr>
      <w:r>
        <w:rPr>
          <w:b/>
        </w:rPr>
        <w:t>ŠEŠIOLIKTASIS</w:t>
      </w:r>
      <w:r>
        <w:rPr>
          <w:b/>
        </w:rPr>
        <w:t xml:space="preserve"> SKIRSNIS</w:t>
      </w:r>
    </w:p>
    <w:p>
      <w:pPr>
        <w:widowControl w:val="0"/>
        <w:jc w:val="center"/>
        <w:rPr>
          <w:b/>
        </w:rPr>
      </w:pPr>
      <w:r>
        <w:rPr>
          <w:b/>
        </w:rPr>
        <w:t xml:space="preserve">IKI 1000 V ĮTAMPOS ORO LINIJŲ ĮŽEMINIMAS IR APSAUGA NUO VIRŠĮTAMPIŲ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rPr>
          <w:color w:val="000000"/>
        </w:rPr>
      </w:pPr>
      <w:r>
        <w:t>273</w:t>
      </w:r>
      <w:r>
        <w:t>. Įrenginiams apsaugoti nuo vidinių ir atmosferinių viršįtampių turi būti naudojamos apsaugos nuo viršįtampių priemonės. Transformatorinių žemosios įtampos elektros skydai ir oro linijos kabelių intarpai turi būti apsaugoti nuo viršįtampių. Kitų iki 1000 V įtampos operatoriui ir vartotojams priklausančių elektros įrenginių apsaugos nuo viršįtampių priemonių reikalingumas nustatomas ir šios priemonės įrengiamos pagal poreikį, atsižvelgiant į projektiniuose sprendiniuose</w:t>
      </w:r>
      <w:r>
        <w:rPr>
          <w:color w:val="0000FF"/>
        </w:rPr>
        <w:t xml:space="preserve"> </w:t>
      </w:r>
      <w:r>
        <w:rPr>
          <w:color w:val="000000"/>
        </w:rPr>
        <w:t>įrangos ir elektros imtuvų apsaugos nuo atmosferinių viršįtampių reikalavimus. Vartotojams priklausančiuose elektros įrenginiuose, tuo atveju, kai projektiniuose sprendiniuose bus numatytos priemonės nuo viršįtampių, jos turi būti skirtos apsaugai nuo žaibo ir nuo komutacinių viršįtampių.</w:t>
      </w:r>
    </w:p>
    <w:p>
      <w:pPr>
        <w:widowControl w:val="0"/>
        <w:tabs>
          <w:tab w:val="left" w:pos="-180"/>
          <w:tab w:val="left" w:pos="0"/>
          <w:tab w:val="left" w:pos="1440"/>
        </w:tabs>
        <w:ind w:firstLine="567"/>
        <w:jc w:val="both"/>
      </w:pPr>
      <w:r>
        <w:t>274</w:t>
      </w:r>
      <w:r>
        <w:t xml:space="preserve">. Iki 1000 V įtampos izoliuotosios neutralės tinklų gelžbetoninių atramų fazinių laidų smeigės, atramų metalinės konstrukcijos ir atotampos turi būti įžemintos. Įžeminimo varža turi būti ne didesnė kaip 50 </w:t>
      </w:r>
      <w:r>
        <w:rPr>
          <w:position w:val="-4"/>
        </w:rPr>
        <w:object w:dxaOrig="255" w:dyaOrig="255">
          <v:shape id="_x0000_i1048" type="#_x0000_t75" style="width:12.8pt;height:12.8pt" o:ole="">
            <v:imagedata r:id="rId65" o:title=""/>
          </v:shape>
          <o:OLEObject Type="Embed" ProgID="Equation.3" ShapeID="_x0000_i1048" DrawAspect="Content" ObjectID="_0000000001" r:id="rId66"/>
        </w:object>
      </w:r>
      <w:r>
        <w:t>. Jeigu atramų atotampose yra tempiamųjų izoliatorių, atotampų įžeminti nereikia.</w:t>
      </w:r>
    </w:p>
    <w:p>
      <w:pPr>
        <w:widowControl w:val="0"/>
        <w:tabs>
          <w:tab w:val="left" w:pos="-180"/>
          <w:tab w:val="left" w:pos="0"/>
          <w:tab w:val="left" w:pos="1440"/>
        </w:tabs>
        <w:ind w:firstLine="567"/>
        <w:jc w:val="both"/>
      </w:pPr>
      <w:r>
        <w:t>Iki 1000 V įtampos tiesiogiai įžemintos neutralės tinklų gelžbetoninių atramų fazinių laidų smeigės, atramų metalinės konstrukcijos ir atotampos turi būti sujungtos su apsauginiu arba apsauginiu nuliniu laidu.</w:t>
      </w:r>
    </w:p>
    <w:p>
      <w:pPr>
        <w:widowControl w:val="0"/>
        <w:tabs>
          <w:tab w:val="left" w:pos="-180"/>
          <w:tab w:val="left" w:pos="0"/>
          <w:tab w:val="left" w:pos="1440"/>
        </w:tabs>
        <w:ind w:firstLine="567"/>
        <w:jc w:val="both"/>
      </w:pPr>
      <w:r>
        <w:t>Linijų medinių atramų izoliatorių smeigės ir kabliai neįžeminami, išskyrus atramas, kuriose apsauginis arba apsauginis nulinis laidas yra pakartotinai įžemintas apsaugai nuo atmosferinių viršįtampių.</w:t>
      </w:r>
    </w:p>
    <w:p>
      <w:pPr>
        <w:widowControl w:val="0"/>
        <w:ind w:firstLine="567"/>
        <w:jc w:val="both"/>
        <w:rPr>
          <w:b/>
          <w:u w:val="single"/>
        </w:rPr>
      </w:pPr>
      <w:r>
        <w:t>275</w:t>
      </w:r>
      <w:r>
        <w:t xml:space="preserve">. Vieno aukšto ir dviaukščių namų gyvenvietėse oro linijos, neekranuojamos aukštų statinių, medžių ir pan., turi būti apsaugotos nuo atmosferinių viršįtampių. Oro linijose įžeminimo įrenginiai apsaugai nuo atmosferinių viršįtampių turi būti įrengti ne rečiau kaip kas 200 m, o oro kabelių linijose – ne rečiau kaip kas 120 m. Atstumas nuo linijos galinės atramos įžeminimo įrenginio iki artimiausio įžeminimo įrenginio linijoje turi būti ne didesnis kaip 100 m, o oro kabelių linijose – ne didesnis kaip 50 m. </w:t>
      </w:r>
    </w:p>
    <w:p>
      <w:pPr>
        <w:widowControl w:val="0"/>
        <w:tabs>
          <w:tab w:val="left" w:pos="-180"/>
          <w:tab w:val="left" w:pos="0"/>
          <w:tab w:val="left" w:pos="1440"/>
        </w:tabs>
        <w:ind w:firstLine="567"/>
        <w:jc w:val="both"/>
      </w:pPr>
      <w:r>
        <w:t xml:space="preserve">Oro linijų apsaugos nuo viršįtampių įžeminimo varža turi būti ne didesnė kaip 30 </w:t>
      </w:r>
      <w:r>
        <w:rPr>
          <w:position w:val="-4"/>
        </w:rPr>
        <w:object w:dxaOrig="255" w:dyaOrig="255">
          <v:shape id="_x0000_i1049" type="#_x0000_t75" style="width:12.8pt;height:12.8pt" o:ole="">
            <v:imagedata r:id="rId67" o:title=""/>
          </v:shape>
          <o:OLEObject Type="Embed" ProgID="Equation.3" ShapeID="_x0000_i1049" DrawAspect="Content" ObjectID="_0000000001" r:id="rId68"/>
        </w:object>
      </w:r>
      <w:r>
        <w:t>. Prie šių įžeminimo įrenginių turi būti prijungti ir atramų kabliai, smeigės ir metalinės konstrukcijos, taip pat gelžbetoninių atramų armatūra ir atotampos be tempimo izoliatorių. Apsauginis nulinis laidininkas prijungiamas prie gelžbetoninės atramos armatūros.</w:t>
      </w:r>
    </w:p>
    <w:p>
      <w:pPr>
        <w:widowControl w:val="0"/>
        <w:tabs>
          <w:tab w:val="left" w:pos="-180"/>
          <w:tab w:val="left" w:pos="0"/>
          <w:tab w:val="left" w:pos="1440"/>
        </w:tabs>
        <w:ind w:firstLine="567"/>
        <w:jc w:val="both"/>
      </w:pPr>
      <w:r>
        <w:t>276</w:t>
      </w:r>
      <w:r>
        <w:t>. Tiesiogiai įžemintos neutralės tinkluose apsaugai nuo atmosferinių viršįtampių tikslinga naudoti įžeminimo įrenginius, skirtus apsauginiam nuliniam laidui pakartotinai įžeminti.</w:t>
      </w:r>
    </w:p>
    <w:p>
      <w:pPr>
        <w:widowControl w:val="0"/>
        <w:tabs>
          <w:tab w:val="left" w:pos="-180"/>
          <w:tab w:val="left" w:pos="0"/>
          <w:tab w:val="left" w:pos="1440"/>
        </w:tabs>
        <w:ind w:firstLine="567"/>
        <w:jc w:val="both"/>
      </w:pPr>
    </w:p>
    <w:p>
      <w:pPr>
        <w:widowControl w:val="0"/>
        <w:jc w:val="center"/>
        <w:rPr>
          <w:b/>
        </w:rPr>
      </w:pPr>
      <w:r>
        <w:rPr>
          <w:b/>
        </w:rPr>
        <w:t>SEPTYNIOLIKTASIS</w:t>
      </w:r>
      <w:r>
        <w:rPr>
          <w:b/>
        </w:rPr>
        <w:t xml:space="preserve"> SKIRSNIS</w:t>
      </w:r>
    </w:p>
    <w:p>
      <w:pPr>
        <w:widowControl w:val="0"/>
        <w:jc w:val="center"/>
        <w:rPr>
          <w:b/>
        </w:rPr>
      </w:pPr>
      <w:r>
        <w:rPr>
          <w:b/>
        </w:rPr>
        <w:t xml:space="preserve">AUKŠTESNĖS KAIP 1000 V ĮTAMPOS ORO LINIJŲ ĮŽEMINIMAS IR APSAUGA NUO VIRŠĮTAMPIŲ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277</w:t>
      </w:r>
      <w:r>
        <w:t>. 110–400 kV įtampos oro linijos ištisai turi būti apsaugotos trosais nuo tiesioginių žaibų. Iki 35 kV įtampos oro linijose apsaugos trosais turi būti apsaugotos 35 kV įtampos linijų prieigos prie pastočių.</w:t>
      </w:r>
    </w:p>
    <w:p>
      <w:pPr>
        <w:widowControl w:val="0"/>
        <w:tabs>
          <w:tab w:val="left" w:pos="-180"/>
          <w:tab w:val="left" w:pos="0"/>
          <w:tab w:val="left" w:pos="567"/>
          <w:tab w:val="left" w:pos="1440"/>
        </w:tabs>
        <w:ind w:firstLine="567"/>
        <w:jc w:val="both"/>
      </w:pPr>
      <w:r>
        <w:t>278</w:t>
      </w:r>
      <w:r>
        <w:t xml:space="preserve">. 6–10 kV įtampos oro linijų izoliuotų laidų, nutiestų užstatytomis vietovėmis, lygiagrečiai keliams ir pėsčiųjų trasoms ir sankirtose su jomis, apsaugos nuo viršįtampių priemonės turi būti įrengtos kas 250–300 m. Nurodytais atstumais magistralinėse linijose apsaugos nuo viršįtampių priemonės įrengiamos abiejose izoliatoriaus pusėse, o atšakoje – tik už izoliatoriaus vartotojo pusėje. </w:t>
      </w:r>
    </w:p>
    <w:p>
      <w:pPr>
        <w:widowControl w:val="0"/>
        <w:tabs>
          <w:tab w:val="left" w:pos="-180"/>
          <w:tab w:val="left" w:pos="0"/>
          <w:tab w:val="left" w:pos="567"/>
          <w:tab w:val="left" w:pos="1440"/>
        </w:tabs>
        <w:ind w:firstLine="567"/>
        <w:jc w:val="both"/>
      </w:pPr>
      <w:r>
        <w:t>279</w:t>
      </w:r>
      <w:r>
        <w:t xml:space="preserve">. Kai oro linijos apsaugomos </w:t>
      </w:r>
      <w:r>
        <w:rPr>
          <w:color w:val="000000"/>
        </w:rPr>
        <w:t>nuo tiesioginių žaibų</w:t>
      </w:r>
      <w:r>
        <w:rPr>
          <w:color w:val="0000FF"/>
        </w:rPr>
        <w:t xml:space="preserve"> </w:t>
      </w:r>
      <w:r>
        <w:t>trosais, būtina laikytis šių nurodymų:</w:t>
      </w:r>
    </w:p>
    <w:p>
      <w:pPr>
        <w:widowControl w:val="0"/>
        <w:tabs>
          <w:tab w:val="left" w:pos="-180"/>
          <w:tab w:val="left" w:pos="0"/>
          <w:tab w:val="left" w:pos="567"/>
          <w:tab w:val="left" w:pos="993"/>
          <w:tab w:val="left" w:pos="1440"/>
        </w:tabs>
        <w:ind w:firstLine="567"/>
        <w:jc w:val="both"/>
      </w:pPr>
      <w:r>
        <w:t>279.1</w:t>
      </w:r>
      <w:r>
        <w:t>. vienstiebių gelžbetoninių ir metalinių atramų, turinčių vieną trosą, apsaugos kampas turi būti ne didesnis kaip 30°, o turinčių du trosus – ne didesnis kaip 20°;</w:t>
      </w:r>
    </w:p>
    <w:p>
      <w:pPr>
        <w:widowControl w:val="0"/>
        <w:tabs>
          <w:tab w:val="left" w:pos="-180"/>
          <w:tab w:val="left" w:pos="0"/>
          <w:tab w:val="left" w:pos="567"/>
          <w:tab w:val="left" w:pos="993"/>
          <w:tab w:val="left" w:pos="1440"/>
        </w:tabs>
        <w:ind w:firstLine="567"/>
        <w:jc w:val="both"/>
      </w:pPr>
      <w:r>
        <w:t>279.2</w:t>
      </w:r>
      <w:r>
        <w:t>. metalinių atramų, kurių laidai išdėstyti horizontaliai ir kurios turi du trosus, apsaugos kampas išorinių laidų atžvilgiu turi būti ne didesnis kaip 20°;</w:t>
      </w:r>
    </w:p>
    <w:p>
      <w:pPr>
        <w:widowControl w:val="0"/>
        <w:tabs>
          <w:tab w:val="left" w:pos="-180"/>
          <w:tab w:val="left" w:pos="0"/>
          <w:tab w:val="left" w:pos="567"/>
          <w:tab w:val="left" w:pos="993"/>
          <w:tab w:val="left" w:pos="1440"/>
        </w:tabs>
        <w:ind w:firstLine="567"/>
        <w:jc w:val="both"/>
      </w:pPr>
      <w:r>
        <w:t>279.3</w:t>
      </w:r>
      <w:r>
        <w:t>. gelžbetoninių portalinių atramų išorinių laidų apsaugos kampas turi būti ne didesnis kaip 30°;</w:t>
      </w:r>
    </w:p>
    <w:p>
      <w:pPr>
        <w:widowControl w:val="0"/>
        <w:tabs>
          <w:tab w:val="left" w:pos="-180"/>
          <w:tab w:val="left" w:pos="0"/>
          <w:tab w:val="left" w:pos="567"/>
          <w:tab w:val="left" w:pos="993"/>
          <w:tab w:val="left" w:pos="1440"/>
        </w:tabs>
        <w:ind w:firstLine="567"/>
        <w:jc w:val="both"/>
      </w:pPr>
      <w:r>
        <w:t>279.4</w:t>
      </w:r>
      <w:r>
        <w:t>. jei oro linija apsaugoma dviem trosais, atstumas tarp jų turi būti ne didesnis kaip penki vertikalieji atstumai tarp troso ir laido.</w:t>
      </w:r>
    </w:p>
    <w:p>
      <w:pPr>
        <w:widowControl w:val="0"/>
        <w:tabs>
          <w:tab w:val="left" w:pos="-180"/>
          <w:tab w:val="left" w:pos="0"/>
          <w:tab w:val="left" w:pos="567"/>
          <w:tab w:val="left" w:pos="1440"/>
        </w:tabs>
        <w:ind w:firstLine="567"/>
        <w:jc w:val="both"/>
      </w:pPr>
      <w:r>
        <w:t>280</w:t>
      </w:r>
      <w:r>
        <w:t>. Vertikalusis atstumas tarp troso ir oro linijos laidų tarpatramio viduryje, neatsižvelgiant į atlenkimą nuo vėjo, pagal apsaugos nuo atmosferinių viršįtampių sąlygas turi būti ne mažesnis, kaip nurodyta Taisyklių 4 priedo 3 lentelėje, ir ne mažesnis nei vertikalusis atstumas tarp troso ir laido atramoje. Kai tarpatramio ilgiai kiti, atstumai nustatomi interpoliacijos būdu.</w:t>
      </w:r>
    </w:p>
    <w:p>
      <w:pPr>
        <w:widowControl w:val="0"/>
        <w:tabs>
          <w:tab w:val="left" w:pos="-180"/>
          <w:tab w:val="left" w:pos="0"/>
          <w:tab w:val="left" w:pos="567"/>
          <w:tab w:val="left" w:pos="1440"/>
        </w:tabs>
        <w:ind w:firstLine="567"/>
        <w:jc w:val="both"/>
      </w:pPr>
      <w:r>
        <w:t>281</w:t>
      </w:r>
      <w:r>
        <w:t xml:space="preserve">. Visose 330–400 kV įtampos oro linijų atramose trosai turi būti tvirtinami prie izoliatorių, šuntuotų 40 mm kibirkštiniais tarpeliais. Kai naudojamas žaibosaugos trosas su optiniu kabeliu, trosas turi būti įžemintas visose atramose. </w:t>
      </w:r>
    </w:p>
    <w:p>
      <w:pPr>
        <w:widowControl w:val="0"/>
        <w:tabs>
          <w:tab w:val="left" w:pos="-180"/>
          <w:tab w:val="left" w:pos="0"/>
          <w:tab w:val="left" w:pos="567"/>
          <w:tab w:val="left" w:pos="1440"/>
        </w:tabs>
        <w:ind w:firstLine="567"/>
        <w:jc w:val="both"/>
      </w:pPr>
      <w:r>
        <w:t>Visuose iki 10 km ilgio inkariniuose tarpatramiuose trosai turi būti įžeminti vieną kartą, inkarinėje atramoje įrengiant specialias junges. Jei šie tarpatramiai ilgesni, įžeminimo vietų tarpatramyje turi būti tiek, kad linijoje įvykus trumpajam jungimui didžiausia trose indukuota išilginė elektrovaros jėga nepramuštų kibirkštinių tarpelių.</w:t>
      </w:r>
    </w:p>
    <w:p>
      <w:pPr>
        <w:widowControl w:val="0"/>
        <w:tabs>
          <w:tab w:val="left" w:pos="-180"/>
          <w:tab w:val="left" w:pos="0"/>
          <w:tab w:val="left" w:pos="567"/>
          <w:tab w:val="left" w:pos="1440"/>
        </w:tabs>
        <w:ind w:firstLine="567"/>
        <w:jc w:val="both"/>
      </w:pPr>
      <w:r>
        <w:t>Tvirtinant trosus prie atramų, tikslinga naudoti stiklinius izoliatorius.</w:t>
      </w:r>
    </w:p>
    <w:p>
      <w:pPr>
        <w:widowControl w:val="0"/>
        <w:tabs>
          <w:tab w:val="left" w:pos="-180"/>
          <w:tab w:val="left" w:pos="0"/>
          <w:tab w:val="left" w:pos="567"/>
          <w:tab w:val="left" w:pos="1440"/>
        </w:tabs>
        <w:ind w:firstLine="567"/>
        <w:jc w:val="both"/>
      </w:pPr>
      <w:r>
        <w:t>Jeigu trosas pakabintas naudojant kelis izoliatorius (apšalui nuo troso tirpinti arba ryšiui palaikyti), tai kibirkštinio tarpelio dydis turi būti suderintas su girliandos, kuria trosas tvirtinamas prie atramos, elektriniu atsparumu.</w:t>
      </w:r>
    </w:p>
    <w:p>
      <w:pPr>
        <w:widowControl w:val="0"/>
        <w:tabs>
          <w:tab w:val="left" w:pos="-180"/>
          <w:tab w:val="left" w:pos="0"/>
          <w:tab w:val="left" w:pos="1440"/>
        </w:tabs>
        <w:ind w:firstLine="567"/>
        <w:jc w:val="both"/>
      </w:pPr>
      <w:r>
        <w:t xml:space="preserve">330–400 kV įtampos oro linijos trosą 2–3 km prieigoje iki pastotės reikia įžeminti kiekvienoje atramoje, jeigu jis nenaudojamas kitiems tikslams. </w:t>
      </w:r>
    </w:p>
    <w:p>
      <w:pPr>
        <w:widowControl w:val="0"/>
        <w:tabs>
          <w:tab w:val="left" w:pos="-180"/>
          <w:tab w:val="left" w:pos="0"/>
          <w:tab w:val="left" w:pos="1440"/>
        </w:tabs>
        <w:ind w:firstLine="567"/>
        <w:jc w:val="both"/>
      </w:pPr>
      <w:r>
        <w:t>110 kV ir žemesnės įtampos oro linijose trosą tvirtinti prie izoliatorių reikia tik inkarinėse metalinėse arba gelžbetoninėse atramose, jeigu troso apšalas netirpinamas.</w:t>
      </w:r>
    </w:p>
    <w:p>
      <w:pPr>
        <w:widowControl w:val="0"/>
        <w:tabs>
          <w:tab w:val="left" w:pos="-180"/>
          <w:tab w:val="left" w:pos="0"/>
          <w:tab w:val="left" w:pos="1440"/>
        </w:tabs>
        <w:ind w:firstLine="567"/>
        <w:jc w:val="both"/>
      </w:pPr>
      <w:r>
        <w:t>282</w:t>
      </w:r>
      <w:r>
        <w:t>. Oro linijų kabelių intarpai nuo atmosferinių viršįtampių turi būti apsaugoti viršįtampių ribotuvais, įrengtais abiejuose kabelio galuose. Šio ribotuvo įžeminamasis gnybtas, kabelio metalinis apvalkalas, taip pat kabelio galūnė tarpusavyje turi būti sujungti taip, kad jungiamasis laidas būtų trumpiausias. Viršįtampių ribotuvo įžeminimo gnybtas su įžemintuvu turi būti sujungtas atskira junge.</w:t>
      </w:r>
    </w:p>
    <w:p>
      <w:pPr>
        <w:widowControl w:val="0"/>
        <w:tabs>
          <w:tab w:val="left" w:pos="-180"/>
          <w:tab w:val="left" w:pos="0"/>
          <w:tab w:val="left" w:pos="1440"/>
        </w:tabs>
        <w:ind w:firstLine="567"/>
        <w:jc w:val="both"/>
      </w:pPr>
      <w:r>
        <w:t>282</w:t>
      </w:r>
      <w:r>
        <w:t xml:space="preserve">. Oro linijų perėjų per upes, vandens telkinius ir pan. atramose, aukštesnėse kaip 40 m, ant kurių nėra apsaugos trosų, turi būti įrengti viršįtampių ribotuvai (Taisyklių 313 punktas). </w:t>
      </w:r>
    </w:p>
    <w:p>
      <w:pPr>
        <w:widowControl w:val="0"/>
        <w:tabs>
          <w:tab w:val="left" w:pos="-180"/>
          <w:tab w:val="left" w:pos="0"/>
          <w:tab w:val="left" w:pos="1440"/>
        </w:tabs>
        <w:ind w:firstLine="567"/>
        <w:jc w:val="both"/>
      </w:pPr>
      <w:r>
        <w:t>284</w:t>
      </w:r>
      <w:r>
        <w:t>. Oro linijose atstumai tarp įtampą turinčių laidų ir armatūros ir įžemintų atramų dalių turi būti ne mažesni, kaip nurodyta Taisyklių 4 priedo 4 lentelėje.</w:t>
      </w:r>
    </w:p>
    <w:p>
      <w:pPr>
        <w:widowControl w:val="0"/>
        <w:tabs>
          <w:tab w:val="left" w:pos="-180"/>
          <w:tab w:val="left" w:pos="0"/>
          <w:tab w:val="left" w:pos="1440"/>
        </w:tabs>
        <w:ind w:firstLine="567"/>
        <w:jc w:val="both"/>
      </w:pPr>
      <w:r>
        <w:t>285</w:t>
      </w:r>
      <w:r>
        <w:t>. Atstumai tarp laidų atramoje laidų transpozicijos ir laidų išdėstymo pakeitimo vietose ir oro linijų atšakų prijungimo vietose turi būti ne mažesni, kaip nurodyta Taisyklių 4 priedo 5 lentelėje.</w:t>
      </w:r>
    </w:p>
    <w:p>
      <w:pPr>
        <w:widowControl w:val="0"/>
        <w:tabs>
          <w:tab w:val="left" w:pos="-180"/>
          <w:tab w:val="left" w:pos="0"/>
          <w:tab w:val="left" w:pos="567"/>
          <w:tab w:val="left" w:pos="1440"/>
        </w:tabs>
        <w:ind w:firstLine="567"/>
        <w:jc w:val="both"/>
      </w:pPr>
      <w:r>
        <w:t>286</w:t>
      </w:r>
      <w:r>
        <w:t>. Linijų sankirtose ir suartėjimuose su kitais objektais apsaugai nuo viršįtampių keliami papildomi reikalavimai. Taip pat būtina vadovautis Elektros linijų ir instaliacijos įrengimo taisyklėmis.</w:t>
      </w:r>
    </w:p>
    <w:p>
      <w:pPr>
        <w:widowControl w:val="0"/>
        <w:tabs>
          <w:tab w:val="left" w:pos="-180"/>
          <w:tab w:val="left" w:pos="0"/>
          <w:tab w:val="left" w:pos="567"/>
          <w:tab w:val="left" w:pos="1440"/>
        </w:tabs>
        <w:ind w:firstLine="567"/>
        <w:jc w:val="both"/>
      </w:pPr>
      <w:r>
        <w:t>287</w:t>
      </w:r>
      <w:r>
        <w:t>. Oro linijose reikia įžeminti:</w:t>
      </w:r>
    </w:p>
    <w:p>
      <w:pPr>
        <w:widowControl w:val="0"/>
        <w:tabs>
          <w:tab w:val="left" w:pos="-180"/>
          <w:tab w:val="left" w:pos="0"/>
          <w:tab w:val="left" w:pos="567"/>
          <w:tab w:val="left" w:pos="993"/>
          <w:tab w:val="left" w:pos="1440"/>
        </w:tabs>
        <w:ind w:firstLine="567"/>
        <w:jc w:val="both"/>
      </w:pPr>
      <w:r>
        <w:t>287.1</w:t>
      </w:r>
      <w:r>
        <w:t>. oro linijų su trosais arba su kitomis apsaugos nuo atmosferinių viršįtampių priemonėmis atramas. Atramų įžeminimo varžos turi būti ne didesnės už nurodytas Taisyklių 4 priedo 6 lentelėje;</w:t>
      </w:r>
    </w:p>
    <w:p>
      <w:pPr>
        <w:widowControl w:val="0"/>
        <w:tabs>
          <w:tab w:val="left" w:pos="-180"/>
          <w:tab w:val="left" w:pos="0"/>
          <w:tab w:val="left" w:pos="567"/>
          <w:tab w:val="left" w:pos="993"/>
          <w:tab w:val="left" w:pos="1440"/>
        </w:tabs>
        <w:ind w:firstLine="567"/>
        <w:jc w:val="both"/>
      </w:pPr>
      <w:r>
        <w:t>287.2</w:t>
      </w:r>
      <w:r>
        <w:t xml:space="preserve">. 6–35 kV oro linijų gelžbetonines ir metalines atramas. Užstatytose vietovėse 6–10 kV oro linijų, taip pat visų 35 kV oro linijų įžeminimo varžos turi būti ne didesnės, negu nurodytos Taisyklių 4 priedo 6 lentelėje. Neurbanizuotose teritorijose, kur savitoji grunto varža </w:t>
      </w:r>
      <w:r>
        <w:rPr>
          <w:vanish/>
        </w:rPr>
        <w:t xml:space="preserve"> </w:t>
      </w:r>
      <w:r>
        <w:rPr>
          <w:position w:val="-10"/>
        </w:rPr>
        <w:object w:dxaOrig="240" w:dyaOrig="255">
          <v:shape id="_x0000_i1050" type="#_x0000_t75" style="width:12pt;height:12.8pt" o:ole="">
            <v:imagedata r:id="rId69" o:title=""/>
          </v:shape>
          <o:OLEObject Type="Embed" ProgID="Equation.3" ShapeID="_x0000_i1050" DrawAspect="Content" ObjectID="_0000000001" r:id="rId70"/>
        </w:object>
      </w:r>
      <w:r>
        <w:t xml:space="preserve"> </w:t>
      </w:r>
      <w:r>
        <w:rPr>
          <w:position w:val="-4"/>
        </w:rPr>
        <w:object w:dxaOrig="195" w:dyaOrig="240">
          <v:shape id="_x0000_i1051" type="#_x0000_t75" style="width:9.6pt;height:12pt" o:ole="">
            <v:imagedata r:id="rId71" o:title=""/>
          </v:shape>
          <o:OLEObject Type="Embed" ProgID="Equation.3" ShapeID="_x0000_i1051" DrawAspect="Content" ObjectID="_0000000001" r:id="rId72"/>
        </w:object>
      </w:r>
      <w:r>
        <w:t xml:space="preserve"> 100 </w:t>
      </w:r>
      <w:r>
        <w:rPr>
          <w:position w:val="-4"/>
        </w:rPr>
        <w:object w:dxaOrig="255" w:dyaOrig="255">
          <v:shape id="_x0000_i1052" type="#_x0000_t75" style="width:12.8pt;height:12.8pt" o:ole="">
            <v:imagedata r:id="rId73" o:title=""/>
          </v:shape>
          <o:OLEObject Type="Embed" ProgID="Equation.3" ShapeID="_x0000_i1052" DrawAspect="Content" ObjectID="_0000000001" r:id="rId74"/>
        </w:object>
      </w:r>
      <w:r>
        <w:t xml:space="preserve"> m, atramų įžeminimo varžos turi būti ne didesnės kaip 30 </w:t>
      </w:r>
      <w:r>
        <w:rPr>
          <w:position w:val="-4"/>
        </w:rPr>
        <w:object w:dxaOrig="255" w:dyaOrig="255">
          <v:shape id="_x0000_i1053" type="#_x0000_t75" style="width:12.8pt;height:12.8pt" o:ole="">
            <v:imagedata r:id="rId75" o:title=""/>
          </v:shape>
          <o:OLEObject Type="Embed" ProgID="Equation.3" ShapeID="_x0000_i1053" DrawAspect="Content" ObjectID="_0000000001" r:id="rId76"/>
        </w:object>
      </w:r>
      <w:r>
        <w:t>. Neužstatytose vietovėse 6–10 kV linijų atramų įžemintuvui naudojamas ir plieninis laidininkas, kurio paviršiaus plotas ne mažesnis kaip 500 cm</w:t>
      </w:r>
      <w:r>
        <w:rPr>
          <w:vertAlign w:val="superscript"/>
        </w:rPr>
        <w:t>2</w:t>
      </w:r>
      <w:r>
        <w:t>;</w:t>
      </w:r>
    </w:p>
    <w:p>
      <w:pPr>
        <w:widowControl w:val="0"/>
        <w:tabs>
          <w:tab w:val="left" w:pos="-180"/>
          <w:tab w:val="left" w:pos="0"/>
          <w:tab w:val="left" w:pos="567"/>
          <w:tab w:val="left" w:pos="993"/>
          <w:tab w:val="left" w:pos="1440"/>
        </w:tabs>
        <w:ind w:firstLine="567"/>
        <w:jc w:val="both"/>
      </w:pPr>
      <w:r>
        <w:t>287.3</w:t>
      </w:r>
      <w:r>
        <w:t>. oro linijų atramas, kuriose įrengti matavimo transformatoriai, skyrikliai, saugikliai ir kiti aparatai. 10 kV ir aukštesnės įtampos oro linijų atramų įžeminimo varžos turi būti ne didesnės, negu nurodytos Taisyklių 4 priedo 6 lentelėje;</w:t>
      </w:r>
    </w:p>
    <w:p>
      <w:pPr>
        <w:widowControl w:val="0"/>
        <w:tabs>
          <w:tab w:val="left" w:pos="-180"/>
          <w:tab w:val="left" w:pos="0"/>
          <w:tab w:val="left" w:pos="567"/>
          <w:tab w:val="left" w:pos="993"/>
          <w:tab w:val="left" w:pos="1440"/>
        </w:tabs>
        <w:ind w:firstLine="567"/>
        <w:jc w:val="both"/>
      </w:pPr>
      <w:r>
        <w:t>287.4</w:t>
      </w:r>
      <w:r>
        <w:t>. 110–330 kV oro linijų be trosų ir be kitų apsaugos nuo atmosferinių viršįtampių priemonių atramas, jeigu tai būtina patikimam relinės apsaugos ir automatikos įrenginių darbui. Oro linijų atramų įžeminimo varžų dydžiai turi būti nustatomi rengiant projektus.</w:t>
      </w:r>
    </w:p>
    <w:p>
      <w:pPr>
        <w:widowControl w:val="0"/>
        <w:tabs>
          <w:tab w:val="left" w:pos="-180"/>
          <w:tab w:val="left" w:pos="0"/>
          <w:tab w:val="left" w:pos="567"/>
          <w:tab w:val="left" w:pos="1440"/>
        </w:tabs>
        <w:ind w:firstLine="567"/>
        <w:jc w:val="both"/>
      </w:pPr>
      <w:r>
        <w:t>288</w:t>
      </w:r>
      <w:r>
        <w:t>. Trosais apsaugotų oro linijų atramų įžeminimo įrenginių, skirtų apsaugai nuo žaibo, varža nustatoma atjungus trosą, o skirtų kitiems tikslams – jį prijungus.</w:t>
      </w:r>
    </w:p>
    <w:p>
      <w:pPr>
        <w:widowControl w:val="0"/>
        <w:tabs>
          <w:tab w:val="left" w:pos="-180"/>
          <w:tab w:val="left" w:pos="0"/>
          <w:tab w:val="left" w:pos="567"/>
          <w:tab w:val="left" w:pos="1440"/>
        </w:tabs>
        <w:ind w:firstLine="567"/>
        <w:jc w:val="both"/>
      </w:pPr>
      <w:r>
        <w:t>Trosais apsaugotuose oro linijų ruožuose aukštesnių kaip 40 m atramų įžeminimo varžos turi būti sumažintos 2 kartus, palyginti su nurodytomis Taisyklių 4 priedo 6 lentelėje.</w:t>
      </w:r>
    </w:p>
    <w:p>
      <w:pPr>
        <w:widowControl w:val="0"/>
        <w:tabs>
          <w:tab w:val="left" w:pos="-180"/>
          <w:tab w:val="left" w:pos="0"/>
          <w:tab w:val="left" w:pos="567"/>
          <w:tab w:val="left" w:pos="1440"/>
        </w:tabs>
        <w:ind w:firstLine="567"/>
        <w:jc w:val="both"/>
      </w:pPr>
      <w:r>
        <w:t xml:space="preserve">Oro linijų įžeminimo varžas tikslinga matuoti vasarą, kai varža didžiausia. </w:t>
      </w:r>
    </w:p>
    <w:p>
      <w:pPr>
        <w:widowControl w:val="0"/>
        <w:tabs>
          <w:tab w:val="left" w:pos="-180"/>
          <w:tab w:val="left" w:pos="0"/>
          <w:tab w:val="left" w:pos="567"/>
          <w:tab w:val="left" w:pos="1440"/>
          <w:tab w:val="left" w:pos="6804"/>
          <w:tab w:val="left" w:pos="11482"/>
        </w:tabs>
        <w:ind w:firstLine="567"/>
        <w:jc w:val="both"/>
      </w:pPr>
      <w:r>
        <w:t>289</w:t>
      </w:r>
      <w:r>
        <w:t xml:space="preserve">. Molio, priemolio, priesmėlio ir kituose gruntuose, kurių savitoji varža </w:t>
      </w:r>
      <w:r>
        <w:rPr>
          <w:rFonts w:ascii="TimesLT" w:hAnsi="TimesLT"/>
          <w:position w:val="-10"/>
        </w:rPr>
        <w:object w:dxaOrig="240" w:dyaOrig="255">
          <v:shape id="_x0000_i1054" type="#_x0000_t75" style="width:12pt;height:12.8pt" o:ole="">
            <v:imagedata r:id="rId77" o:title=""/>
          </v:shape>
          <o:OLEObject Type="Embed" ProgID="Equation.3" ShapeID="_x0000_i1054" DrawAspect="Content" ObjectID="_0000000001" r:id="rId78"/>
        </w:object>
      </w:r>
      <w:r>
        <w:t xml:space="preserve"> </w:t>
      </w:r>
      <w:r>
        <w:rPr>
          <w:rFonts w:ascii="TimesLT" w:hAnsi="TimesLT"/>
          <w:position w:val="-4"/>
        </w:rPr>
        <w:object w:dxaOrig="195" w:dyaOrig="240">
          <v:shape id="_x0000_i1055" type="#_x0000_t75" style="width:9.6pt;height:12pt" o:ole="">
            <v:imagedata r:id="rId79" o:title=""/>
          </v:shape>
          <o:OLEObject Type="Embed" ProgID="Equation.3" ShapeID="_x0000_i1055" DrawAspect="Content" ObjectID="_0000000001" r:id="rId80"/>
        </w:object>
      </w:r>
      <w:r>
        <w:t xml:space="preserve"> 500 </w:t>
      </w:r>
      <w:r>
        <w:rPr>
          <w:rFonts w:ascii="TimesLT" w:hAnsi="TimesLT"/>
          <w:position w:val="-4"/>
        </w:rPr>
        <w:object w:dxaOrig="255" w:dyaOrig="255">
          <v:shape id="_x0000_i1056" type="#_x0000_t75" style="width:12.8pt;height:12.8pt" o:ole="">
            <v:imagedata r:id="rId81" o:title=""/>
          </v:shape>
          <o:OLEObject Type="Embed" ProgID="Equation.3" ShapeID="_x0000_i1056" DrawAspect="Content" ObjectID="_0000000001" r:id="rId82"/>
        </w:object>
      </w:r>
      <w:r>
        <w:t xml:space="preserve"> m, įžemintuvams tikslinga naudoti 110 kV ir aukštesnės įtampos oro linijų atramų gelžbetoninių pamatų ir pakojų armatūrą. Jeigu įžeminimo varža nepakankama, tuomet reikia įrengti ir dirbtinį įžemintuvą. Gruntuose, kurių savitoji varža </w:t>
      </w:r>
      <w:r>
        <w:rPr>
          <w:rFonts w:ascii="TimesLT" w:hAnsi="TimesLT"/>
          <w:position w:val="-10"/>
        </w:rPr>
        <w:object w:dxaOrig="240" w:dyaOrig="255">
          <v:shape id="_x0000_i1057" type="#_x0000_t75" style="width:12pt;height:12.8pt" o:ole="">
            <v:imagedata r:id="rId83" o:title=""/>
          </v:shape>
          <o:OLEObject Type="Embed" ProgID="Equation.3" ShapeID="_x0000_i1057" DrawAspect="Content" ObjectID="_0000000001" r:id="rId84"/>
        </w:object>
      </w:r>
      <w:r>
        <w:t xml:space="preserve"> &gt; 500 </w:t>
      </w:r>
      <w:r>
        <w:rPr>
          <w:rFonts w:ascii="TimesLT" w:hAnsi="TimesLT"/>
          <w:position w:val="-4"/>
        </w:rPr>
        <w:object w:dxaOrig="255" w:dyaOrig="255">
          <v:shape id="_x0000_i1058" type="#_x0000_t75" style="width:12.8pt;height:12.8pt" o:ole="">
            <v:imagedata r:id="rId85" o:title=""/>
          </v:shape>
          <o:OLEObject Type="Embed" ProgID="Equation.3" ShapeID="_x0000_i1058" DrawAspect="Content" ObjectID="_0000000001" r:id="rId86"/>
        </w:object>
      </w:r>
      <w:r>
        <w:t xml:space="preserve"> m, reikia įrengti dirbtinį įžemintuvą, užtikrinantį reikiamą įžeminimo varžą. Prie dirbtinio įžemintuvo prijungiami ir gelžbetoniniai pamatai, tačiau skaičiuojant jų laidumo nereikia įvertinti.</w:t>
      </w:r>
    </w:p>
    <w:p>
      <w:pPr>
        <w:widowControl w:val="0"/>
        <w:tabs>
          <w:tab w:val="left" w:pos="-180"/>
          <w:tab w:val="left" w:pos="0"/>
          <w:tab w:val="left" w:pos="567"/>
          <w:tab w:val="left" w:pos="1440"/>
        </w:tabs>
        <w:ind w:firstLine="567"/>
        <w:jc w:val="both"/>
      </w:pPr>
      <w:r>
        <w:t>Prie 6–35 kV įtampos oro linijų atramų turi būti įrengti tik dirbtiniai įžemintuvai. Natūralieji įžemintuvai panaudojami taip pat, bet skaičiuojant varžą jų nereikia įvertinti.</w:t>
      </w:r>
    </w:p>
    <w:p>
      <w:pPr>
        <w:widowControl w:val="0"/>
        <w:tabs>
          <w:tab w:val="left" w:pos="-180"/>
          <w:tab w:val="left" w:pos="0"/>
          <w:tab w:val="left" w:pos="567"/>
          <w:tab w:val="left" w:pos="1440"/>
        </w:tabs>
        <w:ind w:firstLine="567"/>
        <w:jc w:val="both"/>
      </w:pPr>
      <w:r>
        <w:t>290</w:t>
      </w:r>
      <w:r>
        <w:t>. Oro linijų atramų gelžbetoniniai pamatai naudojami kaip natūralieji įžemintuvai (išimtis nurodyta Taisyklių 289 punkte), jeigu užtikrinamas metalinis ryšys tarp tvirtinimo varžtų ir pamato armatūros. Perėjos per geležinkelį atramos ir pakojų armatūros įžemintuvams neturi būti naudojamos.</w:t>
      </w:r>
    </w:p>
    <w:p>
      <w:pPr>
        <w:widowControl w:val="0"/>
        <w:tabs>
          <w:tab w:val="left" w:pos="-180"/>
          <w:tab w:val="left" w:pos="0"/>
          <w:tab w:val="left" w:pos="1440"/>
        </w:tabs>
        <w:ind w:firstLine="567"/>
        <w:jc w:val="both"/>
      </w:pPr>
      <w:r>
        <w:t>Gelžbetoninių pamatų ir atramų, panaudotų kaip įžeminimo įrenginiai, bituminės dangos nereikia įvertinti.</w:t>
      </w:r>
    </w:p>
    <w:p>
      <w:pPr>
        <w:widowControl w:val="0"/>
        <w:tabs>
          <w:tab w:val="left" w:pos="-180"/>
          <w:tab w:val="left" w:pos="0"/>
          <w:tab w:val="left" w:pos="1440"/>
        </w:tabs>
        <w:ind w:firstLine="567"/>
        <w:jc w:val="both"/>
      </w:pPr>
      <w:r>
        <w:t>Gelžbetoninių pamatų, pakojų ir požeminių atramų dalių varža turi būti matuojama praėjus ne mažiau kaip dviem mėnesiams po jų įrengimo.</w:t>
      </w:r>
    </w:p>
    <w:p>
      <w:pPr>
        <w:widowControl w:val="0"/>
        <w:tabs>
          <w:tab w:val="left" w:pos="-180"/>
          <w:tab w:val="left" w:pos="0"/>
          <w:tab w:val="left" w:pos="1440"/>
        </w:tabs>
        <w:ind w:firstLine="567"/>
        <w:jc w:val="both"/>
      </w:pPr>
      <w:r>
        <w:t>291</w:t>
      </w:r>
      <w:r>
        <w:t xml:space="preserve">. Gelžbetoninių atramų įžeminimo laidininkais naudojami ir tarpusavyje sujungti įtemptos ir neįtemptos stiebų armatūros išilginiai strypai, kurie prijungiami prie įžemintuvo. Įžeminimui naudojama armatūra turi būti termiškai atspari ir neįšylanti daugiau kaip +60 </w:t>
      </w:r>
      <w:r>
        <w:rPr>
          <w:vertAlign w:val="superscript"/>
        </w:rPr>
        <w:t>o</w:t>
      </w:r>
      <w:r>
        <w:t>C.</w:t>
      </w:r>
    </w:p>
    <w:p>
      <w:pPr>
        <w:widowControl w:val="0"/>
        <w:tabs>
          <w:tab w:val="left" w:pos="-180"/>
          <w:tab w:val="left" w:pos="0"/>
          <w:tab w:val="left" w:pos="1440"/>
        </w:tabs>
        <w:ind w:firstLine="567"/>
        <w:jc w:val="both"/>
      </w:pPr>
      <w:r>
        <w:t>Gelžbetoninių atramų atotampos turi būti naudojamos kaip papildomi įžeminimo laidininkai. Šiuo atveju laisvasis atotampos galas specialiu gnybtu turi būti sujungtas su atotampos darbo dalimi.</w:t>
      </w:r>
    </w:p>
    <w:p>
      <w:pPr>
        <w:widowControl w:val="0"/>
        <w:tabs>
          <w:tab w:val="left" w:pos="-180"/>
          <w:tab w:val="left" w:pos="0"/>
          <w:tab w:val="left" w:pos="1440"/>
        </w:tabs>
        <w:ind w:firstLine="567"/>
        <w:jc w:val="both"/>
      </w:pPr>
      <w:r>
        <w:t>Gelžbetoninių atramų trosai ir izoliatorių tvirtinimo prie traversų detalės turi būti prijungiamos prie įžeminimo laidininko arba įžemintos armatūros.</w:t>
      </w:r>
    </w:p>
    <w:p>
      <w:pPr>
        <w:widowControl w:val="0"/>
        <w:tabs>
          <w:tab w:val="left" w:pos="-180"/>
          <w:tab w:val="left" w:pos="0"/>
          <w:tab w:val="left" w:pos="1440"/>
        </w:tabs>
        <w:ind w:firstLine="567"/>
        <w:jc w:val="both"/>
      </w:pPr>
      <w:r>
        <w:t>292</w:t>
      </w:r>
      <w:r>
        <w:t>. Atrama nutiesto įžeminimo laidininko skerspjūvis turi būti ne mažesnis kaip 35 mm</w:t>
      </w:r>
      <w:r>
        <w:rPr>
          <w:vertAlign w:val="superscript"/>
        </w:rPr>
        <w:t>2</w:t>
      </w:r>
      <w:r>
        <w:t>, o viengyslių įžeminimo laidininkų skersmuo turi būti ne mažesnis kaip 10 mm. Turi būti naudojami karštuoju būdu cinkuoti arba padengti aliuminiu–cinku plieniniai viengysliai ne mažesnio kaip 6 mm skersmens laidai.</w:t>
      </w:r>
    </w:p>
    <w:p>
      <w:pPr>
        <w:widowControl w:val="0"/>
        <w:tabs>
          <w:tab w:val="left" w:pos="-180"/>
          <w:tab w:val="left" w:pos="0"/>
          <w:tab w:val="left" w:pos="1440"/>
        </w:tabs>
        <w:ind w:firstLine="567"/>
        <w:jc w:val="both"/>
      </w:pPr>
      <w:r>
        <w:t xml:space="preserve">Oro linijų metalinėse ir gelžbetoninėse atramose įžeminimo laidininkai suvirinami arba sujungiami varžtais. </w:t>
      </w:r>
    </w:p>
    <w:p>
      <w:pPr>
        <w:widowControl w:val="0"/>
        <w:tabs>
          <w:tab w:val="left" w:pos="-180"/>
          <w:tab w:val="left" w:pos="0"/>
          <w:tab w:val="left" w:pos="1440"/>
        </w:tabs>
        <w:ind w:firstLine="567"/>
        <w:jc w:val="both"/>
      </w:pPr>
      <w:r>
        <w:t>293</w:t>
      </w:r>
      <w:r>
        <w:t>. Oro linijų įžemintuvai turi būti įrengti ne mažesniame kaip 0,5 m gylyje, o ariamoje žemėje – ne mažesniame kaip 1 m gylyje.</w:t>
      </w:r>
    </w:p>
    <w:p>
      <w:pPr>
        <w:widowControl w:val="0"/>
        <w:ind w:firstLine="567"/>
        <w:jc w:val="both"/>
      </w:pPr>
    </w:p>
    <w:p>
      <w:pPr>
        <w:widowControl w:val="0"/>
        <w:jc w:val="center"/>
        <w:rPr>
          <w:b/>
        </w:rPr>
      </w:pPr>
      <w:r>
        <w:rPr>
          <w:b/>
        </w:rPr>
        <w:t>AŠTUONIOLIKTASIS</w:t>
      </w:r>
      <w:r>
        <w:rPr>
          <w:b/>
        </w:rPr>
        <w:t xml:space="preserve"> SKIRSNIS</w:t>
      </w:r>
    </w:p>
    <w:p>
      <w:pPr>
        <w:widowControl w:val="0"/>
        <w:jc w:val="center"/>
        <w:rPr>
          <w:b/>
        </w:rPr>
      </w:pPr>
      <w:r>
        <w:rPr>
          <w:b/>
        </w:rPr>
        <w:t xml:space="preserve">PASTOČIŲ IR SKIRSTYKLŲ ĮŽEMINIMAS IR APSAUGA NUO ATMOSFERINIŲ VIRŠĮTAMPIŲ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567"/>
          <w:tab w:val="left" w:pos="1440"/>
        </w:tabs>
        <w:ind w:firstLine="567"/>
        <w:jc w:val="both"/>
      </w:pPr>
      <w:r>
        <w:t>294</w:t>
      </w:r>
      <w:r>
        <w:t>. Atvirąsias 35–400 kV įtampos pastotes ir skirstyklas būtina apsaugoti nuo tiesioginių žaibų. Nuo tiesioginių žaibų nereikia apsaugoti 35 kV įtampos pastočių, kuriuose yra 1,6 MVA ir mažesnės vienetinės galios transformatorių.</w:t>
      </w:r>
    </w:p>
    <w:p>
      <w:pPr>
        <w:widowControl w:val="0"/>
        <w:tabs>
          <w:tab w:val="left" w:pos="-180"/>
          <w:tab w:val="left" w:pos="0"/>
          <w:tab w:val="left" w:pos="567"/>
          <w:tab w:val="left" w:pos="1440"/>
        </w:tabs>
        <w:ind w:firstLine="567"/>
        <w:jc w:val="both"/>
      </w:pPr>
      <w:r>
        <w:t>Uždarųjų skirstyklų ir pastočių pastatus reikia apsaugoti nuo tiesioginių žaibų. Metalinių ir gelžbetoninių konstrukcijų stogai turi būti įžeminti atskiru laidininku. Kitokie stogai turi būti apsaugoti žaibolaidžiais arba ant stogo įrengus įžemintą metalinį tinklelį. Nuo tiesioginių žaibų ir antrinio jų poveikio turi būti apsaugoti pastočių teritorijoje esantys transformatorių, alyvos įrenginių, elektrolizės pastatai, taip pat degiųjų skysčių, dujų rezervuarai ir vandenilio balionų saugojimo aikštelės.</w:t>
      </w:r>
    </w:p>
    <w:p>
      <w:pPr>
        <w:widowControl w:val="0"/>
        <w:ind w:firstLine="567"/>
        <w:jc w:val="both"/>
      </w:pPr>
      <w:r>
        <w:t xml:space="preserve">Įrengiant statinių žaibosaugą vadovautis statybos techniniu reglamentu STR 2.01.06:2009 „Statinių apsauga nuo žaibo. Išorinė statinių apsauga nuo žaibo“, patvirtintu Lietuvos Respublikos aplinkos ministro 2009 m. lapkričio 17 d. įsakymu Nr. D1-693 (Žin., 2009, Nr. </w:t>
      </w:r>
      <w:hyperlink r:id="rId87" w:tgtFrame="_blank" w:history="1">
        <w:r>
          <w:rPr>
            <w:color w:val="0000FF" w:themeColor="hyperlink"/>
            <w:u w:val="single"/>
          </w:rPr>
          <w:t>138-6095</w:t>
        </w:r>
      </w:hyperlink>
      <w:r>
        <w:t>).</w:t>
      </w:r>
    </w:p>
    <w:p>
      <w:pPr>
        <w:widowControl w:val="0"/>
        <w:tabs>
          <w:tab w:val="left" w:pos="-180"/>
          <w:tab w:val="left" w:pos="0"/>
          <w:tab w:val="left" w:pos="567"/>
          <w:tab w:val="left" w:pos="1440"/>
        </w:tabs>
        <w:ind w:firstLine="567"/>
        <w:jc w:val="both"/>
      </w:pPr>
      <w:r>
        <w:t>295</w:t>
      </w:r>
      <w:r>
        <w:t>. Atvirajai 330–400 kV įtampos skirstyklai apsaugoti reikia naudoti strypinius žaibolaidžius, įrengtus ant skirstyklos konstrukcijų. Tam naudojami ir kiti netoli skirstyklų esantys aukšti objektai (oro linijų atramos, apšvietimo bokštai, radijo ryšio bokštai ir pan.). Žaibolaidžiai įrengiami ant netoli transformatorių arba šuntuojamųjų reaktorių esančių portalų tik įvykdžius Taisyklių 296 punkto reikalavimus.</w:t>
      </w:r>
    </w:p>
    <w:p>
      <w:pPr>
        <w:widowControl w:val="0"/>
        <w:tabs>
          <w:tab w:val="left" w:pos="-180"/>
          <w:tab w:val="left" w:pos="0"/>
          <w:tab w:val="left" w:pos="567"/>
          <w:tab w:val="left" w:pos="1440"/>
        </w:tabs>
        <w:ind w:firstLine="567"/>
        <w:jc w:val="both"/>
      </w:pPr>
      <w:r>
        <w:t xml:space="preserve">Strypiniai žaibolaidžiai įrengiami ant 110 kV įtampos atvirųjų skirstyklų konstrukcijų, jeigu perkūnijų sezono metu savitoji grunto varža </w:t>
      </w:r>
      <w:r>
        <w:rPr>
          <w:vanish/>
        </w:rPr>
        <w:t xml:space="preserve"> </w:t>
      </w:r>
      <w:r>
        <w:rPr>
          <w:position w:val="-10"/>
        </w:rPr>
        <w:object w:dxaOrig="240" w:dyaOrig="255">
          <v:shape id="_x0000_i1059" type="#_x0000_t75" style="width:12pt;height:12.8pt" o:ole="">
            <v:imagedata r:id="rId88" o:title=""/>
          </v:shape>
          <o:OLEObject Type="Embed" ProgID="Equation.3" ShapeID="_x0000_i1059" DrawAspect="Content" ObjectID="_0000000001" r:id="rId89"/>
        </w:object>
      </w:r>
      <w:r>
        <w:t xml:space="preserve"> </w:t>
      </w:r>
      <w:r>
        <w:rPr>
          <w:position w:val="-4"/>
        </w:rPr>
        <w:object w:dxaOrig="195" w:dyaOrig="240">
          <v:shape id="_x0000_i1060" type="#_x0000_t75" style="width:9.6pt;height:12pt" o:ole="">
            <v:imagedata r:id="rId90" o:title=""/>
          </v:shape>
          <o:OLEObject Type="Embed" ProgID="Equation.3" ShapeID="_x0000_i1060" DrawAspect="Content" ObjectID="_0000000001" r:id="rId91"/>
        </w:object>
      </w:r>
      <w:r>
        <w:t xml:space="preserve"> 1000 </w:t>
      </w:r>
      <w:r>
        <w:rPr>
          <w:position w:val="-4"/>
        </w:rPr>
        <w:object w:dxaOrig="255" w:dyaOrig="255">
          <v:shape id="_x0000_i1061" type="#_x0000_t75" style="width:12.8pt;height:12.8pt" o:ole="">
            <v:imagedata r:id="rId92" o:title=""/>
          </v:shape>
          <o:OLEObject Type="Embed" ProgID="Equation.3" ShapeID="_x0000_i1061" DrawAspect="Content" ObjectID="_0000000001" r:id="rId93"/>
        </w:object>
      </w:r>
      <w:r>
        <w:t xml:space="preserve"> m.</w:t>
      </w:r>
    </w:p>
    <w:p>
      <w:pPr>
        <w:widowControl w:val="0"/>
        <w:tabs>
          <w:tab w:val="left" w:pos="-180"/>
          <w:tab w:val="left" w:pos="0"/>
          <w:tab w:val="left" w:pos="567"/>
          <w:tab w:val="left" w:pos="1440"/>
        </w:tabs>
        <w:ind w:firstLine="567"/>
        <w:jc w:val="both"/>
      </w:pPr>
      <w:r>
        <w:t>Ant 110 kV įtampos atvirųjų skirstyklų statramsčių įrengtų žaibolaidžių konstrukcija turi užtikrinti žaibo srovės nutekėjimą įžeminimo magistralėmis ne mažiau kaip dviem kryptimis. Prie konstrukcijų, ant kurių įrengti žaibolaidžiai, ne arčiau kaip vieno elektrodo ilgio atstumu nuo jų turi būti įrengti du ne trumpesni kaip 3 m elektrodai.</w:t>
      </w:r>
    </w:p>
    <w:p>
      <w:pPr>
        <w:widowControl w:val="0"/>
        <w:tabs>
          <w:tab w:val="left" w:pos="-180"/>
          <w:tab w:val="left" w:pos="0"/>
          <w:tab w:val="left" w:pos="567"/>
          <w:tab w:val="left" w:pos="1440"/>
        </w:tabs>
        <w:ind w:firstLine="567"/>
        <w:jc w:val="both"/>
      </w:pPr>
      <w:r>
        <w:t xml:space="preserve">Strypiniai žaibolaidžiai įrengiami ant 35 kV įtampos atvirųjų skirstyklų konstrukcijų, jeigu perkūnijų sezono metu savitoji grunto varža </w:t>
      </w:r>
      <w:r>
        <w:rPr>
          <w:vanish/>
        </w:rPr>
        <w:t xml:space="preserve"> </w:t>
      </w:r>
      <w:r>
        <w:rPr>
          <w:position w:val="-10"/>
        </w:rPr>
        <w:object w:dxaOrig="240" w:dyaOrig="255">
          <v:shape id="_x0000_i1062" type="#_x0000_t75" style="width:12pt;height:12.8pt" o:ole="">
            <v:imagedata r:id="rId94" o:title=""/>
          </v:shape>
          <o:OLEObject Type="Embed" ProgID="Equation.3" ShapeID="_x0000_i1062" DrawAspect="Content" ObjectID="_0000000001" r:id="rId95"/>
        </w:object>
      </w:r>
      <w:r>
        <w:t xml:space="preserve"> </w:t>
      </w:r>
      <w:r>
        <w:rPr>
          <w:position w:val="-4"/>
        </w:rPr>
        <w:object w:dxaOrig="195" w:dyaOrig="240">
          <v:shape id="_x0000_i1063" type="#_x0000_t75" style="width:9.6pt;height:12pt" o:ole="">
            <v:imagedata r:id="rId96" o:title=""/>
          </v:shape>
          <o:OLEObject Type="Embed" ProgID="Equation.3" ShapeID="_x0000_i1063" DrawAspect="Content" ObjectID="_0000000001" r:id="rId97"/>
        </w:object>
      </w:r>
      <w:r>
        <w:t xml:space="preserve"> 500 </w:t>
      </w:r>
      <w:r>
        <w:rPr>
          <w:position w:val="-4"/>
        </w:rPr>
        <w:object w:dxaOrig="255" w:dyaOrig="255">
          <v:shape id="_x0000_i1064" type="#_x0000_t75" style="width:12.8pt;height:12.8pt" o:ole="">
            <v:imagedata r:id="rId98" o:title=""/>
          </v:shape>
          <o:OLEObject Type="Embed" ProgID="Equation.3" ShapeID="_x0000_i1064" DrawAspect="Content" ObjectID="_0000000001" r:id="rId99"/>
        </w:object>
      </w:r>
      <w:r>
        <w:t xml:space="preserve"> m.</w:t>
      </w:r>
    </w:p>
    <w:p>
      <w:pPr>
        <w:widowControl w:val="0"/>
        <w:tabs>
          <w:tab w:val="left" w:pos="-180"/>
          <w:tab w:val="left" w:pos="0"/>
          <w:tab w:val="left" w:pos="567"/>
          <w:tab w:val="left" w:pos="1440"/>
        </w:tabs>
        <w:ind w:firstLine="567"/>
        <w:jc w:val="both"/>
      </w:pPr>
      <w:r>
        <w:t>Žaibolaidžių ant 35 kV įtampos atvirųjų skirstyklų statramsčių konstrukcija turi užtikrinti žaibo srovės nutekėjimą įžeminimo magistralėmis ne mažiau kaip trimis kryptimis. Prie konstrukcijų, ant kurių įrengti žaibolaidžiai, ne arčiau kaip vieno elektrodo ilgio atstumu turi būti įrengti trys ne trumpesni kaip 3 m elektrodai.</w:t>
      </w:r>
    </w:p>
    <w:p>
      <w:pPr>
        <w:widowControl w:val="0"/>
        <w:tabs>
          <w:tab w:val="left" w:pos="-180"/>
          <w:tab w:val="left" w:pos="0"/>
          <w:tab w:val="left" w:pos="567"/>
          <w:tab w:val="left" w:pos="1440"/>
        </w:tabs>
        <w:ind w:firstLine="567"/>
        <w:jc w:val="both"/>
      </w:pPr>
      <w:r>
        <w:t>Atvirųjų 35 kV įtampos skirstyklų portalų, ant kurių įrengti strypiniai žaibolaidžiai arba prijungti trosai, ir 35 kV oro linijų, kurių trosas netiesiamas į pastotę, galinių atramų kabamųjų izoliatorių girliandose turi būti dviem izoliatoriais daugiau.</w:t>
      </w:r>
    </w:p>
    <w:p>
      <w:pPr>
        <w:widowControl w:val="0"/>
        <w:tabs>
          <w:tab w:val="left" w:pos="-180"/>
          <w:tab w:val="left" w:pos="0"/>
          <w:tab w:val="left" w:pos="567"/>
          <w:tab w:val="left" w:pos="1440"/>
        </w:tabs>
        <w:ind w:firstLine="567"/>
        <w:jc w:val="both"/>
      </w:pPr>
      <w:r>
        <w:t>Atstumas nuo atvirosios skirstyklos konstrukcijų, ant kurių įrengti žaibolaidžiai, iki įtampą turinčių dalių turi būti ne mažesnis kaip girliandos ilgis.</w:t>
      </w:r>
    </w:p>
    <w:p>
      <w:pPr>
        <w:widowControl w:val="0"/>
        <w:tabs>
          <w:tab w:val="left" w:pos="-180"/>
          <w:tab w:val="left" w:pos="0"/>
          <w:tab w:val="left" w:pos="567"/>
          <w:tab w:val="left" w:pos="1440"/>
        </w:tabs>
        <w:ind w:firstLine="567"/>
        <w:jc w:val="both"/>
      </w:pPr>
      <w:r>
        <w:t>296</w:t>
      </w:r>
      <w:r>
        <w:t xml:space="preserve">. Žaibolaidžiai įrengiami ant portalų ir kitų atvirųjų skirstyklų konstrukcijų, kurios pagal įžeminimo magistrales iki 15 m nutolusios nuo transformatorių arba reaktorių, jei perkūnijų sezono metu savitoji grunto varža </w:t>
      </w:r>
      <w:r>
        <w:rPr>
          <w:rFonts w:ascii="TimesLT" w:hAnsi="TimesLT"/>
          <w:vanish/>
        </w:rPr>
        <w:t xml:space="preserve"> </w:t>
      </w:r>
      <w:r>
        <w:rPr>
          <w:rFonts w:ascii="TimesLT" w:hAnsi="TimesLT"/>
          <w:position w:val="-10"/>
        </w:rPr>
        <w:object w:dxaOrig="240" w:dyaOrig="255">
          <v:shape id="_x0000_i1065" type="#_x0000_t75" style="width:12pt;height:12.8pt" o:ole="">
            <v:imagedata r:id="rId100" o:title=""/>
          </v:shape>
          <o:OLEObject Type="Embed" ProgID="Equation.3" ShapeID="_x0000_i1065" DrawAspect="Content" ObjectID="_0000000001" r:id="rId101"/>
        </w:object>
      </w:r>
      <w:r>
        <w:t xml:space="preserve"> </w:t>
      </w:r>
      <w:r>
        <w:rPr>
          <w:rFonts w:ascii="TimesLT" w:hAnsi="TimesLT"/>
          <w:position w:val="-4"/>
        </w:rPr>
        <w:object w:dxaOrig="195" w:dyaOrig="240">
          <v:shape id="_x0000_i1066" type="#_x0000_t75" style="width:9.6pt;height:12pt" o:ole="">
            <v:imagedata r:id="rId102" o:title=""/>
          </v:shape>
          <o:OLEObject Type="Embed" ProgID="Equation.3" ShapeID="_x0000_i1066" DrawAspect="Content" ObjectID="_0000000001" r:id="rId103"/>
        </w:object>
      </w:r>
      <w:r>
        <w:rPr>
          <w:rFonts w:ascii="TimesLT" w:hAnsi="TimesLT"/>
        </w:rPr>
        <w:t xml:space="preserve"> </w:t>
      </w:r>
      <w:r>
        <w:t xml:space="preserve">350 </w:t>
      </w:r>
      <w:r>
        <w:rPr>
          <w:rFonts w:ascii="TimesLT" w:hAnsi="TimesLT"/>
          <w:position w:val="-4"/>
        </w:rPr>
        <w:object w:dxaOrig="255" w:dyaOrig="255">
          <v:shape id="_x0000_i1067" type="#_x0000_t75" style="width:12.8pt;height:12.8pt" o:ole="">
            <v:imagedata r:id="rId104" o:title=""/>
          </v:shape>
          <o:OLEObject Type="Embed" ProgID="Equation.3" ShapeID="_x0000_i1067" DrawAspect="Content" ObjectID="_0000000001" r:id="rId105"/>
        </w:object>
      </w:r>
      <w:r>
        <w:t xml:space="preserve"> m ir yra įvykdytos šios sąlygos:</w:t>
      </w:r>
    </w:p>
    <w:p>
      <w:pPr>
        <w:widowControl w:val="0"/>
        <w:tabs>
          <w:tab w:val="left" w:pos="-180"/>
          <w:tab w:val="left" w:pos="0"/>
          <w:tab w:val="left" w:pos="567"/>
          <w:tab w:val="left" w:pos="993"/>
          <w:tab w:val="left" w:pos="1440"/>
        </w:tabs>
        <w:ind w:firstLine="567"/>
        <w:jc w:val="both"/>
      </w:pPr>
      <w:r>
        <w:t>296.1</w:t>
      </w:r>
      <w:r>
        <w:t>. prie pat visų 6–35 kV transformatorių įvadų arba ne toliau kaip 5 m pagal šynas nuo jų, įskaitant ir atšakas, įrengti viršįtampių ribotuvai;</w:t>
      </w:r>
    </w:p>
    <w:p>
      <w:pPr>
        <w:widowControl w:val="0"/>
        <w:tabs>
          <w:tab w:val="left" w:pos="-180"/>
          <w:tab w:val="left" w:pos="0"/>
          <w:tab w:val="left" w:pos="567"/>
          <w:tab w:val="left" w:pos="993"/>
          <w:tab w:val="left" w:pos="1440"/>
        </w:tabs>
        <w:ind w:firstLine="567"/>
        <w:jc w:val="both"/>
      </w:pPr>
      <w:r>
        <w:t>296.2</w:t>
      </w:r>
      <w:r>
        <w:t>. užtikrintas žaibo srovės nutekėjimas ne mažiau kaip trimis kryptimis;</w:t>
      </w:r>
    </w:p>
    <w:p>
      <w:pPr>
        <w:widowControl w:val="0"/>
        <w:tabs>
          <w:tab w:val="left" w:pos="-180"/>
          <w:tab w:val="left" w:pos="0"/>
          <w:tab w:val="left" w:pos="567"/>
          <w:tab w:val="left" w:pos="1440"/>
        </w:tabs>
        <w:ind w:firstLine="567"/>
        <w:jc w:val="both"/>
      </w:pPr>
      <w:r>
        <w:t>296.3</w:t>
      </w:r>
      <w:r>
        <w:t>. įžeminimo magistralėse, ne arčiau kaip elektrodo ilgio atstumu nuo žaibolaidžio statramsčio, įrengti ne mažiau kaip trys ne trumpesni kaip 3 m vertikalieji elektrodai;</w:t>
      </w:r>
    </w:p>
    <w:p>
      <w:pPr>
        <w:widowControl w:val="0"/>
        <w:tabs>
          <w:tab w:val="left" w:pos="-180"/>
          <w:tab w:val="left" w:pos="0"/>
          <w:tab w:val="left" w:pos="567"/>
          <w:tab w:val="left" w:pos="1440"/>
        </w:tabs>
        <w:ind w:firstLine="567"/>
        <w:jc w:val="both"/>
      </w:pPr>
      <w:r>
        <w:t>296.4</w:t>
      </w:r>
      <w:r>
        <w:t xml:space="preserve">. ant 35 kV įtampos pastotės transformatorių portalų įrengtų žaibolaidžių įžeminimo varža ne didesnė kaip 4 </w:t>
      </w:r>
      <w:r>
        <w:rPr>
          <w:position w:val="-4"/>
        </w:rPr>
        <w:object w:dxaOrig="255" w:dyaOrig="255">
          <v:shape id="_x0000_i1068" type="#_x0000_t75" style="width:12.8pt;height:12.8pt" o:ole="">
            <v:imagedata r:id="rId106" o:title=""/>
          </v:shape>
          <o:OLEObject Type="Embed" ProgID="Equation.3" ShapeID="_x0000_i1068" DrawAspect="Content" ObjectID="_0000000001" r:id="rId107"/>
        </w:object>
      </w:r>
      <w:r>
        <w:t>, neįvertinant įžemintuvų, esančių už atvirosios skirstyklos ribų;</w:t>
      </w:r>
    </w:p>
    <w:p>
      <w:pPr>
        <w:widowControl w:val="0"/>
        <w:tabs>
          <w:tab w:val="left" w:pos="-180"/>
          <w:tab w:val="left" w:pos="0"/>
          <w:tab w:val="left" w:pos="567"/>
          <w:tab w:val="left" w:pos="1440"/>
        </w:tabs>
        <w:ind w:firstLine="567"/>
        <w:jc w:val="both"/>
      </w:pPr>
      <w:r>
        <w:t>296.5</w:t>
      </w:r>
      <w:r>
        <w:t>. viršįtampių ribotuvo įžeminimo laidininkas prijungtas prie įžemintuvo tarp žaibolaidžio ir transformatoriaus įžeminimo taškų.</w:t>
      </w:r>
    </w:p>
    <w:p>
      <w:pPr>
        <w:widowControl w:val="0"/>
        <w:tabs>
          <w:tab w:val="left" w:pos="-180"/>
          <w:tab w:val="left" w:pos="0"/>
          <w:tab w:val="left" w:pos="567"/>
          <w:tab w:val="left" w:pos="1440"/>
        </w:tabs>
        <w:ind w:firstLine="567"/>
        <w:jc w:val="both"/>
      </w:pPr>
      <w:r>
        <w:t>297</w:t>
      </w:r>
      <w:r>
        <w:t xml:space="preserve">. Atvirosios skirstyklos, ant kurių konstrukcijų neturi būti įrengiami arba netikslinga įrengti žaibolaidžių, jas reikia apsaugoti atskirais žaibolaidžiais, turinčiais atskirus, ne didesnės kaip 80 </w:t>
      </w:r>
      <w:r>
        <w:rPr>
          <w:rFonts w:ascii="TimesLT" w:hAnsi="TimesLT"/>
          <w:position w:val="-4"/>
        </w:rPr>
        <w:object w:dxaOrig="255" w:dyaOrig="255">
          <v:shape id="_x0000_i1069" type="#_x0000_t75" style="width:12.8pt;height:12.8pt" o:ole="">
            <v:imagedata r:id="rId108" o:title=""/>
          </v:shape>
          <o:OLEObject Type="Embed" ProgID="Equation.3" ShapeID="_x0000_i1069" DrawAspect="Content" ObjectID="_0000000001" r:id="rId109"/>
        </w:object>
      </w:r>
      <w:r>
        <w:t xml:space="preserve"> varžos įžemintuvus. Atstumas nuo šių įžemintuvų iki pastotės ar skirstyklos įžeminimo įrenginio turi būti:</w:t>
      </w:r>
    </w:p>
    <w:p>
      <w:pPr>
        <w:widowControl w:val="0"/>
        <w:tabs>
          <w:tab w:val="left" w:pos="-180"/>
          <w:tab w:val="left" w:pos="0"/>
          <w:tab w:val="left" w:pos="1440"/>
          <w:tab w:val="left" w:pos="6804"/>
          <w:tab w:val="left" w:pos="11482"/>
        </w:tabs>
        <w:ind w:firstLine="567"/>
        <w:jc w:val="both"/>
      </w:pPr>
    </w:p>
    <w:p>
      <w:pPr>
        <w:widowControl w:val="0"/>
        <w:tabs>
          <w:tab w:val="right" w:pos="9071"/>
        </w:tabs>
        <w:jc w:val="center"/>
      </w:pPr>
      <w:r>
        <w:t>L</w:t>
      </w:r>
      <w:r>
        <w:rPr>
          <w:vertAlign w:val="subscript"/>
        </w:rPr>
        <w:t>1</w:t>
      </w:r>
      <w:r>
        <w:t xml:space="preserve"> </w:t>
      </w:r>
      <w:r>
        <w:rPr>
          <w:position w:val="-4"/>
        </w:rPr>
        <w:object w:dxaOrig="195" w:dyaOrig="240">
          <v:shape id="_x0000_i1070" type="#_x0000_t75" style="width:9.6pt;height:12pt" o:ole="">
            <v:imagedata r:id="rId110" o:title=""/>
          </v:shape>
          <o:OLEObject Type="Embed" ProgID="Equation.3" ShapeID="_x0000_i1070" DrawAspect="Content" ObjectID="_0000000001" r:id="rId111"/>
        </w:object>
      </w:r>
      <w:r>
        <w:t xml:space="preserve"> 0,2 * R</w:t>
      </w:r>
      <w:r>
        <w:rPr>
          <w:vertAlign w:val="subscript"/>
        </w:rPr>
        <w:t>i</w:t>
      </w:r>
      <w:r>
        <w:t xml:space="preserve"> ;</w:t>
        <w:tab/>
        <w:t>(13)</w:t>
      </w:r>
    </w:p>
    <w:p>
      <w:pPr>
        <w:widowControl w:val="0"/>
        <w:tabs>
          <w:tab w:val="left" w:pos="-180"/>
          <w:tab w:val="left" w:pos="0"/>
          <w:tab w:val="left" w:pos="1440"/>
          <w:tab w:val="left" w:pos="6804"/>
          <w:tab w:val="left" w:pos="11482"/>
        </w:tabs>
        <w:ind w:firstLine="567"/>
        <w:jc w:val="both"/>
      </w:pPr>
    </w:p>
    <w:p>
      <w:pPr>
        <w:widowControl w:val="0"/>
        <w:tabs>
          <w:tab w:val="left" w:pos="-180"/>
          <w:tab w:val="left" w:pos="0"/>
          <w:tab w:val="left" w:pos="567"/>
          <w:tab w:val="left" w:pos="851"/>
          <w:tab w:val="left" w:pos="1440"/>
        </w:tabs>
        <w:ind w:firstLine="567"/>
        <w:jc w:val="both"/>
      </w:pPr>
      <w:r>
        <w:t>čia: R</w:t>
      </w:r>
      <w:r>
        <w:rPr>
          <w:vertAlign w:val="subscript"/>
        </w:rPr>
        <w:t>i</w:t>
      </w:r>
      <w:r>
        <w:t xml:space="preserve"> – impulsinė žaibolaidžio įžeminimo įrenginio varža omais, kai juo teka 60 kA impulsinė srovė.</w:t>
      </w:r>
    </w:p>
    <w:p>
      <w:pPr>
        <w:widowControl w:val="0"/>
        <w:tabs>
          <w:tab w:val="left" w:pos="-180"/>
          <w:tab w:val="left" w:pos="0"/>
          <w:tab w:val="left" w:pos="1440"/>
        </w:tabs>
        <w:ind w:firstLine="567"/>
        <w:jc w:val="both"/>
      </w:pPr>
      <w:r>
        <w:t>Atstumas nuo atskirai įrengto žaibolaidžio, turinčio atskirą įžemintuvą, iki skirstyklos ar pastotės įtampą turinčių dalių, įžemintų konstrukcijų ir įrenginių turi būti:</w:t>
      </w:r>
    </w:p>
    <w:p>
      <w:pPr>
        <w:widowControl w:val="0"/>
        <w:tabs>
          <w:tab w:val="left" w:pos="-180"/>
          <w:tab w:val="left" w:pos="0"/>
          <w:tab w:val="left" w:pos="1440"/>
          <w:tab w:val="left" w:pos="6804"/>
          <w:tab w:val="left" w:pos="11482"/>
        </w:tabs>
        <w:ind w:firstLine="567"/>
        <w:jc w:val="both"/>
      </w:pPr>
    </w:p>
    <w:p>
      <w:pPr>
        <w:widowControl w:val="0"/>
        <w:tabs>
          <w:tab w:val="right" w:pos="9071"/>
        </w:tabs>
        <w:jc w:val="center"/>
      </w:pPr>
      <w:r>
        <w:t>L</w:t>
      </w:r>
      <w:r>
        <w:rPr>
          <w:vertAlign w:val="subscript"/>
        </w:rPr>
        <w:t>2</w:t>
      </w:r>
      <w:r>
        <w:t xml:space="preserve"> </w:t>
      </w:r>
      <w:r>
        <w:rPr>
          <w:position w:val="-4"/>
          <w:lang w:val="en-GB"/>
        </w:rPr>
        <w:object w:dxaOrig="195" w:dyaOrig="240">
          <v:shape id="_x0000_i1071" type="#_x0000_t75" style="width:9.6pt;height:12pt" o:ole="">
            <v:imagedata r:id="rId112" o:title=""/>
          </v:shape>
          <o:OLEObject Type="Embed" ProgID="Equation.3" ShapeID="_x0000_i1071" DrawAspect="Content" ObjectID="_0000000001" r:id="rId113"/>
        </w:object>
      </w:r>
      <w:r>
        <w:t xml:space="preserve"> 0,12 * R</w:t>
      </w:r>
      <w:r>
        <w:rPr>
          <w:vertAlign w:val="subscript"/>
        </w:rPr>
        <w:t>i</w:t>
      </w:r>
      <w:r>
        <w:t xml:space="preserve"> + 0,1 * H ;</w:t>
        <w:tab/>
        <w:t>(14)</w:t>
      </w:r>
    </w:p>
    <w:p>
      <w:pPr>
        <w:widowControl w:val="0"/>
        <w:tabs>
          <w:tab w:val="left" w:pos="-180"/>
          <w:tab w:val="left" w:pos="0"/>
          <w:tab w:val="left" w:pos="1440"/>
          <w:tab w:val="left" w:pos="6804"/>
          <w:tab w:val="left" w:pos="11482"/>
        </w:tabs>
        <w:ind w:firstLine="567"/>
        <w:jc w:val="both"/>
      </w:pPr>
    </w:p>
    <w:p>
      <w:pPr>
        <w:widowControl w:val="0"/>
        <w:tabs>
          <w:tab w:val="left" w:pos="-180"/>
          <w:tab w:val="left" w:pos="0"/>
          <w:tab w:val="left" w:pos="567"/>
          <w:tab w:val="left" w:pos="851"/>
          <w:tab w:val="left" w:pos="1440"/>
        </w:tabs>
        <w:ind w:firstLine="567"/>
        <w:jc w:val="both"/>
      </w:pPr>
      <w:r>
        <w:t>čia: H – žaibolaidžio taško, kurio atžvilgiu nustatomas šis horizontalusis atstumas, aukštis nuo žemės paviršiaus metrais, bet ne mažesnis kaip 5 m.</w:t>
      </w:r>
    </w:p>
    <w:p>
      <w:pPr>
        <w:widowControl w:val="0"/>
        <w:tabs>
          <w:tab w:val="left" w:pos="-180"/>
          <w:tab w:val="left" w:pos="0"/>
          <w:tab w:val="left" w:pos="1440"/>
        </w:tabs>
        <w:ind w:firstLine="567"/>
        <w:jc w:val="both"/>
      </w:pPr>
      <w:r>
        <w:t>Atskirai įrengtų žaibolaidžių įžemintuvai prijungiami prie atvirosios skirstyklos ar pastotės įžeminimo įrenginio, atsižvelgiant į Taisyklių 295 punkto reikalavimus. Įžeminimo magistralės ilgis tarp atskiro žaibolaidžio įžemintuvo ir transformatoriaus arba reaktoriaus įžeminimo prijungimo prie pastotės įžeminimo įrenginio vietos turi būti ne mažesnis kaip 15 m. Atskiro žaibolaidžio įžemintuvo prijungimo prie atvirosios 35–110 kV įtampos skirstyklos įžeminimo įrenginio vietoje turi būti įrengtos 2–3 kryptimis einančios įžeminimo magistralės.</w:t>
      </w:r>
    </w:p>
    <w:p>
      <w:pPr>
        <w:widowControl w:val="0"/>
        <w:tabs>
          <w:tab w:val="left" w:pos="-180"/>
          <w:tab w:val="left" w:pos="0"/>
          <w:tab w:val="left" w:pos="1440"/>
        </w:tabs>
        <w:ind w:firstLine="567"/>
        <w:jc w:val="both"/>
      </w:pPr>
      <w:r>
        <w:t>Žaibolaidžių, įrengtų ant prožektorių bokštų, įžemintuvai turi būti prijungti prie pastotės įžeminimo įrenginio. Jeigu juos prijungiant neatsižvelgiama į Taisyklių 295 punkte nurodytas sąlygas, tai turi būti įvykdyti dar ir šie reikalavimai:</w:t>
      </w:r>
    </w:p>
    <w:p>
      <w:pPr>
        <w:widowControl w:val="0"/>
        <w:tabs>
          <w:tab w:val="left" w:pos="-180"/>
          <w:tab w:val="left" w:pos="0"/>
          <w:tab w:val="left" w:pos="567"/>
          <w:tab w:val="left" w:pos="1440"/>
        </w:tabs>
        <w:ind w:firstLine="567"/>
        <w:jc w:val="both"/>
      </w:pPr>
      <w:r>
        <w:t>297.1</w:t>
      </w:r>
      <w:r>
        <w:t>. įžeminimo magistralėje 5 m nuo žaibolaidžio atstumu reikia papildomai įrengti ne mažiau kaip tris ir ne trumpesnius kaip 3 m vertikaliuosius elektrodus;</w:t>
      </w:r>
    </w:p>
    <w:p>
      <w:pPr>
        <w:widowControl w:val="0"/>
        <w:tabs>
          <w:tab w:val="left" w:pos="-180"/>
          <w:tab w:val="left" w:pos="0"/>
          <w:tab w:val="left" w:pos="567"/>
          <w:tab w:val="left" w:pos="1440"/>
        </w:tabs>
        <w:ind w:firstLine="567"/>
        <w:jc w:val="both"/>
      </w:pPr>
      <w:r>
        <w:t>297.2</w:t>
      </w:r>
      <w:r>
        <w:t>. prie 35 kV ir žemesnės įtampos transformatorių įvadų turi būti įrengti viršįtampių ribotuvai, jeigu įžeminimo magistralės ilgis nuo žaibolaidžio įžeminimo vietos iki transformatoriaus (reaktoriaus) prijungimo prie įžeminimo įrenginio vietos yra nuo 15 iki 40 m.</w:t>
      </w:r>
    </w:p>
    <w:p>
      <w:pPr>
        <w:widowControl w:val="0"/>
        <w:tabs>
          <w:tab w:val="left" w:pos="-180"/>
          <w:tab w:val="left" w:pos="0"/>
          <w:tab w:val="left" w:pos="1440"/>
        </w:tabs>
        <w:ind w:firstLine="567"/>
        <w:jc w:val="both"/>
      </w:pPr>
      <w:r>
        <w:t>Atstumas nuo atskiro žaibolaidžio, kurio įžemintuvas sujungtas su atvirosios skirstyklos arba pastotės įžeminimo įrenginiu, iki įtampą turinčių dalių turi būti ne mažesnis kaip:</w:t>
      </w:r>
    </w:p>
    <w:p>
      <w:pPr>
        <w:widowControl w:val="0"/>
        <w:tabs>
          <w:tab w:val="left" w:pos="-180"/>
          <w:tab w:val="left" w:pos="0"/>
          <w:tab w:val="left" w:pos="1440"/>
          <w:tab w:val="left" w:pos="6804"/>
          <w:tab w:val="left" w:pos="11482"/>
        </w:tabs>
        <w:ind w:firstLine="567"/>
        <w:jc w:val="both"/>
      </w:pPr>
    </w:p>
    <w:p>
      <w:pPr>
        <w:widowControl w:val="0"/>
        <w:tabs>
          <w:tab w:val="right" w:pos="9071"/>
        </w:tabs>
        <w:ind w:firstLine="720"/>
        <w:jc w:val="center"/>
      </w:pPr>
      <w:r>
        <w:t>L</w:t>
      </w:r>
      <w:r>
        <w:rPr>
          <w:vertAlign w:val="subscript"/>
        </w:rPr>
        <w:t>3</w:t>
      </w:r>
      <w:r>
        <w:t xml:space="preserve"> </w:t>
      </w:r>
      <w:r>
        <w:rPr>
          <w:position w:val="-4"/>
          <w:lang w:val="en-GB"/>
        </w:rPr>
        <w:object w:dxaOrig="195" w:dyaOrig="240">
          <v:shape id="_x0000_i1072" type="#_x0000_t75" style="width:9.6pt;height:12pt" o:ole="">
            <v:imagedata r:id="rId114" o:title=""/>
          </v:shape>
          <o:OLEObject Type="Embed" ProgID="Equation.3" ShapeID="_x0000_i1072" DrawAspect="Content" ObjectID="_0000000001" r:id="rId115"/>
        </w:object>
      </w:r>
      <w:r>
        <w:t xml:space="preserve"> 0,1 * H + M ;</w:t>
        <w:tab/>
        <w:t>(15)</w:t>
      </w:r>
    </w:p>
    <w:p>
      <w:pPr>
        <w:widowControl w:val="0"/>
        <w:tabs>
          <w:tab w:val="left" w:pos="-180"/>
          <w:tab w:val="left" w:pos="0"/>
          <w:tab w:val="left" w:pos="1440"/>
          <w:tab w:val="left" w:pos="6804"/>
          <w:tab w:val="left" w:pos="11482"/>
        </w:tabs>
        <w:ind w:firstLine="567"/>
        <w:jc w:val="both"/>
      </w:pPr>
    </w:p>
    <w:p>
      <w:pPr>
        <w:widowControl w:val="0"/>
        <w:tabs>
          <w:tab w:val="left" w:pos="1134"/>
          <w:tab w:val="left" w:pos="1440"/>
          <w:tab w:val="left" w:pos="1701"/>
        </w:tabs>
        <w:ind w:firstLine="567"/>
        <w:jc w:val="both"/>
      </w:pPr>
      <w:r>
        <w:t>čia: H – aukštis nuo žemės iki įtampą turinčių dalių metrais;</w:t>
      </w:r>
    </w:p>
    <w:p>
      <w:pPr>
        <w:widowControl w:val="0"/>
        <w:tabs>
          <w:tab w:val="left" w:pos="1134"/>
          <w:tab w:val="left" w:pos="1440"/>
          <w:tab w:val="left" w:pos="1701"/>
        </w:tabs>
        <w:ind w:firstLine="567"/>
        <w:jc w:val="both"/>
      </w:pPr>
      <w:r>
        <w:t>M – izoliatorių girliandos ilgis metrais.</w:t>
      </w:r>
    </w:p>
    <w:p>
      <w:pPr>
        <w:widowControl w:val="0"/>
        <w:tabs>
          <w:tab w:val="left" w:pos="-180"/>
          <w:tab w:val="left" w:pos="0"/>
          <w:tab w:val="left" w:pos="1440"/>
        </w:tabs>
        <w:ind w:firstLine="567"/>
        <w:jc w:val="both"/>
      </w:pPr>
      <w:r>
        <w:t>298</w:t>
      </w:r>
      <w:r>
        <w:t>. 110 kV ir aukštesnės įtampos oro linijų apsaugos trosai turi būti prijungti prie įžemintų atvirosios skirstyklos arba pastotės konstrukcijų. Prie atvirųjų 110 kV skirstyklų konstrukcijų statramsčių, turinčių prijungtus trosus, 2–3 kryptimis turi būti įrengtos įžeminimo magistralės.</w:t>
      </w:r>
    </w:p>
    <w:p>
      <w:pPr>
        <w:widowControl w:val="0"/>
        <w:tabs>
          <w:tab w:val="left" w:pos="-180"/>
          <w:tab w:val="left" w:pos="0"/>
          <w:tab w:val="left" w:pos="1440"/>
        </w:tabs>
        <w:ind w:firstLine="567"/>
        <w:jc w:val="both"/>
      </w:pPr>
      <w:r>
        <w:t xml:space="preserve">35 kV įtampos oro linijų apsaugos trosai pastočių prieigose prijungiami prie atvirųjų skirstyklų įžemintų konstrukcijų, jeigu perkūnijų sezono metu savitoji grunto varža </w:t>
      </w:r>
      <w:r>
        <w:rPr>
          <w:position w:val="-10"/>
        </w:rPr>
        <w:object w:dxaOrig="240" w:dyaOrig="255">
          <v:shape id="_x0000_i1073" type="#_x0000_t75" style="width:12pt;height:12.8pt" o:ole="">
            <v:imagedata r:id="rId116" o:title=""/>
          </v:shape>
          <o:OLEObject Type="Embed" ProgID="Equation.3" ShapeID="_x0000_i1073" DrawAspect="Content" ObjectID="_0000000001" r:id="rId117"/>
        </w:object>
      </w:r>
      <w:r>
        <w:t xml:space="preserve"> </w:t>
      </w:r>
      <w:r>
        <w:rPr>
          <w:position w:val="-4"/>
        </w:rPr>
        <w:object w:dxaOrig="195" w:dyaOrig="240">
          <v:shape id="_x0000_i1074" type="#_x0000_t75" style="width:9.6pt;height:12pt" o:ole="">
            <v:imagedata r:id="rId118" o:title=""/>
          </v:shape>
          <o:OLEObject Type="Embed" ProgID="Equation.3" ShapeID="_x0000_i1074" DrawAspect="Content" ObjectID="_0000000001" r:id="rId119"/>
        </w:object>
      </w:r>
      <w:r>
        <w:t xml:space="preserve"> 750 </w:t>
      </w:r>
      <w:r>
        <w:rPr>
          <w:position w:val="-4"/>
        </w:rPr>
        <w:object w:dxaOrig="255" w:dyaOrig="255">
          <v:shape id="_x0000_i1075" type="#_x0000_t75" style="width:12.8pt;height:12.8pt" o:ole="">
            <v:imagedata r:id="rId120" o:title=""/>
          </v:shape>
          <o:OLEObject Type="Embed" ProgID="Equation.3" ShapeID="_x0000_i1075" DrawAspect="Content" ObjectID="_0000000001" r:id="rId121"/>
        </w:object>
      </w:r>
      <w:r>
        <w:t xml:space="preserve"> m.</w:t>
      </w:r>
    </w:p>
    <w:p>
      <w:pPr>
        <w:widowControl w:val="0"/>
        <w:tabs>
          <w:tab w:val="left" w:pos="-180"/>
          <w:tab w:val="left" w:pos="0"/>
          <w:tab w:val="left" w:pos="1440"/>
        </w:tabs>
        <w:ind w:firstLine="567"/>
        <w:jc w:val="both"/>
      </w:pPr>
      <w:r>
        <w:t>Nuo atvirųjų 35 kV įtampos skirstyklų konstrukcijų statramsčių, prie kurių prijungti apsaugos trosai, 2–3 kryptimis turi būti įrengtos įžeminimo magistralės. Ne arčiau kaip vieno elektrodo ilgio atstumu nuo statramsčio, prie kurio prijungtas žaibolaidis, turi būti įrengti ne mažiau kaip trys ir ne trumpesni kaip 3 m vertikalieji elektrodai.</w:t>
      </w:r>
    </w:p>
    <w:p>
      <w:pPr>
        <w:widowControl w:val="0"/>
        <w:tabs>
          <w:tab w:val="left" w:pos="-180"/>
          <w:tab w:val="left" w:pos="0"/>
          <w:tab w:val="left" w:pos="1440"/>
        </w:tabs>
        <w:ind w:firstLine="567"/>
        <w:jc w:val="both"/>
      </w:pPr>
      <w:r>
        <w:t xml:space="preserve">Arčiausiai prie atvirosios skirstyklos esančios 35 kV įtampos oro linijos atramos įžeminimo įrenginio varža turi būti ne didesnė kaip 10 </w:t>
      </w:r>
      <w:r>
        <w:rPr>
          <w:position w:val="-4"/>
        </w:rPr>
        <w:object w:dxaOrig="255" w:dyaOrig="255">
          <v:shape id="_x0000_i1076" type="#_x0000_t75" style="width:12.8pt;height:12.8pt" o:ole="">
            <v:imagedata r:id="rId122" o:title=""/>
          </v:shape>
          <o:OLEObject Type="Embed" ProgID="Equation.3" ShapeID="_x0000_i1076" DrawAspect="Content" ObjectID="_0000000001" r:id="rId123"/>
        </w:object>
      </w:r>
      <w:r>
        <w:t>.</w:t>
      </w:r>
    </w:p>
    <w:p>
      <w:pPr>
        <w:widowControl w:val="0"/>
        <w:tabs>
          <w:tab w:val="left" w:pos="-180"/>
          <w:tab w:val="left" w:pos="0"/>
          <w:tab w:val="left" w:pos="1440"/>
        </w:tabs>
        <w:ind w:firstLine="567"/>
        <w:jc w:val="both"/>
      </w:pPr>
      <w:r>
        <w:t>35 kV įtampos oro linijų apsaugos trosai prieigose prie atvirųjų skirstyklų, kuriose neįrengiami strypiniai žaibolaidžiai, turi būti nutiesti iki linijos galinės atramos. Linijos dalis be troso nuo galinės atramos iki atvirosios skirstyklos turi būti apsaugota strypiniu žaibolaidžiu, įrengtu ant oro linijos atramų arba šalia oro linijos.</w:t>
      </w:r>
    </w:p>
    <w:p>
      <w:pPr>
        <w:widowControl w:val="0"/>
        <w:tabs>
          <w:tab w:val="left" w:pos="-180"/>
          <w:tab w:val="left" w:pos="0"/>
          <w:tab w:val="left" w:pos="1440"/>
        </w:tabs>
        <w:ind w:firstLine="567"/>
        <w:jc w:val="both"/>
      </w:pPr>
      <w:r>
        <w:t>299</w:t>
      </w:r>
      <w:r>
        <w:t>. Įžeminimo magistralė tarp strypinių arba trosinių žaibolaidžių ir transformatorių (reaktorių) neutralės prijungimo prie pastotės įžemintuvo įrenginio vietų turi būti ne trumpesnė kaip 15 m.</w:t>
      </w:r>
    </w:p>
    <w:p>
      <w:pPr>
        <w:widowControl w:val="0"/>
        <w:tabs>
          <w:tab w:val="left" w:pos="-180"/>
          <w:tab w:val="left" w:pos="0"/>
          <w:tab w:val="left" w:pos="1440"/>
        </w:tabs>
        <w:ind w:firstLine="567"/>
        <w:jc w:val="both"/>
      </w:pPr>
      <w:r>
        <w:t>300</w:t>
      </w:r>
      <w:r>
        <w:t>. Žaibolaidžiai neturi būti įrengiami ant atvirosios skirstyklos konstrukcijų, esančių arčiau kaip 15 m atstumu iki transformatorių, prie kurių lanksčiaisiais laidais ir atvirosiomis šynomis prijungtos elektros mašinos. Ne mažesnis atstumas turi būti ir iki šių lanksčiųjų laidų ir atvirųjų šynų ir jų tvirtinimo konstrukcijų.</w:t>
      </w:r>
    </w:p>
    <w:p>
      <w:pPr>
        <w:widowControl w:val="0"/>
        <w:tabs>
          <w:tab w:val="left" w:pos="-180"/>
          <w:tab w:val="left" w:pos="0"/>
          <w:tab w:val="left" w:pos="1440"/>
        </w:tabs>
        <w:ind w:firstLine="567"/>
        <w:jc w:val="both"/>
      </w:pPr>
      <w:r>
        <w:t>Transformatorių portalai, prie kurių tvirtinamos elektros mašinas jungiančios atvirosios standžiosios arba lanksčiosios šynos, turi būti apsaugoti atskirais arba ant kitų konstrukcijų įrengtais žaibolaidžiais.</w:t>
      </w:r>
    </w:p>
    <w:p>
      <w:pPr>
        <w:widowControl w:val="0"/>
        <w:tabs>
          <w:tab w:val="left" w:pos="-180"/>
          <w:tab w:val="left" w:pos="0"/>
          <w:tab w:val="left" w:pos="567"/>
          <w:tab w:val="left" w:pos="1440"/>
        </w:tabs>
        <w:ind w:firstLine="567"/>
        <w:jc w:val="both"/>
      </w:pPr>
      <w:r>
        <w:t>301</w:t>
      </w:r>
      <w:r>
        <w:t>. Kabeliai, tvirtinami prie prožektorių bokštų, naudojamų ir žaibolaidžiams, turi būti metaliniame apvalkale arba metaliniame vamzdyje. Šie kabeliai turi būti nutiesti žemėje ne mažesniu kaip 10 m atstumu iki žaibolaidžio.</w:t>
      </w:r>
    </w:p>
    <w:p>
      <w:pPr>
        <w:widowControl w:val="0"/>
        <w:tabs>
          <w:tab w:val="left" w:pos="-180"/>
          <w:tab w:val="left" w:pos="0"/>
          <w:tab w:val="left" w:pos="567"/>
          <w:tab w:val="left" w:pos="1440"/>
        </w:tabs>
        <w:ind w:firstLine="567"/>
        <w:jc w:val="both"/>
      </w:pPr>
      <w:r>
        <w:t>Įvado į kabelių statinį vietoje kabelio metalinis apvalkalas, šarvas ir metalinis vamzdis turi būti prijungtas prie pastotės įžeminimo įrenginio.</w:t>
      </w:r>
    </w:p>
    <w:p>
      <w:pPr>
        <w:widowControl w:val="0"/>
        <w:tabs>
          <w:tab w:val="left" w:pos="-180"/>
          <w:tab w:val="left" w:pos="0"/>
          <w:tab w:val="left" w:pos="567"/>
          <w:tab w:val="left" w:pos="1440"/>
        </w:tabs>
        <w:ind w:firstLine="567"/>
        <w:jc w:val="both"/>
      </w:pPr>
      <w:r>
        <w:t>302</w:t>
      </w:r>
      <w:r>
        <w:t>. Skirstyklų ir pastočių prieigose 35 kV ir aukštesnės įtampos oro linijos nuo tiesioginio žaibo turi būti apsaugotos trosais. Apsaugotų trosais prieigų ilgis, atramų įžeminimo įrenginių varžų vertės, trosų skaičius ir jų apsaugos kampai pateikiami Taisyklių 4 priedo 7 lentelėje.</w:t>
      </w:r>
    </w:p>
    <w:p>
      <w:pPr>
        <w:widowControl w:val="0"/>
        <w:tabs>
          <w:tab w:val="left" w:pos="-180"/>
          <w:tab w:val="left" w:pos="0"/>
          <w:tab w:val="left" w:pos="567"/>
          <w:tab w:val="left" w:pos="1440"/>
        </w:tabs>
        <w:ind w:firstLine="567"/>
        <w:jc w:val="both"/>
      </w:pPr>
      <w:r>
        <w:t>Skirstyklos prieigoje oro linijos trosas turi būti prijungtas prie visų prieigoje esančių atramos įžeminimo įrenginių, išskyrus Taisyklių 281 punkte nustatytus atvejus.</w:t>
      </w:r>
    </w:p>
    <w:p>
      <w:pPr>
        <w:widowControl w:val="0"/>
        <w:tabs>
          <w:tab w:val="left" w:pos="-180"/>
          <w:tab w:val="left" w:pos="0"/>
          <w:tab w:val="left" w:pos="567"/>
          <w:tab w:val="left" w:pos="1440"/>
        </w:tabs>
        <w:ind w:firstLine="567"/>
        <w:jc w:val="both"/>
      </w:pPr>
      <w:r>
        <w:t>303</w:t>
      </w:r>
      <w:r>
        <w:t>. 35 kV įtampos linijų prieigos prie pastočių neapsaugomos trosais, jeigu pastotėje yra du iki 1,6 MVA galios transformatoriai arba vienas iki 1,6 MVA ir rezervinis maitinimas žemesnės įtampos pusėje. Tokių linijų atramos turi būti įžemintos ne mažesniu kaip 0,5 km nuo pastotės atstumu. Atramų įžeminimo varžos nurodytos Taisyklių 4 priedo 7 lentelėje.</w:t>
      </w:r>
    </w:p>
    <w:p>
      <w:pPr>
        <w:widowControl w:val="0"/>
        <w:tabs>
          <w:tab w:val="left" w:pos="-180"/>
          <w:tab w:val="left" w:pos="0"/>
          <w:tab w:val="left" w:pos="567"/>
          <w:tab w:val="left" w:pos="1440"/>
        </w:tabs>
        <w:ind w:firstLine="567"/>
        <w:jc w:val="both"/>
      </w:pPr>
      <w:r>
        <w:t>Jeigu pastotėje yra vienas iki 1,6 MVA galios transformatorius ir nėra rezervinio maitinimo, tai ne mažesniu kaip 0,5 km nuo pastotės atstumu 35 kV įtampos linija turi būti apsaugota trosu.</w:t>
      </w:r>
    </w:p>
    <w:p>
      <w:pPr>
        <w:widowControl w:val="0"/>
        <w:tabs>
          <w:tab w:val="left" w:pos="567"/>
        </w:tabs>
        <w:ind w:firstLine="567"/>
        <w:jc w:val="both"/>
      </w:pPr>
      <w:r>
        <w:t>304</w:t>
      </w:r>
      <w:r>
        <w:t>. Saugomos trosų 35–110 kV įtampos oro linijos, kurios perkūnijų sezono metu iš vieno galo ilgam išjungiamos, išjungtame linijos gale ant įvadinio pastotės portalo arba linijos paskutinės atramos reikia įrengti viršįtampių ribotuvus. Atstumas nuo šių ribotuvų iki komutavimo aparato turi būti ne didesnis kaip 60 m 110 kV įtampos linijose ir ne didesnis kaip 40 m – 35 kV įtampos linijose. Atramos, kuriose įrengti viršįtampių ribotuvai, įžeminimo įrenginio varža turi būti ne didesnė kaip 10</w:t>
      </w:r>
      <w:r>
        <w:rPr>
          <w:rFonts w:ascii="TimesLT" w:hAnsi="TimesLT"/>
          <w:b/>
          <w:vanish/>
        </w:rPr>
        <w:t xml:space="preserve"> </w:t>
      </w:r>
      <w:r>
        <w:rPr>
          <w:rFonts w:ascii="TimesLT" w:hAnsi="TimesLT"/>
          <w:position w:val="-4"/>
        </w:rPr>
        <w:object w:dxaOrig="255" w:dyaOrig="255">
          <v:shape id="_x0000_i1077" type="#_x0000_t75" style="width:12.8pt;height:12.8pt" o:ole="">
            <v:imagedata r:id="rId124" o:title=""/>
          </v:shape>
          <o:OLEObject Type="Embed" ProgID="Equation.3" ShapeID="_x0000_i1077" DrawAspect="Content" ObjectID="_0000000001" r:id="rId125"/>
        </w:object>
      </w:r>
      <w:r>
        <w:t xml:space="preserve"> grunte, kurio savitoji varža </w:t>
      </w:r>
      <w:r>
        <w:rPr>
          <w:rFonts w:ascii="TimesLT" w:hAnsi="TimesLT"/>
          <w:vanish/>
        </w:rPr>
        <w:t xml:space="preserve"> </w:t>
      </w:r>
      <w:r>
        <w:rPr>
          <w:rFonts w:ascii="TimesLT" w:hAnsi="TimesLT"/>
          <w:position w:val="-10"/>
        </w:rPr>
        <w:object w:dxaOrig="240" w:dyaOrig="255">
          <v:shape id="_x0000_i1078" type="#_x0000_t75" style="width:12pt;height:12.8pt" o:ole="">
            <v:imagedata r:id="rId126" o:title=""/>
          </v:shape>
          <o:OLEObject Type="Embed" ProgID="Equation.3" ShapeID="_x0000_i1078" DrawAspect="Content" ObjectID="_0000000001" r:id="rId127"/>
        </w:object>
      </w:r>
      <w:r>
        <w:t xml:space="preserve"> </w:t>
      </w:r>
      <w:r>
        <w:rPr>
          <w:rFonts w:ascii="TimesLT" w:hAnsi="TimesLT"/>
          <w:b/>
          <w:position w:val="-4"/>
        </w:rPr>
        <w:object w:dxaOrig="195" w:dyaOrig="240">
          <v:shape id="_x0000_i1079" type="#_x0000_t75" style="width:9.6pt;height:12pt" o:ole="">
            <v:imagedata r:id="rId128" o:title=""/>
          </v:shape>
          <o:OLEObject Type="Embed" ProgID="Equation.3" ShapeID="_x0000_i1079" DrawAspect="Content" ObjectID="_0000000001" r:id="rId129"/>
        </w:object>
      </w:r>
      <w:r>
        <w:t xml:space="preserve"> 1000 </w:t>
      </w:r>
      <w:r>
        <w:rPr>
          <w:rFonts w:ascii="TimesLT" w:hAnsi="TimesLT"/>
          <w:position w:val="-4"/>
        </w:rPr>
        <w:object w:dxaOrig="255" w:dyaOrig="255">
          <v:shape id="_x0000_i1080" type="#_x0000_t75" style="width:12.8pt;height:12.8pt" o:ole="">
            <v:imagedata r:id="rId130" o:title=""/>
          </v:shape>
          <o:OLEObject Type="Embed" ProgID="Equation.3" ShapeID="_x0000_i1080" DrawAspect="Content" ObjectID="_0000000001" r:id="rId131"/>
        </w:object>
      </w:r>
      <w:r>
        <w:t xml:space="preserve"> m, ir ne didesnė kaip 15 </w:t>
      </w:r>
      <w:r>
        <w:rPr>
          <w:rFonts w:ascii="TimesLT" w:hAnsi="TimesLT"/>
          <w:position w:val="-4"/>
        </w:rPr>
        <w:object w:dxaOrig="255" w:dyaOrig="255">
          <v:shape id="_x0000_i1081" type="#_x0000_t75" style="width:12.8pt;height:12.8pt" o:ole="">
            <v:imagedata r:id="rId132" o:title=""/>
          </v:shape>
          <o:OLEObject Type="Embed" ProgID="Equation.3" ShapeID="_x0000_i1081" DrawAspect="Content" ObjectID="_0000000001" r:id="rId133"/>
        </w:object>
      </w:r>
      <w:r>
        <w:t xml:space="preserve"> grunte, kurio savitoji varža </w:t>
      </w:r>
      <w:r>
        <w:rPr>
          <w:rFonts w:ascii="TimesLT" w:hAnsi="TimesLT"/>
          <w:position w:val="-10"/>
        </w:rPr>
        <w:object w:dxaOrig="240" w:dyaOrig="255">
          <v:shape id="_x0000_i1082" type="#_x0000_t75" style="width:12pt;height:12.8pt" o:ole="">
            <v:imagedata r:id="rId134" o:title=""/>
          </v:shape>
          <o:OLEObject Type="Embed" ProgID="Equation.3" ShapeID="_x0000_i1082" DrawAspect="Content" ObjectID="_0000000001" r:id="rId135"/>
        </w:object>
      </w:r>
      <w:r>
        <w:t xml:space="preserve"> </w:t>
        <w:sym w:font="Symbol" w:char="F03E"/>
        <w:t xml:space="preserve"> 1000 </w:t>
      </w:r>
      <w:r>
        <w:rPr>
          <w:rFonts w:ascii="TimesLT" w:hAnsi="TimesLT"/>
          <w:position w:val="-4"/>
        </w:rPr>
        <w:object w:dxaOrig="255" w:dyaOrig="255">
          <v:shape id="_x0000_i1083" type="#_x0000_t75" style="width:12.8pt;height:12.8pt" o:ole="">
            <v:imagedata r:id="rId136" o:title=""/>
          </v:shape>
          <o:OLEObject Type="Embed" ProgID="Equation.3" ShapeID="_x0000_i1083" DrawAspect="Content" ObjectID="_0000000001" r:id="rId137"/>
        </w:object>
      </w:r>
      <w:r>
        <w:t xml:space="preserve"> m, jeigu viršįtampių ribotuvų gamintojų nenurodyta kitaip. </w:t>
      </w:r>
    </w:p>
    <w:p>
      <w:pPr>
        <w:widowControl w:val="0"/>
        <w:tabs>
          <w:tab w:val="left" w:pos="-180"/>
          <w:tab w:val="left" w:pos="1440"/>
        </w:tabs>
        <w:ind w:firstLine="567"/>
        <w:jc w:val="both"/>
      </w:pPr>
      <w:r>
        <w:t>305</w:t>
      </w:r>
      <w:r>
        <w:t>. 35 kV ir aukštesnės įtampos skirstyklose, prie kurių prijungtos oro linijos, turi būti įrengiami viršįtampių ribotuvai.</w:t>
      </w:r>
    </w:p>
    <w:p>
      <w:pPr>
        <w:widowControl w:val="0"/>
        <w:tabs>
          <w:tab w:val="left" w:pos="-180"/>
          <w:tab w:val="left" w:pos="0"/>
          <w:tab w:val="left" w:pos="567"/>
          <w:tab w:val="left" w:pos="1440"/>
        </w:tabs>
        <w:ind w:firstLine="567"/>
        <w:jc w:val="both"/>
      </w:pPr>
      <w:r>
        <w:t>306</w:t>
      </w:r>
      <w:r>
        <w:t xml:space="preserve">. Viršįtampių ribotuvų ir ventilinių iškroviklių apsaugos charakteristikos turi būti parinktos atsižvelgiant į saugomo elektros įrenginio impulsinį izoliacijos atsparumą ir ribotuvų liekamąją įtampą. Įžemėjus vienai tinklo fazei, viršįtampių ribotuvo liekamoji įtampa turi būti mažesnė už saugomo įrenginio izoliacijos impulsinės įtampos lygį. Jei atstumai tarp viršįtampių ribotuvų ir saugomų įrenginių dideli, turi būti panaudoti geresnių techninių charakteristikų ribotuvai. </w:t>
      </w:r>
    </w:p>
    <w:p>
      <w:pPr>
        <w:widowControl w:val="0"/>
        <w:tabs>
          <w:tab w:val="left" w:pos="-180"/>
          <w:tab w:val="left" w:pos="0"/>
          <w:tab w:val="left" w:pos="567"/>
          <w:tab w:val="left" w:pos="1440"/>
        </w:tabs>
        <w:ind w:firstLine="567"/>
        <w:jc w:val="both"/>
      </w:pPr>
      <w:r>
        <w:t>307</w:t>
      </w:r>
      <w:r>
        <w:t>. Viršįtampių ribotuvų skaičius ir jų įrengimo vieta turi būti parinkti įvertinant pastotės išplėtimą. Didžiausi atstumai tarp viršįtampių ribotuvų ir saugomų įrenginių turi būti nustatomi įvertinant objekto statybos montavimo etapus. Avariniai ir remonto režimai nevertinami.</w:t>
      </w:r>
    </w:p>
    <w:p>
      <w:pPr>
        <w:widowControl w:val="0"/>
        <w:tabs>
          <w:tab w:val="left" w:pos="-180"/>
          <w:tab w:val="left" w:pos="0"/>
          <w:tab w:val="left" w:pos="567"/>
          <w:tab w:val="left" w:pos="1440"/>
        </w:tabs>
        <w:ind w:firstLine="567"/>
        <w:jc w:val="both"/>
      </w:pPr>
      <w:r>
        <w:t>308</w:t>
      </w:r>
      <w:r>
        <w:t>. Komutavimo aparatai grandinėje tarp viršįtampių ribotuvų ir galios transformatorių (autotransformatorių, šuntuojamųjų reaktorių) neįrengiami, jei jie saugo:</w:t>
      </w:r>
    </w:p>
    <w:p>
      <w:pPr>
        <w:widowControl w:val="0"/>
        <w:tabs>
          <w:tab w:val="left" w:pos="-180"/>
          <w:tab w:val="left" w:pos="0"/>
          <w:tab w:val="left" w:pos="567"/>
          <w:tab w:val="left" w:pos="1440"/>
        </w:tabs>
        <w:ind w:firstLine="567"/>
        <w:jc w:val="both"/>
      </w:pPr>
      <w:r>
        <w:t>308.1</w:t>
      </w:r>
      <w:r>
        <w:t>. per autotransformatorių ryšį turinčių galios transformatorių apvijas;</w:t>
      </w:r>
    </w:p>
    <w:p>
      <w:pPr>
        <w:widowControl w:val="0"/>
        <w:tabs>
          <w:tab w:val="left" w:pos="-180"/>
          <w:tab w:val="left" w:pos="0"/>
          <w:tab w:val="left" w:pos="567"/>
          <w:tab w:val="left" w:pos="1440"/>
        </w:tabs>
        <w:ind w:firstLine="567"/>
        <w:jc w:val="both"/>
      </w:pPr>
      <w:r>
        <w:t>308.2</w:t>
      </w:r>
      <w:r>
        <w:t>. 330 kV įtampos galios transformatorių apvijas.</w:t>
      </w:r>
    </w:p>
    <w:p>
      <w:pPr>
        <w:widowControl w:val="0"/>
        <w:tabs>
          <w:tab w:val="left" w:pos="-180"/>
          <w:tab w:val="left" w:pos="0"/>
          <w:tab w:val="left" w:pos="1440"/>
        </w:tabs>
        <w:ind w:firstLine="567"/>
        <w:jc w:val="both"/>
      </w:pPr>
      <w:r>
        <w:t>309</w:t>
      </w:r>
      <w:r>
        <w:t xml:space="preserve">. Galios transformatoriaus kabelio prijungimo prie 110 kV ir aukštesnės įtampos skirstyklos šynų vietoje turi būti įrengti viršįtampių ribotuvai. </w:t>
      </w:r>
    </w:p>
    <w:p>
      <w:pPr>
        <w:widowControl w:val="0"/>
        <w:tabs>
          <w:tab w:val="left" w:pos="-180"/>
          <w:tab w:val="left" w:pos="0"/>
          <w:tab w:val="left" w:pos="1440"/>
        </w:tabs>
        <w:ind w:firstLine="567"/>
        <w:jc w:val="both"/>
      </w:pPr>
      <w:r>
        <w:t>Keletą transformatorių jungiant kabeliais prie skirstyklos šynų, skirstykloje įrengiamas vienas viršįtampių ribotuvų komplektas. Šių ribotuvų įrengimo vietą reikia parinkti kuo arčiau tų vietų, kuriose kabeliai prijungiami prie šynų.</w:t>
      </w:r>
    </w:p>
    <w:p>
      <w:pPr>
        <w:widowControl w:val="0"/>
        <w:tabs>
          <w:tab w:val="left" w:pos="-180"/>
          <w:tab w:val="left" w:pos="0"/>
          <w:tab w:val="left" w:pos="567"/>
          <w:tab w:val="left" w:pos="1440"/>
        </w:tabs>
        <w:ind w:firstLine="567"/>
        <w:jc w:val="both"/>
      </w:pPr>
      <w:r>
        <w:t>310</w:t>
      </w:r>
      <w:r>
        <w:t>. Nenaudojamos transformatorių (autotransformatorių) žemiausios ir vidutinės įtampų apvijos turi būti sujungtos žvaigžde arba trikampiu ir apsaugotos viršįtampių ribotuvais, įrengtais tarp kiekvienos fazės ir žemės. Nepanaudota žemiausios įtampos apvija, esanti arčiausiai magnetolaidžio, apsaugoma įžeminus neutralę, vieną trikampio viršūnę, vieną žvaigždės šaką arba įrengus atitinkamos įtampos viršįtampių ribotuvus kiekvienoje fazėje.</w:t>
      </w:r>
    </w:p>
    <w:p>
      <w:pPr>
        <w:widowControl w:val="0"/>
        <w:tabs>
          <w:tab w:val="left" w:pos="-180"/>
          <w:tab w:val="left" w:pos="0"/>
          <w:tab w:val="left" w:pos="567"/>
          <w:tab w:val="left" w:pos="1440"/>
        </w:tabs>
        <w:ind w:firstLine="567"/>
        <w:jc w:val="both"/>
      </w:pPr>
      <w:r>
        <w:t>Nepanaudotos apvijos įžeminti nereikia, jeigu prie jos nuolat yra prijungtas ilgesnis kaip 30 m kabelis su įžemintu apvalkalu arba šarvu.</w:t>
      </w:r>
    </w:p>
    <w:p>
      <w:pPr>
        <w:widowControl w:val="0"/>
        <w:tabs>
          <w:tab w:val="left" w:pos="-180"/>
          <w:tab w:val="left" w:pos="0"/>
          <w:tab w:val="left" w:pos="567"/>
          <w:tab w:val="left" w:pos="1440"/>
        </w:tabs>
        <w:ind w:firstLine="567"/>
        <w:jc w:val="both"/>
      </w:pPr>
      <w:r>
        <w:t>311</w:t>
      </w:r>
      <w:r>
        <w:t>. 110 kV įtampos galios transformatorių neutralėje reikia įrengti viršįtampių ribotuvą apvijai apsaugoti, jeigu apvijos neutralės izoliacijos lygis yra žemesnis už linijinio apvijos galo izoliaciją, o transformatorius gali veikti esant neįžemintai neutralei. Transformatoriaus neutralėje neturi būti įrengiamas skyriklis, jeigu transformatorius dėl nepakankamos apvijų neutralės izoliacijos negali veikti esant izoliuotajai neutralei.</w:t>
      </w:r>
    </w:p>
    <w:p>
      <w:pPr>
        <w:widowControl w:val="0"/>
        <w:tabs>
          <w:tab w:val="left" w:pos="-180"/>
          <w:tab w:val="left" w:pos="0"/>
          <w:tab w:val="left" w:pos="567"/>
          <w:tab w:val="left" w:pos="1440"/>
        </w:tabs>
        <w:ind w:firstLine="567"/>
        <w:jc w:val="both"/>
      </w:pPr>
      <w:r>
        <w:t>312</w:t>
      </w:r>
      <w:r>
        <w:t>. 6–10 kV įtampos skirstyklos, prie kurių prijungtos oro linijos, turi būti apsaugotos viršįtampių ribotuvais, prijungtais prie šynų.</w:t>
      </w:r>
    </w:p>
    <w:p>
      <w:pPr>
        <w:widowControl w:val="0"/>
        <w:tabs>
          <w:tab w:val="left" w:pos="-180"/>
          <w:tab w:val="left" w:pos="0"/>
          <w:tab w:val="left" w:pos="567"/>
          <w:tab w:val="left" w:pos="1440"/>
        </w:tabs>
        <w:ind w:firstLine="567"/>
        <w:jc w:val="both"/>
      </w:pPr>
      <w:r>
        <w:t>Jeigu transformatoriai prie 6–10 kV įtampos skirstyklos šynų prijungti kabeliais, tai atstumas tarp viršįtampių ribotuvų ir transformatorių ir kitų aparatų neribojamas (išimtys nurodytos Taisyklių 296 punkte). Jeigu transformatoriai prie skirstyklos šynų prijungti oro linijomis, tai atstumas tarp viršįtampių ribotuvų ir transformatorių turi būti ne didesnis kaip 90 m.</w:t>
      </w:r>
    </w:p>
    <w:p>
      <w:pPr>
        <w:widowControl w:val="0"/>
        <w:tabs>
          <w:tab w:val="left" w:pos="-180"/>
          <w:tab w:val="left" w:pos="0"/>
          <w:tab w:val="left" w:pos="567"/>
          <w:tab w:val="left" w:pos="1440"/>
        </w:tabs>
        <w:ind w:firstLine="567"/>
        <w:jc w:val="both"/>
      </w:pPr>
      <w:r>
        <w:t xml:space="preserve">Transformatorinių 6–10 kV ir iki 1000 V įtampos grandines turi saugoti viršįtampių ribotuvai, jeigu transformatorinės prijungtos prie 6–10 kV įtampos oro linijų. </w:t>
      </w:r>
    </w:p>
    <w:p>
      <w:pPr>
        <w:widowControl w:val="0"/>
        <w:tabs>
          <w:tab w:val="left" w:pos="-180"/>
          <w:tab w:val="left" w:pos="0"/>
          <w:tab w:val="left" w:pos="567"/>
          <w:tab w:val="left" w:pos="1440"/>
        </w:tabs>
        <w:ind w:firstLine="567"/>
        <w:jc w:val="both"/>
      </w:pPr>
      <w:r>
        <w:t>Viršįtampių</w:t>
      </w:r>
      <w:r>
        <w:rPr>
          <w:color w:val="0000FF"/>
        </w:rPr>
        <w:t xml:space="preserve"> </w:t>
      </w:r>
      <w:r>
        <w:t>ribotuvas jungiamas prieš saugiklį, jeigu ribotuvas ir įtampos transformatorius įrengti viename narvelyje.</w:t>
      </w:r>
    </w:p>
    <w:p>
      <w:pPr>
        <w:widowControl w:val="0"/>
        <w:tabs>
          <w:tab w:val="left" w:pos="-180"/>
          <w:tab w:val="left" w:pos="0"/>
          <w:tab w:val="left" w:pos="567"/>
          <w:tab w:val="left" w:pos="1440"/>
        </w:tabs>
        <w:ind w:firstLine="567"/>
        <w:jc w:val="both"/>
      </w:pPr>
      <w:r>
        <w:t>Viršįtampių ribotuvų įžeminimo varža turi būti ne didesnė, negu nurodyta Taisyklių 304 punkte.</w:t>
      </w:r>
    </w:p>
    <w:p>
      <w:pPr>
        <w:widowControl w:val="0"/>
        <w:tabs>
          <w:tab w:val="left" w:pos="-180"/>
          <w:tab w:val="left" w:pos="0"/>
          <w:tab w:val="left" w:pos="567"/>
          <w:tab w:val="left" w:pos="1440"/>
        </w:tabs>
        <w:ind w:firstLine="567"/>
        <w:jc w:val="both"/>
      </w:pPr>
      <w:r>
        <w:t>313</w:t>
      </w:r>
      <w:r>
        <w:t xml:space="preserve">. Jeigu 6–35 kV oro linijos prijungtos prie pastočių kabeliais, kabelio prijungimo prie oro linijos vietoje iš oro linijos pusės turi būti įrengti viršįtampių ribotuvai. Jie turi būti prijungti prie įžemintuvo ir trumpiausiu laidininku sujungti su metaliniu kabelio apvalkalu. Įžeminimo varža turi būti ne didesnė kaip 10 </w:t>
      </w:r>
      <w:r>
        <w:rPr>
          <w:position w:val="-4"/>
        </w:rPr>
        <w:object w:dxaOrig="255" w:dyaOrig="255">
          <v:shape id="_x0000_i1084" type="#_x0000_t75" style="width:12.8pt;height:12.8pt" o:ole="">
            <v:imagedata r:id="rId138" o:title=""/>
          </v:shape>
          <o:OLEObject Type="Embed" ProgID="Equation.3" ShapeID="_x0000_i1084" DrawAspect="Content" ObjectID="_0000000001" r:id="rId139"/>
        </w:object>
      </w:r>
      <w:r>
        <w:t xml:space="preserve"> grunte, kurios savitoji varža </w:t>
      </w:r>
      <w:r>
        <w:rPr>
          <w:position w:val="-10"/>
        </w:rPr>
        <w:object w:dxaOrig="240" w:dyaOrig="255">
          <v:shape id="_x0000_i1085" type="#_x0000_t75" style="width:12pt;height:12.8pt" o:ole="">
            <v:imagedata r:id="rId140" o:title=""/>
          </v:shape>
          <o:OLEObject Type="Embed" ProgID="Equation.3" ShapeID="_x0000_i1085" DrawAspect="Content" ObjectID="_0000000001" r:id="rId141"/>
        </w:object>
      </w:r>
      <w:r>
        <w:t xml:space="preserve"> mažesnė arba lygi 1000 </w:t>
      </w:r>
      <w:r>
        <w:rPr>
          <w:vanish/>
        </w:rPr>
        <w:t xml:space="preserve">  </w:t>
      </w:r>
      <w:r>
        <w:rPr>
          <w:position w:val="-4"/>
        </w:rPr>
        <w:object w:dxaOrig="255" w:dyaOrig="255">
          <v:shape id="_x0000_i1086" type="#_x0000_t75" style="width:12.8pt;height:12.8pt" o:ole="">
            <v:imagedata r:id="rId142" o:title=""/>
          </v:shape>
          <o:OLEObject Type="Embed" ProgID="Equation.3" ShapeID="_x0000_i1086" DrawAspect="Content" ObjectID="_0000000001" r:id="rId143"/>
        </w:object>
      </w:r>
      <w:r>
        <w:t xml:space="preserve"> m, ir ne didesnė kaip 15 </w:t>
      </w:r>
      <w:r>
        <w:rPr>
          <w:position w:val="-4"/>
        </w:rPr>
        <w:object w:dxaOrig="255" w:dyaOrig="255">
          <v:shape id="_x0000_i1087" type="#_x0000_t75" style="width:12.8pt;height:12.8pt" o:ole="">
            <v:imagedata r:id="rId144" o:title=""/>
          </v:shape>
          <o:OLEObject Type="Embed" ProgID="Equation.3" ShapeID="_x0000_i1087" DrawAspect="Content" ObjectID="_0000000001" r:id="rId145"/>
        </w:object>
      </w:r>
      <w:r>
        <w:t xml:space="preserve"> didesnės savitosios varžos grunte.</w:t>
      </w:r>
    </w:p>
    <w:p>
      <w:pPr>
        <w:widowControl w:val="0"/>
        <w:tabs>
          <w:tab w:val="left" w:pos="-180"/>
          <w:tab w:val="left" w:pos="0"/>
          <w:tab w:val="left" w:pos="567"/>
          <w:tab w:val="left" w:pos="1440"/>
        </w:tabs>
        <w:ind w:firstLine="567"/>
        <w:jc w:val="both"/>
      </w:pPr>
      <w:r>
        <w:t>Prieigose prie 35 kV ir aukštesnės įtampos pastočių 6–10 kV įtampos oro linijų gelžbetoninės atramos 200–300 m ruože nuo pastotės turi būti įžemintos. Įžemintuvų varža turi būti ne didesnė, negu nurodyta Taisyklių 4 priedo 6 lentelėje.</w:t>
      </w:r>
    </w:p>
    <w:p>
      <w:pPr>
        <w:widowControl w:val="0"/>
        <w:tabs>
          <w:tab w:val="left" w:pos="-180"/>
          <w:tab w:val="left" w:pos="0"/>
          <w:tab w:val="left" w:pos="567"/>
          <w:tab w:val="left" w:pos="1440"/>
        </w:tabs>
        <w:ind w:firstLine="567"/>
        <w:jc w:val="both"/>
      </w:pPr>
      <w:r>
        <w:t>314</w:t>
      </w:r>
      <w:r>
        <w:t>. 35–110 kV įtampos pastotę su ne didesnės kaip 40 MVA galios transformatoriais jungiant prie veikiančių oro linijų be saugos trosų atšaka, trumpesne, negu reikalauja jos apsauga nuo žaibų (Taisyklių 4 priedo 7 lentelė), naudoti šią paprastesnę schemą:</w:t>
      </w:r>
    </w:p>
    <w:p>
      <w:pPr>
        <w:widowControl w:val="0"/>
        <w:tabs>
          <w:tab w:val="left" w:pos="-180"/>
          <w:tab w:val="left" w:pos="0"/>
          <w:tab w:val="left" w:pos="567"/>
          <w:tab w:val="left" w:pos="709"/>
          <w:tab w:val="left" w:pos="993"/>
          <w:tab w:val="left" w:pos="1440"/>
        </w:tabs>
        <w:ind w:firstLine="567"/>
        <w:jc w:val="both"/>
      </w:pPr>
      <w:r>
        <w:t>314.1</w:t>
      </w:r>
      <w:r>
        <w:t>. viršįtampių ribotuvus įrengti ne toliau kaip 10 m nuo transformatorių;</w:t>
      </w:r>
    </w:p>
    <w:p>
      <w:pPr>
        <w:widowControl w:val="0"/>
        <w:tabs>
          <w:tab w:val="left" w:pos="-180"/>
          <w:tab w:val="left" w:pos="0"/>
          <w:tab w:val="left" w:pos="567"/>
          <w:tab w:val="left" w:pos="709"/>
          <w:tab w:val="left" w:pos="993"/>
          <w:tab w:val="left" w:pos="1440"/>
        </w:tabs>
        <w:ind w:firstLine="567"/>
        <w:jc w:val="both"/>
      </w:pPr>
      <w:r>
        <w:t>314.2</w:t>
      </w:r>
      <w:r>
        <w:t>. visoje atšakoje nutiesti trosą. Jeigu atšaka trumpesnė kaip 150 m, tai į abi linijos puses nuo atšakos papildomai trosu arba strypiniais žaibolaidžiais reikia apsaugoti po vieną veikiančios oro linijos tarpatramį.</w:t>
      </w:r>
    </w:p>
    <w:p>
      <w:pPr>
        <w:widowControl w:val="0"/>
        <w:tabs>
          <w:tab w:val="left" w:pos="-180"/>
          <w:tab w:val="left" w:pos="0"/>
          <w:tab w:val="left" w:pos="567"/>
          <w:tab w:val="left" w:pos="1440"/>
        </w:tabs>
        <w:ind w:firstLine="567"/>
        <w:jc w:val="both"/>
      </w:pPr>
      <w:r>
        <w:t>Pastotę, kurioje atstumas tarp viršįtampių ribotuvų ir transformatoriaus didesnis kaip 10 m, reikia apsaugoti pagal Taisyklių 302 punkto reikalavimus (išimtis taikoma, kai veikianti linija nutraukiama ir iš tos vietos abu jos galai tiesiami į naujai jungiamą pastotę).</w:t>
      </w:r>
    </w:p>
    <w:p>
      <w:pPr>
        <w:widowControl w:val="0"/>
        <w:tabs>
          <w:tab w:val="left" w:pos="-180"/>
          <w:tab w:val="left" w:pos="0"/>
          <w:tab w:val="left" w:pos="567"/>
          <w:tab w:val="left" w:pos="1440"/>
        </w:tabs>
        <w:ind w:firstLine="567"/>
        <w:jc w:val="both"/>
      </w:pPr>
      <w:r>
        <w:t>Pastotės, jungiamos prie naujai tiesiamos linijos, turi būti apsaugotos nuo viršįtampių.</w:t>
      </w:r>
    </w:p>
    <w:p>
      <w:pPr>
        <w:widowControl w:val="0"/>
        <w:tabs>
          <w:tab w:val="left" w:pos="-180"/>
          <w:tab w:val="left" w:pos="0"/>
          <w:tab w:val="left" w:pos="567"/>
          <w:tab w:val="left" w:pos="1440"/>
        </w:tabs>
        <w:ind w:firstLine="567"/>
        <w:jc w:val="both"/>
      </w:pPr>
      <w:r>
        <w:t>315</w:t>
      </w:r>
      <w:r>
        <w:t xml:space="preserve">. Pastotę prijungiant prie veikiančios 35–110 kV įtampos oro linijos atšaka arba įrengiant trumpas tranzitinės linijos atšakas, apsaugai naudojamų viršįtampių ribotuvų įžeminimo varža turi būti ne didesnė kaip 30 </w:t>
      </w:r>
      <w:r>
        <w:rPr>
          <w:position w:val="-4"/>
        </w:rPr>
        <w:object w:dxaOrig="255" w:dyaOrig="255">
          <v:shape id="_x0000_i1088" type="#_x0000_t75" style="width:12.8pt;height:12.8pt" o:ole="">
            <v:imagedata r:id="rId146" o:title=""/>
          </v:shape>
          <o:OLEObject Type="Embed" ProgID="Equation.3" ShapeID="_x0000_i1088" DrawAspect="Content" ObjectID="_0000000001" r:id="rId147"/>
        </w:object>
      </w:r>
      <w:r>
        <w:t xml:space="preserve">, jei savitoji grunto varža ne mažesnė kaip 1000 </w:t>
      </w:r>
      <w:r>
        <w:rPr>
          <w:position w:val="-4"/>
        </w:rPr>
        <w:object w:dxaOrig="255" w:dyaOrig="255">
          <v:shape id="_x0000_i1089" type="#_x0000_t75" style="width:12.8pt;height:12.8pt" o:ole="">
            <v:imagedata r:id="rId148" o:title=""/>
          </v:shape>
          <o:OLEObject Type="Embed" ProgID="Equation.3" ShapeID="_x0000_i1089" DrawAspect="Content" ObjectID="_0000000001" r:id="rId149"/>
        </w:object>
      </w:r>
      <w:r>
        <w:t xml:space="preserve"> m. Artimiausio nuo pastotės viršįtampių ribotuvo įžemintuvas turi būti sujungtas su pastotės įžemintuvu.</w:t>
      </w:r>
    </w:p>
    <w:p>
      <w:pPr>
        <w:widowControl w:val="0"/>
        <w:tabs>
          <w:tab w:val="left" w:pos="-180"/>
          <w:tab w:val="left" w:pos="0"/>
          <w:tab w:val="left" w:pos="567"/>
          <w:tab w:val="left" w:pos="1440"/>
        </w:tabs>
        <w:ind w:firstLine="567"/>
        <w:jc w:val="both"/>
      </w:pPr>
      <w:r>
        <w:t>316</w:t>
      </w:r>
      <w:r>
        <w:t>. Iki 110 kV įtampos ne per visą ilgį turinčios trosą oro linijos skyriklį turi saugoti viršįtampių ribotuvas, įrengtas toje pačioje atramoje kaip ir skyriklis. Jeigu skyriklis ilgam atjungiamas, tai atramoje viršįtampių ribotuvai turi būti įrengti iš abiejų skyriklio pusių.</w:t>
      </w:r>
    </w:p>
    <w:p>
      <w:pPr>
        <w:widowControl w:val="0"/>
        <w:tabs>
          <w:tab w:val="left" w:pos="-180"/>
          <w:tab w:val="left" w:pos="0"/>
          <w:tab w:val="left" w:pos="567"/>
          <w:tab w:val="left" w:pos="1440"/>
        </w:tabs>
        <w:ind w:firstLine="567"/>
        <w:jc w:val="both"/>
      </w:pPr>
      <w:r>
        <w:t>Jeigu linijoje skyriklis įrengtas ne toliau kaip 25 m nuo linijos prijungimo prie pastotės ar skirstyklos vietos, tai artimiausioje atramoje nereikia įrengti viršįtampių ribotuvų. Jeigu šis skyriklis ilgam išjungiamas, tai atramoje į linijos pusę turi būti įrengti viršįtampių ribotuvai.</w:t>
      </w:r>
    </w:p>
    <w:p>
      <w:pPr>
        <w:widowControl w:val="0"/>
        <w:tabs>
          <w:tab w:val="left" w:pos="-180"/>
          <w:tab w:val="left" w:pos="0"/>
          <w:tab w:val="left" w:pos="567"/>
          <w:tab w:val="left" w:pos="1440"/>
        </w:tabs>
        <w:ind w:firstLine="567"/>
        <w:jc w:val="both"/>
      </w:pPr>
      <w:r>
        <w:t>Viršįtampių ribotuvais nereikia apsaugoti iki 10 kV įtampos oro linijos skyriklių, jeigu skyriklių ir oro linijos izoliacijos lygis nesiskiria.</w:t>
      </w:r>
    </w:p>
    <w:p>
      <w:pPr>
        <w:widowControl w:val="0"/>
        <w:tabs>
          <w:tab w:val="left" w:pos="-180"/>
          <w:tab w:val="left" w:pos="0"/>
          <w:tab w:val="left" w:pos="567"/>
          <w:tab w:val="left" w:pos="1440"/>
        </w:tabs>
        <w:ind w:firstLine="567"/>
        <w:jc w:val="both"/>
      </w:pPr>
      <w:r>
        <w:t>Trosų saugomos oro linijos prieigoje, vadovaujantis schema, skyrikliai įrengiami artimiausioje nuo pastotės atramoje. Kitose prieigos atramose įrengiami skyrikliai tik tuo atveju, jeigu skyriklių izoliacijos lygis yra ne žemesnis už tos atramos izoliatorių izoliacijos lygį.</w:t>
      </w:r>
    </w:p>
    <w:p>
      <w:pPr>
        <w:widowControl w:val="0"/>
        <w:ind w:firstLine="567"/>
        <w:jc w:val="both"/>
      </w:pPr>
    </w:p>
    <w:p>
      <w:pPr>
        <w:widowControl w:val="0"/>
        <w:jc w:val="center"/>
        <w:rPr>
          <w:b/>
        </w:rPr>
      </w:pPr>
      <w:r>
        <w:rPr>
          <w:b/>
        </w:rPr>
        <w:t>DEVYNIOLIKTASIS</w:t>
      </w:r>
      <w:r>
        <w:rPr>
          <w:b/>
        </w:rPr>
        <w:t xml:space="preserve"> SKIRSNIS</w:t>
      </w:r>
    </w:p>
    <w:p>
      <w:pPr>
        <w:widowControl w:val="0"/>
        <w:jc w:val="center"/>
        <w:rPr>
          <w:b/>
        </w:rPr>
      </w:pPr>
      <w:r>
        <w:rPr>
          <w:b/>
        </w:rPr>
        <w:t xml:space="preserve">APSAUGA NUO VIDINIŲ VIRŠĮTAMPIŲ </w:t>
      </w:r>
    </w:p>
    <w:p>
      <w:pPr>
        <w:pStyle w:val="PlainText"/>
        <w:rPr>
          <w:rFonts w:ascii="Times New Roman" w:eastAsia="MS Mincho" w:hAnsi="Times New Roman"/>
          <w:sz w:val="20"/>
          <w:i/>
          <w:iCs/>
        </w:rPr>
      </w:pPr>
      <w:r>
        <w:rPr>
          <w:rFonts w:ascii="Times New Roman" w:eastAsia="MS Mincho" w:hAnsi="Times New Roman"/>
          <w:sz w:val="20"/>
          <w:i/>
          <w:iCs/>
        </w:rPr>
        <w:t>Pakeistas poskyrio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0"/>
          <w:tab w:val="left" w:pos="1440"/>
        </w:tabs>
        <w:ind w:firstLine="567"/>
        <w:jc w:val="both"/>
      </w:pPr>
      <w:r>
        <w:t>317</w:t>
      </w:r>
      <w:r>
        <w:t>. 6–35 kV įtampos elektros tinkluose, kuriuose turi būti kompensuotos talpinės įžemėjimo srovės, tinklo fazių talpius reikia išlyginti žemės atžvilgiu, atitinkamai išdėstant fazinius laidus. Atskirų fazių talpių asimetrijos laipsnis žemės atžvilgiu turi būti ne didesnis kaip 0,75 proc.</w:t>
      </w:r>
    </w:p>
    <w:p>
      <w:pPr>
        <w:widowControl w:val="0"/>
        <w:tabs>
          <w:tab w:val="left" w:pos="-180"/>
          <w:tab w:val="left" w:pos="0"/>
          <w:tab w:val="left" w:pos="567"/>
          <w:tab w:val="left" w:pos="1440"/>
        </w:tabs>
        <w:ind w:firstLine="567"/>
        <w:jc w:val="both"/>
      </w:pPr>
      <w:r>
        <w:t>Kompensacinių ričių įrengimo vietos turi būti parinktos įvertinus tinklo konfigūraciją, galimą tinklo padalijimą, avarinių režimų tikimybę, poveikį ryšio linijoms ir geležinkelio autoblokuočių linijoms.</w:t>
      </w:r>
    </w:p>
    <w:p>
      <w:pPr>
        <w:widowControl w:val="0"/>
        <w:tabs>
          <w:tab w:val="left" w:pos="-180"/>
          <w:tab w:val="left" w:pos="0"/>
          <w:tab w:val="left" w:pos="1440"/>
        </w:tabs>
        <w:ind w:firstLine="567"/>
        <w:jc w:val="both"/>
      </w:pPr>
      <w:r>
        <w:t>Kompensacinė ritė prie transformatoriaus neutralės nejungiama:</w:t>
      </w:r>
    </w:p>
    <w:p>
      <w:pPr>
        <w:widowControl w:val="0"/>
        <w:tabs>
          <w:tab w:val="left" w:pos="-180"/>
          <w:tab w:val="left" w:pos="0"/>
          <w:tab w:val="left" w:pos="709"/>
          <w:tab w:val="left" w:pos="993"/>
          <w:tab w:val="left" w:pos="1440"/>
        </w:tabs>
        <w:ind w:firstLine="567"/>
        <w:jc w:val="both"/>
      </w:pPr>
      <w:r>
        <w:t>317.1</w:t>
      </w:r>
      <w:r>
        <w:t>. kai transformatorius prie šynų jungiamas saugikliais;</w:t>
      </w:r>
    </w:p>
    <w:p>
      <w:pPr>
        <w:widowControl w:val="0"/>
        <w:tabs>
          <w:tab w:val="left" w:pos="-180"/>
          <w:tab w:val="left" w:pos="0"/>
          <w:tab w:val="left" w:pos="709"/>
          <w:tab w:val="left" w:pos="993"/>
          <w:tab w:val="left" w:pos="1440"/>
        </w:tabs>
        <w:ind w:firstLine="567"/>
        <w:jc w:val="both"/>
      </w:pPr>
      <w:r>
        <w:t>317.2</w:t>
      </w:r>
      <w:r>
        <w:t>. kai transformatorius prie tinklo, kuriame kompensuojamos vienfazio įžemėjimo srovės, yra prijungtas viena linija.</w:t>
      </w:r>
    </w:p>
    <w:p>
      <w:pPr>
        <w:widowControl w:val="0"/>
        <w:tabs>
          <w:tab w:val="left" w:pos="-180"/>
          <w:tab w:val="left" w:pos="0"/>
          <w:tab w:val="left" w:pos="1440"/>
        </w:tabs>
        <w:ind w:firstLine="567"/>
        <w:jc w:val="both"/>
      </w:pPr>
      <w:r>
        <w:t>Kompensacinių ričių galia parenkama pagal tinklo įžemėjimo talpinės srovės dydį, įvertinus dešimties metų perspektyvą.</w:t>
      </w:r>
    </w:p>
    <w:p>
      <w:pPr>
        <w:widowControl w:val="0"/>
        <w:tabs>
          <w:tab w:val="left" w:pos="-180"/>
          <w:tab w:val="left" w:pos="567"/>
          <w:tab w:val="left" w:pos="1440"/>
        </w:tabs>
        <w:ind w:firstLine="567"/>
        <w:jc w:val="both"/>
      </w:pPr>
      <w:r>
        <w:t>318</w:t>
      </w:r>
      <w:r>
        <w:t>. Nuo savaiminio neutralės poslinkio apsaugoti nereikia 6–35 kV įtampos elektros tinklų, kurių neutralė kompensuota arba prie kurių prijungti generatoriai su vandeniu aušinamomis statoriaus apvijomis.</w:t>
      </w:r>
    </w:p>
    <w:p>
      <w:pPr>
        <w:widowControl w:val="0"/>
        <w:tabs>
          <w:tab w:val="left" w:pos="-180"/>
          <w:tab w:val="left" w:pos="567"/>
          <w:tab w:val="left" w:pos="1440"/>
        </w:tabs>
        <w:ind w:firstLine="567"/>
        <w:jc w:val="both"/>
      </w:pPr>
      <w:r>
        <w:t xml:space="preserve">6–35 kV tinkluose turi būti įrengtos priemonės, kad būtų išvengta neutralės poslinkio tais atvejais, kai nėra generatorių, kurių statoriaus apvijos aušinamos vandeniu, taip pat 6–35 kV įtampos elektros tinklų dalyse, kurios gali atsiskirti nuo kompensacinių ričių ir nuo minėtų generatorių, suveikus apsaugai ar atliekant operatyviuosius perjungimus. 6–35 kV įtampos elektros tinklų transformatorių antrinės apvijos, sujungtos atviruoju trikampiu ir naudojamos izoliacijai kontroliuoti, išskyrus NAMI tipo įtampos transformatorius, grandinėje turi būti įjungtas 4 A srovės 25 </w:t>
      </w:r>
      <w:r>
        <w:rPr>
          <w:position w:val="-4"/>
        </w:rPr>
        <w:object w:dxaOrig="255" w:dyaOrig="255">
          <v:shape id="_x0000_i1090" type="#_x0000_t75" style="width:12.8pt;height:12.8pt" o:ole="">
            <v:imagedata r:id="rId150" o:title=""/>
          </v:shape>
          <o:OLEObject Type="Embed" ProgID="Equation.3" ShapeID="_x0000_i1090" DrawAspect="Content" ObjectID="_0000000001" r:id="rId151"/>
        </w:object>
      </w:r>
      <w:r>
        <w:t xml:space="preserve"> rezistorius arba specialus įtaisas apsaugai nuo ferorezonanso.</w:t>
      </w:r>
    </w:p>
    <w:p>
      <w:pPr>
        <w:widowControl w:val="0"/>
        <w:tabs>
          <w:tab w:val="left" w:pos="-180"/>
          <w:tab w:val="left" w:pos="567"/>
          <w:tab w:val="left" w:pos="1440"/>
        </w:tabs>
        <w:ind w:firstLine="567"/>
        <w:jc w:val="both"/>
      </w:pPr>
      <w:r>
        <w:t>Generatoriaus-transformatoriaus bloko schemose įtampos transformatorių atviruoju trikampiu sujungtos apvijos grandinėje reikia taip pat</w:t>
      </w:r>
      <w:r>
        <w:rPr>
          <w:color w:val="0000FF"/>
        </w:rPr>
        <w:t xml:space="preserve"> </w:t>
      </w:r>
      <w:r>
        <w:t xml:space="preserve">įrengti nuolat įjungtą 4 A srovės 25 </w:t>
      </w:r>
      <w:r>
        <w:rPr>
          <w:position w:val="-4"/>
        </w:rPr>
        <w:object w:dxaOrig="255" w:dyaOrig="255">
          <v:shape id="_x0000_i1091" type="#_x0000_t75" style="width:12.8pt;height:12.8pt" o:ole="">
            <v:imagedata r:id="rId152" o:title=""/>
          </v:shape>
          <o:OLEObject Type="Embed" ProgID="Equation.3" ShapeID="_x0000_i1091" DrawAspect="Content" ObjectID="_0000000001" r:id="rId153"/>
        </w:object>
      </w:r>
      <w:r>
        <w:t xml:space="preserve"> rezistorių. Šiuo atveju reikia įrengti antrą tokį pat rezistorių, kuris, įvykus ferorezonansui, automatiškai šuntuotų nuolat įjungtą rezistorių.</w:t>
      </w:r>
    </w:p>
    <w:p>
      <w:pPr>
        <w:widowControl w:val="0"/>
        <w:tabs>
          <w:tab w:val="left" w:pos="-180"/>
          <w:tab w:val="left" w:pos="567"/>
          <w:tab w:val="left" w:pos="1440"/>
        </w:tabs>
        <w:ind w:firstLine="567"/>
        <w:jc w:val="both"/>
      </w:pPr>
      <w:r>
        <w:t>6–35 kV įtampos elektros tinkluose, kuriuose fazinės arba nulinės sekos įtampos nematuojamos, naudojami įtampos transformatoriai, kurių pirminės apvijos neturi tiesioginio ryšio su žeme.</w:t>
      </w:r>
    </w:p>
    <w:p>
      <w:pPr>
        <w:widowControl w:val="0"/>
        <w:tabs>
          <w:tab w:val="left" w:pos="-180"/>
          <w:tab w:val="left" w:pos="567"/>
          <w:tab w:val="left" w:pos="1440"/>
        </w:tabs>
        <w:ind w:firstLine="567"/>
        <w:jc w:val="both"/>
      </w:pPr>
      <w:r>
        <w:t>319</w:t>
      </w:r>
      <w:r>
        <w:t>. 330–400 kV įtampos tinkluose, atsižvelgiant į tinklo schemą, linijų skaičių, jungtuvų tipą, transformatorių galią ir kitus parametrus, reikia numatyti priemones, ribojančias ilgalaikį įtampos padidėjimą ir apsaugančias nuo komutacinių viršįtampių. 330–400 kV įtampos įrenginiams leistinas įtampos padidėjimas turi būti nustatomas atsižvelgiant į jo trukmę.</w:t>
      </w:r>
    </w:p>
    <w:p>
      <w:pPr>
        <w:ind w:firstLine="567"/>
        <w:jc w:val="both"/>
      </w:pPr>
      <w:r>
        <w:rPr>
          <w:szCs w:val="24"/>
          <w:lang w:eastAsia="lt-LT"/>
        </w:rPr>
        <w:t>319</w:t>
      </w:r>
      <w:r>
        <w:rPr>
          <w:szCs w:val="24"/>
          <w:vertAlign w:val="superscript"/>
          <w:lang w:eastAsia="lt-LT"/>
        </w:rPr>
        <w:t>1</w:t>
      </w:r>
      <w:r>
        <w:rPr>
          <w:szCs w:val="24"/>
          <w:lang w:eastAsia="lt-LT"/>
        </w:rPr>
        <w:t>. 110 kV įtampos oro linijose leidžiama įrengti vieną kabelių linijos intarpą, kurio ilgis turi būti ne trumpesnis kaip 600 m. Atstumas nuo kabelių linijos intarpo iki artimiausios transformatorių pastotės turi būti ne trumpesnis kaip 600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widowControl w:val="0"/>
        <w:tabs>
          <w:tab w:val="left" w:pos="-180"/>
          <w:tab w:val="left" w:pos="567"/>
          <w:tab w:val="left" w:pos="1440"/>
        </w:tabs>
        <w:ind w:firstLine="567"/>
        <w:jc w:val="both"/>
      </w:pPr>
      <w:r>
        <w:t>320</w:t>
      </w:r>
      <w:r>
        <w:t>. 330–400 kV įtampos tinkluose komutaciniai viršįtampiai turi būti apriboti iki 2,7 karto vardinės tinklo įtampos.</w:t>
      </w:r>
    </w:p>
    <w:p>
      <w:pPr>
        <w:widowControl w:val="0"/>
        <w:tabs>
          <w:tab w:val="left" w:pos="-180"/>
          <w:tab w:val="left" w:pos="567"/>
          <w:tab w:val="left" w:pos="1440"/>
        </w:tabs>
        <w:ind w:firstLine="567"/>
        <w:jc w:val="both"/>
      </w:pPr>
      <w:r>
        <w:t>Pavojingiems komutaciniams viršįtampiams apriboti oro linijose reikia naudoti viršįtampių ribotuvus, elektromagnetinius įtampos transformatorius ar kitas priemones, ribojančias ilgalaikį įtampos didėjimą.</w:t>
      </w:r>
    </w:p>
    <w:p>
      <w:pPr>
        <w:widowControl w:val="0"/>
        <w:tabs>
          <w:tab w:val="left" w:pos="-180"/>
          <w:tab w:val="left" w:pos="567"/>
          <w:tab w:val="left" w:pos="1440"/>
        </w:tabs>
        <w:ind w:firstLine="567"/>
        <w:jc w:val="both"/>
      </w:pPr>
      <w:r>
        <w:t xml:space="preserve">6–110 kV įtampos kabelių linijos, kuriose gali pasireikšti išoriniai arba vidiniai viršįtampiai, turi būti apsaugotos viršįtampių ribotuvais. </w:t>
      </w:r>
    </w:p>
    <w:p>
      <w:pPr>
        <w:widowControl w:val="0"/>
        <w:tabs>
          <w:tab w:val="left" w:pos="-180"/>
          <w:tab w:val="left" w:pos="567"/>
          <w:tab w:val="left" w:pos="1440"/>
        </w:tabs>
        <w:ind w:firstLine="567"/>
        <w:jc w:val="both"/>
      </w:pPr>
      <w:r>
        <w:t>Kabeliai įvaduose nuo oro linijų į pastotes ir transformatorines nuo išorinių viršįtampių turi būti apsaugoti viršįtampių ribotuvais oro linijos pusėje.</w:t>
      </w:r>
    </w:p>
    <w:p>
      <w:pPr>
        <w:widowControl w:val="0"/>
        <w:tabs>
          <w:tab w:val="left" w:pos="-180"/>
          <w:tab w:val="left" w:pos="567"/>
          <w:tab w:val="left" w:pos="1440"/>
        </w:tabs>
        <w:ind w:firstLine="567"/>
        <w:jc w:val="both"/>
      </w:pPr>
      <w:r>
        <w:t>321</w:t>
      </w:r>
      <w:r>
        <w:t>. 330–400 kV įtampos skirstyklose, kuriose yra orinių jungtuvų su talpiniais įtampų dalikliais, reikia numatyti priemones, ribojančias ferorezonansinius viršįtampius, atsirandančius nuosekliai jungiant įtampos transformatorius ir jungtuvų talpinius įtampos daliklius.</w:t>
      </w:r>
    </w:p>
    <w:p>
      <w:pPr>
        <w:widowControl w:val="0"/>
        <w:ind w:firstLine="567"/>
        <w:jc w:val="both"/>
      </w:pPr>
    </w:p>
    <w:p>
      <w:pPr>
        <w:widowControl w:val="0"/>
        <w:jc w:val="center"/>
        <w:rPr>
          <w:b/>
        </w:rPr>
      </w:pPr>
      <w:r>
        <w:rPr>
          <w:b/>
        </w:rPr>
        <w:t>IX</w:t>
      </w:r>
      <w:r>
        <w:rPr>
          <w:b/>
        </w:rPr>
        <w:t xml:space="preserve"> SKYRIUS</w:t>
      </w:r>
    </w:p>
    <w:p>
      <w:pPr>
        <w:widowControl w:val="0"/>
        <w:jc w:val="center"/>
        <w:rPr>
          <w:b/>
          <w:strike/>
        </w:rPr>
      </w:pPr>
      <w:r>
        <w:rPr>
          <w:b/>
        </w:rPr>
        <w:t xml:space="preserve">BANDYMAI IR MATAVIMAI PRIEŠ PRADEDANT NAUDOTI ELEKTROS ĮRENGINIUS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900"/>
          <w:tab w:val="left" w:pos="1260"/>
        </w:tabs>
        <w:ind w:firstLine="567"/>
        <w:jc w:val="both"/>
      </w:pPr>
      <w:r>
        <w:t>322</w:t>
      </w:r>
      <w:r>
        <w:t xml:space="preserve">. Įrengus (sumontavus) iki 400 kV įtampos elektros įrenginius, prieš pradedant juos naudoti, turi būti atlikti elektros įrenginių bandymai ir matavimai. Bandymai ir matavimai atliekami vadovaujantis gamintojų, pagaminusių elektros įrenginius, techniniais dokumentais, įrenginį eksploatuojančios įmonės patikrinimus reglamentuojančiais dokumentais ir Elektros įrenginių bandymo normomis ir apimtimis. Įrenginį eksploatuojančios įmonės patikrinimus reglamentuojantys dokumentai ir Elektros įrenginių bandymo normų ir apimčių reikalavimai taikomi, jeigu jie neprieštarauja gamintojų techniniuose dokumentuose nustatytiems reikalavimams. </w:t>
      </w:r>
    </w:p>
    <w:p>
      <w:pPr>
        <w:widowControl w:val="0"/>
        <w:tabs>
          <w:tab w:val="left" w:pos="-180"/>
          <w:tab w:val="left" w:pos="720"/>
        </w:tabs>
        <w:ind w:firstLine="567"/>
        <w:jc w:val="both"/>
      </w:pPr>
      <w:r>
        <w:t>323</w:t>
      </w:r>
      <w:r>
        <w:t>. Pagaminti elektros įrenginiai turi būti išbandyti gamintojo, taikant nurodytus jo techniniuose dokumentuose reikalavimus.</w:t>
      </w:r>
    </w:p>
    <w:p>
      <w:pPr>
        <w:widowControl w:val="0"/>
        <w:tabs>
          <w:tab w:val="left" w:pos="-180"/>
          <w:tab w:val="left" w:pos="720"/>
        </w:tabs>
        <w:ind w:firstLine="567"/>
        <w:jc w:val="both"/>
      </w:pPr>
      <w:r>
        <w:t>324</w:t>
      </w:r>
      <w:r>
        <w:t>. Kartu su elektros įrenginiais turi būti pateikta atitikties deklaracija ar</w:t>
      </w:r>
      <w:r>
        <w:rPr>
          <w:color w:val="FF0000"/>
        </w:rPr>
        <w:t xml:space="preserve"> </w:t>
      </w:r>
      <w:r>
        <w:t>sertifikatas ir naudojimo dokumentai su reikalingais parametrais.</w:t>
      </w:r>
    </w:p>
    <w:p>
      <w:pPr>
        <w:widowControl w:val="0"/>
        <w:tabs>
          <w:tab w:val="left" w:pos="-180"/>
          <w:tab w:val="left" w:pos="720"/>
        </w:tabs>
        <w:ind w:firstLine="567"/>
        <w:jc w:val="both"/>
      </w:pPr>
      <w:r>
        <w:t>325</w:t>
      </w:r>
      <w:r>
        <w:t>. Elektros įrenginiai arba statybos produktai (pavyzdžiui, elektros linijos, skirstyklos ir pan.), gauti statybos proceso metu, juos pažeidus transportavimo ir montavimo metu, kilus abejonių, kad gaminio parametrai neatitinka gamintojo naudojimo dokumentuose nurodytų ir pakartotinai naudojamų (išmontuotų), turi būti atliekami jų bandymai ir parametrų matavimai vadovaujantis norminiais dokumentais.</w:t>
      </w:r>
    </w:p>
    <w:p>
      <w:pPr>
        <w:widowControl w:val="0"/>
        <w:tabs>
          <w:tab w:val="left" w:pos="-180"/>
          <w:tab w:val="left" w:pos="720"/>
        </w:tabs>
        <w:ind w:firstLine="567"/>
        <w:jc w:val="both"/>
      </w:pPr>
      <w:r>
        <w:t>326</w:t>
      </w:r>
      <w:r>
        <w:t>. Be numatytų bandymų ir matavimų, turi būti atliekama įrenginių apžiūra ir jų mechaninės dalies patikra.</w:t>
      </w:r>
    </w:p>
    <w:p>
      <w:pPr>
        <w:widowControl w:val="0"/>
        <w:tabs>
          <w:tab w:val="left" w:pos="-180"/>
          <w:tab w:val="left" w:pos="720"/>
        </w:tabs>
        <w:ind w:firstLine="567"/>
        <w:jc w:val="both"/>
      </w:pPr>
      <w:r>
        <w:t>327</w:t>
      </w:r>
      <w:r>
        <w:t>. Visi bandymai ir matavimai turi būti įforminami atitinkamais protokolais (aktais). Patikrinimo protokoluose (aktuose) turi būti nurodomos matavimo sąlygos, matavimo priemonės, išmatuotų parametrų vertės, gamintojo nustatytos arba kituose norminiuose dokumentuose pateikti norminiai dydžiai.</w:t>
      </w:r>
    </w:p>
    <w:p>
      <w:pPr>
        <w:widowControl w:val="0"/>
        <w:tabs>
          <w:tab w:val="left" w:pos="-180"/>
          <w:tab w:val="left" w:pos="720"/>
        </w:tabs>
        <w:ind w:firstLine="567"/>
        <w:jc w:val="both"/>
      </w:pPr>
      <w:r>
        <w:t>328</w:t>
      </w:r>
      <w:r>
        <w:t>. Įvertinus bandymų ir matavimų rezultatus, nustatoma elektros įrenginių techninė būklė ir daromos išvados dėl jų tinkamumo naudoti.</w:t>
      </w:r>
    </w:p>
    <w:p>
      <w:pPr>
        <w:widowControl w:val="0"/>
        <w:tabs>
          <w:tab w:val="left" w:pos="-180"/>
          <w:tab w:val="left" w:pos="720"/>
        </w:tabs>
        <w:ind w:firstLine="567"/>
        <w:jc w:val="both"/>
      </w:pPr>
      <w:r>
        <w:t>329</w:t>
      </w:r>
      <w:r>
        <w:t>. Relinės apsaugos, automatikos ir telemechanikos įranga turi būti tikrinama remiantis normų ir bandymo apimčių normatyvais, nustatytais šių įrenginių techniniuose ir norminiuose dokumentuose.</w:t>
      </w:r>
    </w:p>
    <w:p>
      <w:pPr>
        <w:widowControl w:val="0"/>
        <w:tabs>
          <w:tab w:val="left" w:pos="-180"/>
          <w:tab w:val="left" w:pos="720"/>
        </w:tabs>
        <w:ind w:firstLine="567"/>
        <w:jc w:val="both"/>
      </w:pPr>
    </w:p>
    <w:p>
      <w:pPr>
        <w:widowControl w:val="0"/>
        <w:jc w:val="center"/>
        <w:rPr>
          <w:b/>
          <w:bCs/>
        </w:rPr>
      </w:pPr>
      <w:r>
        <w:rPr>
          <w:b/>
          <w:bCs/>
        </w:rPr>
        <w:t>X</w:t>
      </w:r>
      <w:r>
        <w:rPr>
          <w:b/>
          <w:bCs/>
        </w:rPr>
        <w:t xml:space="preserve"> SKYRIUS</w:t>
      </w:r>
    </w:p>
    <w:p>
      <w:pPr>
        <w:widowControl w:val="0"/>
        <w:jc w:val="center"/>
        <w:rPr>
          <w:b/>
          <w:bCs/>
        </w:rPr>
      </w:pPr>
      <w:r>
        <w:rPr>
          <w:b/>
          <w:bCs/>
        </w:rPr>
        <w:t xml:space="preserve">APLINKOS APSAUGA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widowControl w:val="0"/>
        <w:tabs>
          <w:tab w:val="left" w:pos="-180"/>
          <w:tab w:val="left" w:pos="1260"/>
        </w:tabs>
        <w:ind w:firstLine="567"/>
        <w:jc w:val="both"/>
      </w:pPr>
      <w:r>
        <w:t>330</w:t>
      </w:r>
      <w:r>
        <w:t xml:space="preserve">. Planuojant statyti 110 kV ir aukštesnės įtampos pastotes ar oro elektros perdavimo linijas turi būti atliktas poveikio aplinkai vertinimas Lietuvos Respublikos planuojamos ūkinės veiklos poveikio aplinkai vertinimo įstatymo (Žin., 1996, Nr. </w:t>
      </w:r>
      <w:hyperlink r:id="rId154" w:tgtFrame="_blank" w:history="1">
        <w:r>
          <w:rPr>
            <w:color w:val="0000FF" w:themeColor="hyperlink"/>
            <w:u w:val="single"/>
          </w:rPr>
          <w:t>82-1965</w:t>
        </w:r>
      </w:hyperlink>
      <w:r>
        <w:t>) ir įstatymo įgyvendinamųjų teisės aktų nustatyta apimtimi ir tvarka.</w:t>
      </w:r>
    </w:p>
    <w:p>
      <w:pPr>
        <w:widowControl w:val="0"/>
        <w:tabs>
          <w:tab w:val="left" w:pos="-180"/>
          <w:tab w:val="left" w:pos="1260"/>
        </w:tabs>
        <w:ind w:firstLine="567"/>
        <w:jc w:val="both"/>
      </w:pPr>
      <w:r>
        <w:t>331</w:t>
      </w:r>
      <w:r>
        <w:t>. Statant naujus elektros tinklų objektus ir rekonstruojant esamus taikyti tokias technologijas, kurios nekenkia ar mažiausiai kenkia aplinkai:</w:t>
      </w:r>
    </w:p>
    <w:p>
      <w:pPr>
        <w:widowControl w:val="0"/>
        <w:tabs>
          <w:tab w:val="left" w:pos="-180"/>
          <w:tab w:val="left" w:pos="1260"/>
        </w:tabs>
        <w:ind w:firstLine="567"/>
        <w:jc w:val="both"/>
      </w:pPr>
      <w:r>
        <w:t>331.1</w:t>
      </w:r>
      <w:r>
        <w:t>. teikti pirmenybę elektros įrenginiams, keliantiems mažesnį triukšmą;</w:t>
      </w:r>
    </w:p>
    <w:p>
      <w:pPr>
        <w:widowControl w:val="0"/>
        <w:tabs>
          <w:tab w:val="left" w:pos="-180"/>
          <w:tab w:val="left" w:pos="1260"/>
        </w:tabs>
        <w:ind w:firstLine="567"/>
        <w:jc w:val="both"/>
      </w:pPr>
      <w:r>
        <w:t>331.2</w:t>
      </w:r>
      <w:r>
        <w:t>. naudoti priemones, apsaugančias nuo gyvūnų patekimo ant įtampą turinčių įrenginių dalių: izoliuotas sistemas, izoliacinius gaubtus, aptvarus, atbaidančias priemones;</w:t>
      </w:r>
    </w:p>
    <w:p>
      <w:pPr>
        <w:widowControl w:val="0"/>
        <w:tabs>
          <w:tab w:val="left" w:pos="-180"/>
          <w:tab w:val="left" w:pos="1260"/>
        </w:tabs>
        <w:ind w:firstLine="567"/>
        <w:jc w:val="both"/>
      </w:pPr>
      <w:r>
        <w:t>331.3</w:t>
      </w:r>
      <w:r>
        <w:t>. teikti pirmenybę techniniams sprendimams, mažinantiems pastočių, transformatorinių ir SP užimamų teritorijų plotus;</w:t>
      </w:r>
    </w:p>
    <w:p>
      <w:pPr>
        <w:widowControl w:val="0"/>
        <w:tabs>
          <w:tab w:val="left" w:pos="-180"/>
          <w:tab w:val="left" w:pos="1260"/>
        </w:tabs>
        <w:ind w:firstLine="567"/>
        <w:jc w:val="both"/>
      </w:pPr>
      <w:r>
        <w:t>331.4</w:t>
      </w:r>
      <w:r>
        <w:t>. atsižvelgiant į atliktą poveikio aplinkai vertinimą ir tyrimus statant naujas oro linijas pagal poreikį, įrengti paukščių atbaidymo priemones;</w:t>
      </w:r>
    </w:p>
    <w:p>
      <w:pPr>
        <w:widowControl w:val="0"/>
        <w:tabs>
          <w:tab w:val="left" w:pos="-180"/>
          <w:tab w:val="left" w:pos="1260"/>
        </w:tabs>
        <w:ind w:firstLine="567"/>
        <w:jc w:val="both"/>
      </w:pPr>
      <w:r>
        <w:t>331.5</w:t>
      </w:r>
      <w:r>
        <w:t>. parkuose, draustiniuose, vertinguose miškų masyvuose teikti pirmenybę techniniams sprendimams, mažinantiems oro linijų proskynų plotį.</w:t>
      </w:r>
    </w:p>
    <w:p>
      <w:pPr>
        <w:widowControl w:val="0"/>
        <w:tabs>
          <w:tab w:val="left" w:pos="-180"/>
          <w:tab w:val="left" w:pos="1260"/>
        </w:tabs>
        <w:ind w:firstLine="567"/>
        <w:jc w:val="both"/>
      </w:pPr>
      <w:r>
        <w:t>332</w:t>
      </w:r>
      <w:r>
        <w:t>. Užtikrinti, kad veikiant elektros įrenginiams nebus teršiamas gruntas ir vandens telkiniai, triukšmo lygis, elektrinio ir magnetinio lauko intensyvumas neviršys teisės aktais nustatyto leistinojo lygio.</w:t>
      </w:r>
    </w:p>
    <w:p>
      <w:pPr>
        <w:widowControl w:val="0"/>
        <w:ind w:firstLine="567"/>
        <w:jc w:val="both"/>
      </w:pPr>
    </w:p>
    <w:p>
      <w:pPr>
        <w:widowControl w:val="0"/>
        <w:jc w:val="center"/>
        <w:rPr>
          <w:b/>
        </w:rPr>
      </w:pPr>
      <w:r>
        <w:rPr>
          <w:b/>
        </w:rPr>
        <w:t>XI</w:t>
      </w:r>
      <w:r>
        <w:rPr>
          <w:b/>
        </w:rPr>
        <w:t xml:space="preserve"> SKYRIUS</w:t>
      </w:r>
    </w:p>
    <w:p>
      <w:pPr>
        <w:widowControl w:val="0"/>
        <w:jc w:val="center"/>
        <w:rPr>
          <w:b/>
        </w:rPr>
      </w:pPr>
      <w:r>
        <w:rPr>
          <w:b/>
        </w:rPr>
        <w:t xml:space="preserve">PRIEŠGAISRINĖ SAUGA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43e2d02b4c11e78397ae072f58c508">
        <w:r w:rsidRPr="00532B9F">
          <w:rPr>
            <w:rFonts w:ascii="Times New Roman" w:eastAsia="MS Mincho" w:hAnsi="Times New Roman"/>
            <w:sz w:val="20"/>
            <w:i/>
            <w:iCs/>
            <w:color w:val="0000FF" w:themeColor="hyperlink"/>
            <w:u w:val="single"/>
          </w:rPr>
          <w:t>1-125</w:t>
        </w:r>
      </w:fldSimple>
      <w:r>
        <w:rPr>
          <w:rFonts w:ascii="Times New Roman" w:eastAsia="MS Mincho" w:hAnsi="Times New Roman"/>
          <w:sz w:val="20"/>
          <w:i/>
          <w:iCs/>
        </w:rPr>
        <w:t>,
2017-04-27,
paskelbta TAR 2017-04-28, i. k. 2017-07114        </w:t>
      </w:r>
    </w:p>
    <w:p/>
    <w:p>
      <w:pPr>
        <w:ind w:firstLine="567"/>
        <w:jc w:val="both"/>
      </w:pPr>
      <w:r>
        <w:rPr>
          <w:szCs w:val="24"/>
          <w:lang w:eastAsia="lt-LT"/>
        </w:rPr>
        <w:t>333</w:t>
      </w:r>
      <w:r>
        <w:rPr>
          <w:szCs w:val="24"/>
          <w:lang w:eastAsia="lt-LT"/>
        </w:rPr>
        <w:t xml:space="preserve">. </w:t>
      </w:r>
      <w:r>
        <w:rPr>
          <w:color w:val="000000"/>
        </w:rPr>
        <w:t xml:space="preserve">Pastočių </w:t>
      </w:r>
      <w:r>
        <w:t>statiniai ir įrenginiai turi būti įrengti vadovaujantis Gaisrinės saugos pagrindiniuose reikalavimuose, patvirtintuose Priešgaisrinės apsaugos ir gelbėjimo departamento prie Vidaus reikalų ministerijos direktoriaus 2010 m. gruodžio 7 d. įsakymu Nr. 1-338 „Dėl Gaisrinės saugos pagrindinių reikalavimų patvirtinimo“, nustatytais</w:t>
      </w:r>
      <w:r>
        <w:rPr>
          <w:b/>
        </w:rPr>
        <w:t xml:space="preserve"> </w:t>
      </w:r>
      <w:r>
        <w:t xml:space="preserve">reikalavimais.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widowControl w:val="0"/>
        <w:tabs>
          <w:tab w:val="left" w:pos="-180"/>
          <w:tab w:val="left" w:pos="180"/>
          <w:tab w:val="left" w:pos="1260"/>
        </w:tabs>
        <w:ind w:firstLine="567"/>
        <w:jc w:val="both"/>
      </w:pPr>
      <w:r>
        <w:t>334</w:t>
      </w:r>
      <w:r>
        <w:t>. Priešgaisrinio vandentiekio tinklai ir priešgaisrinės automatikos įrenginiai turi būti įrengti vadovaujantis atitinkamais teisės aktais.</w:t>
      </w:r>
    </w:p>
    <w:p>
      <w:pPr>
        <w:widowControl w:val="0"/>
        <w:tabs>
          <w:tab w:val="left" w:pos="-180"/>
          <w:tab w:val="left" w:pos="180"/>
          <w:tab w:val="left" w:pos="1260"/>
        </w:tabs>
        <w:ind w:firstLine="567"/>
        <w:jc w:val="both"/>
      </w:pPr>
    </w:p>
    <w:p>
      <w:pPr>
        <w:widowControl w:val="0"/>
        <w:tabs>
          <w:tab w:val="left" w:pos="-180"/>
          <w:tab w:val="left" w:pos="180"/>
          <w:tab w:val="left" w:pos="1260"/>
        </w:tabs>
        <w:ind w:firstLine="567"/>
        <w:jc w:val="both"/>
      </w:pPr>
      <w:r>
        <w:t>SUDERINTA</w:t>
      </w:r>
    </w:p>
    <w:p>
      <w:pPr>
        <w:widowControl w:val="0"/>
        <w:tabs>
          <w:tab w:val="left" w:pos="-180"/>
          <w:tab w:val="left" w:pos="180"/>
          <w:tab w:val="left" w:pos="1260"/>
        </w:tabs>
        <w:ind w:firstLine="567"/>
        <w:jc w:val="both"/>
      </w:pPr>
      <w:r>
        <w:t xml:space="preserve">Lietuvos Respublikos aplinkos ministerijos </w:t>
      </w:r>
    </w:p>
    <w:p>
      <w:pPr>
        <w:widowControl w:val="0"/>
        <w:tabs>
          <w:tab w:val="left" w:pos="-180"/>
          <w:tab w:val="left" w:pos="180"/>
          <w:tab w:val="left" w:pos="1260"/>
        </w:tabs>
        <w:ind w:firstLine="567"/>
        <w:jc w:val="both"/>
      </w:pPr>
      <w:r>
        <w:t>2012 m. sausio 17 d. raštu Nr. (13-2)-D8-530</w:t>
      </w:r>
    </w:p>
    <w:p>
      <w:pPr>
        <w:widowControl w:val="0"/>
        <w:tabs>
          <w:tab w:val="left" w:pos="-180"/>
          <w:tab w:val="left" w:pos="180"/>
          <w:tab w:val="left" w:pos="1260"/>
        </w:tabs>
        <w:ind w:firstLine="567"/>
        <w:jc w:val="both"/>
      </w:pPr>
    </w:p>
    <w:p>
      <w:pPr>
        <w:widowControl w:val="0"/>
        <w:tabs>
          <w:tab w:val="left" w:pos="-180"/>
          <w:tab w:val="left" w:pos="180"/>
          <w:tab w:val="left" w:pos="1260"/>
        </w:tabs>
        <w:jc w:val="center"/>
      </w:pPr>
      <w:r>
        <w:t>_________________</w:t>
      </w:r>
    </w:p>
    <w:p>
      <w:pPr>
        <w:widowControl w:val="0"/>
        <w:ind w:left="4535"/>
        <w:sectPr>
          <w:pgSz w:w="11907" w:h="16840" w:code="9"/>
          <w:pgMar w:top="1134" w:right="567" w:bottom="1134" w:left="1701" w:header="680" w:footer="680" w:gutter="0"/>
          <w:pgNumType w:start="1"/>
          <w:cols w:space="1296"/>
          <w:titlePg/>
          <w:docGrid w:linePitch="326"/>
        </w:sectPr>
      </w:pPr>
    </w:p>
    <w:p>
      <w:pPr>
        <w:widowControl w:val="0"/>
        <w:ind w:left="4535"/>
      </w:pPr>
      <w:r>
        <w:t xml:space="preserve">Elektros įrenginių įrengimo bendrųjų taisyklių </w:t>
      </w:r>
    </w:p>
    <w:p>
      <w:pPr>
        <w:widowControl w:val="0"/>
        <w:ind w:left="4535"/>
      </w:pPr>
      <w:r>
        <w:t>1</w:t>
      </w:r>
      <w:r>
        <w:t xml:space="preserve"> priedas</w:t>
      </w:r>
    </w:p>
    <w:p>
      <w:pPr>
        <w:widowControl w:val="0"/>
        <w:jc w:val="both"/>
      </w:pPr>
    </w:p>
    <w:p>
      <w:pPr>
        <w:widowControl w:val="0"/>
        <w:jc w:val="center"/>
        <w:rPr>
          <w:b/>
          <w:bCs/>
        </w:rPr>
      </w:pPr>
      <w:r>
        <w:rPr>
          <w:b/>
          <w:bCs/>
        </w:rPr>
        <w:t xml:space="preserve">LEISTINOSIOS ILGALAIKĖS SROVĖS IR PERKROVOS BEI PATAISOS KOEFICIENTAI, TAIKOMI </w:t>
      </w:r>
      <w:r>
        <w:rPr>
          <w:b/>
        </w:rPr>
        <w:t>PAGAMINTIEMS PAGAL GOST STANDARTUS</w:t>
      </w:r>
      <w:r>
        <w:rPr>
          <w:b/>
          <w:bCs/>
        </w:rPr>
        <w:t xml:space="preserve"> KABELIAMS IR IZOLIUOTIEMS LAIDAMS</w:t>
      </w:r>
    </w:p>
    <w:p>
      <w:pPr>
        <w:widowControl w:val="0"/>
        <w:ind w:firstLine="567"/>
        <w:jc w:val="both"/>
      </w:pPr>
    </w:p>
    <w:p>
      <w:pPr>
        <w:widowControl w:val="0"/>
        <w:ind w:firstLine="567"/>
        <w:jc w:val="both"/>
        <w:rPr>
          <w:b/>
          <w:bCs/>
        </w:rPr>
      </w:pPr>
      <w:r>
        <w:rPr>
          <w:b/>
          <w:bCs/>
        </w:rPr>
        <w:t>1 lentelė. Iki 10 kV įtampos kabelių įmirkyta popierine izoliacija leistinoji trumpalaikė perkrova</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2563"/>
        <w:gridCol w:w="1511"/>
        <w:gridCol w:w="1512"/>
        <w:gridCol w:w="1512"/>
      </w:tblGrid>
      <w:tr>
        <w:trPr>
          <w:cantSplit/>
          <w:trHeight w:val="20"/>
        </w:trPr>
        <w:tc>
          <w:tcPr>
            <w:tcW w:w="1418" w:type="dxa"/>
            <w:vMerge w:val="restart"/>
            <w:vAlign w:val="center"/>
          </w:tcPr>
          <w:p>
            <w:pPr>
              <w:widowControl w:val="0"/>
              <w:jc w:val="center"/>
              <w:rPr>
                <w:bCs/>
                <w:iCs/>
              </w:rPr>
            </w:pPr>
            <w:r>
              <w:t>Apkrovos koeficientas</w:t>
            </w:r>
          </w:p>
        </w:tc>
        <w:tc>
          <w:tcPr>
            <w:tcW w:w="1843" w:type="dxa"/>
            <w:vMerge w:val="restart"/>
            <w:vAlign w:val="center"/>
          </w:tcPr>
          <w:p>
            <w:pPr>
              <w:widowControl w:val="0"/>
              <w:jc w:val="center"/>
            </w:pPr>
            <w:r>
              <w:t>Kabelio tiesimo</w:t>
            </w:r>
          </w:p>
          <w:p>
            <w:pPr>
              <w:widowControl w:val="0"/>
              <w:jc w:val="center"/>
              <w:rPr>
                <w:bCs/>
                <w:iCs/>
              </w:rPr>
            </w:pPr>
            <w:r>
              <w:t>vieta</w:t>
            </w:r>
          </w:p>
        </w:tc>
        <w:tc>
          <w:tcPr>
            <w:tcW w:w="3260" w:type="dxa"/>
            <w:gridSpan w:val="3"/>
            <w:vAlign w:val="center"/>
          </w:tcPr>
          <w:p>
            <w:pPr>
              <w:widowControl w:val="0"/>
              <w:jc w:val="center"/>
              <w:rPr>
                <w:bCs/>
                <w:iCs/>
              </w:rPr>
            </w:pPr>
            <w:r>
              <w:t xml:space="preserve">Kabelių perkrova, esant perkrovos trukmei, </w:t>
              <w:sym w:font="Symbol" w:char="F025"/>
            </w:r>
          </w:p>
        </w:tc>
      </w:tr>
      <w:tr>
        <w:trPr>
          <w:cantSplit/>
          <w:trHeight w:val="20"/>
        </w:trPr>
        <w:tc>
          <w:tcPr>
            <w:tcW w:w="1806" w:type="dxa"/>
            <w:vMerge/>
          </w:tcPr>
          <w:p>
            <w:pPr>
              <w:widowControl w:val="0"/>
              <w:jc w:val="both"/>
              <w:rPr>
                <w:bCs/>
                <w:iCs/>
              </w:rPr>
            </w:pPr>
          </w:p>
        </w:tc>
        <w:tc>
          <w:tcPr>
            <w:tcW w:w="2348" w:type="dxa"/>
            <w:vMerge/>
          </w:tcPr>
          <w:p>
            <w:pPr>
              <w:widowControl w:val="0"/>
              <w:jc w:val="both"/>
              <w:rPr>
                <w:bCs/>
                <w:iCs/>
              </w:rPr>
            </w:pPr>
          </w:p>
        </w:tc>
        <w:tc>
          <w:tcPr>
            <w:tcW w:w="1086" w:type="dxa"/>
            <w:vAlign w:val="center"/>
          </w:tcPr>
          <w:p>
            <w:pPr>
              <w:widowControl w:val="0"/>
              <w:jc w:val="center"/>
            </w:pPr>
            <w:r>
              <w:t>0,5 val.</w:t>
            </w:r>
          </w:p>
        </w:tc>
        <w:tc>
          <w:tcPr>
            <w:tcW w:w="1087" w:type="dxa"/>
            <w:vAlign w:val="center"/>
          </w:tcPr>
          <w:p>
            <w:pPr>
              <w:widowControl w:val="0"/>
              <w:jc w:val="center"/>
            </w:pPr>
            <w:r>
              <w:t>1 val.</w:t>
            </w:r>
          </w:p>
        </w:tc>
        <w:tc>
          <w:tcPr>
            <w:tcW w:w="1087" w:type="dxa"/>
            <w:vAlign w:val="center"/>
          </w:tcPr>
          <w:p>
            <w:pPr>
              <w:widowControl w:val="0"/>
              <w:jc w:val="center"/>
            </w:pPr>
            <w:r>
              <w:t>3 val.</w:t>
            </w:r>
          </w:p>
        </w:tc>
      </w:tr>
      <w:tr>
        <w:trPr>
          <w:cantSplit/>
          <w:trHeight w:val="20"/>
        </w:trPr>
        <w:tc>
          <w:tcPr>
            <w:tcW w:w="1418" w:type="dxa"/>
            <w:vMerge w:val="restart"/>
            <w:vAlign w:val="center"/>
          </w:tcPr>
          <w:p>
            <w:pPr>
              <w:widowControl w:val="0"/>
              <w:jc w:val="center"/>
              <w:rPr>
                <w:bCs/>
                <w:iCs/>
              </w:rPr>
            </w:pPr>
            <w:r>
              <w:t>0,6</w:t>
            </w:r>
          </w:p>
        </w:tc>
        <w:tc>
          <w:tcPr>
            <w:tcW w:w="1843" w:type="dxa"/>
            <w:vAlign w:val="center"/>
          </w:tcPr>
          <w:p>
            <w:pPr>
              <w:widowControl w:val="0"/>
            </w:pPr>
            <w:r>
              <w:t>žemėje</w:t>
            </w:r>
          </w:p>
        </w:tc>
        <w:tc>
          <w:tcPr>
            <w:tcW w:w="1086" w:type="dxa"/>
            <w:vAlign w:val="center"/>
          </w:tcPr>
          <w:p>
            <w:pPr>
              <w:widowControl w:val="0"/>
              <w:jc w:val="center"/>
            </w:pPr>
            <w:r>
              <w:t>35</w:t>
            </w:r>
          </w:p>
        </w:tc>
        <w:tc>
          <w:tcPr>
            <w:tcW w:w="1087" w:type="dxa"/>
            <w:vAlign w:val="center"/>
          </w:tcPr>
          <w:p>
            <w:pPr>
              <w:widowControl w:val="0"/>
              <w:jc w:val="center"/>
            </w:pPr>
            <w:r>
              <w:t>30</w:t>
            </w:r>
          </w:p>
        </w:tc>
        <w:tc>
          <w:tcPr>
            <w:tcW w:w="1087" w:type="dxa"/>
            <w:vAlign w:val="center"/>
          </w:tcPr>
          <w:p>
            <w:pPr>
              <w:widowControl w:val="0"/>
              <w:jc w:val="center"/>
            </w:pPr>
            <w:r>
              <w:t>15</w:t>
            </w:r>
          </w:p>
        </w:tc>
      </w:tr>
      <w:tr>
        <w:trPr>
          <w:cantSplit/>
          <w:trHeight w:val="20"/>
        </w:trPr>
        <w:tc>
          <w:tcPr>
            <w:tcW w:w="1806" w:type="dxa"/>
            <w:vMerge/>
            <w:vAlign w:val="center"/>
          </w:tcPr>
          <w:p>
            <w:pPr>
              <w:widowControl w:val="0"/>
              <w:jc w:val="center"/>
              <w:rPr>
                <w:bCs/>
                <w:iCs/>
              </w:rPr>
            </w:pPr>
          </w:p>
        </w:tc>
        <w:tc>
          <w:tcPr>
            <w:tcW w:w="1843" w:type="dxa"/>
            <w:vAlign w:val="center"/>
          </w:tcPr>
          <w:p>
            <w:pPr>
              <w:widowControl w:val="0"/>
            </w:pPr>
            <w:r>
              <w:t>ore</w:t>
            </w:r>
          </w:p>
        </w:tc>
        <w:tc>
          <w:tcPr>
            <w:tcW w:w="1086" w:type="dxa"/>
            <w:vAlign w:val="center"/>
          </w:tcPr>
          <w:p>
            <w:pPr>
              <w:widowControl w:val="0"/>
              <w:jc w:val="center"/>
            </w:pPr>
            <w:r>
              <w:t>25</w:t>
            </w:r>
          </w:p>
        </w:tc>
        <w:tc>
          <w:tcPr>
            <w:tcW w:w="1087" w:type="dxa"/>
            <w:vAlign w:val="center"/>
          </w:tcPr>
          <w:p>
            <w:pPr>
              <w:widowControl w:val="0"/>
              <w:jc w:val="center"/>
            </w:pPr>
            <w:r>
              <w:t>15</w:t>
            </w:r>
          </w:p>
        </w:tc>
        <w:tc>
          <w:tcPr>
            <w:tcW w:w="1087" w:type="dxa"/>
            <w:vAlign w:val="center"/>
          </w:tcPr>
          <w:p>
            <w:pPr>
              <w:widowControl w:val="0"/>
              <w:jc w:val="center"/>
            </w:pPr>
            <w:r>
              <w:t>10</w:t>
            </w:r>
          </w:p>
        </w:tc>
      </w:tr>
      <w:tr>
        <w:trPr>
          <w:cantSplit/>
          <w:trHeight w:val="20"/>
        </w:trPr>
        <w:tc>
          <w:tcPr>
            <w:tcW w:w="1806" w:type="dxa"/>
            <w:vMerge/>
            <w:vAlign w:val="center"/>
          </w:tcPr>
          <w:p>
            <w:pPr>
              <w:widowControl w:val="0"/>
              <w:jc w:val="both"/>
              <w:rPr>
                <w:bCs/>
                <w:iCs/>
              </w:rPr>
            </w:pPr>
          </w:p>
        </w:tc>
        <w:tc>
          <w:tcPr>
            <w:tcW w:w="1843" w:type="dxa"/>
            <w:vAlign w:val="center"/>
          </w:tcPr>
          <w:p>
            <w:pPr>
              <w:widowControl w:val="0"/>
            </w:pPr>
            <w:r>
              <w:t>vamzdžiuose žemėje)</w:t>
            </w:r>
          </w:p>
        </w:tc>
        <w:tc>
          <w:tcPr>
            <w:tcW w:w="1086" w:type="dxa"/>
            <w:vAlign w:val="center"/>
          </w:tcPr>
          <w:p>
            <w:pPr>
              <w:widowControl w:val="0"/>
              <w:jc w:val="center"/>
            </w:pPr>
            <w:r>
              <w:t>20</w:t>
            </w:r>
          </w:p>
        </w:tc>
        <w:tc>
          <w:tcPr>
            <w:tcW w:w="1087" w:type="dxa"/>
            <w:vAlign w:val="center"/>
          </w:tcPr>
          <w:p>
            <w:pPr>
              <w:widowControl w:val="0"/>
              <w:jc w:val="center"/>
            </w:pPr>
            <w:r>
              <w:t>10</w:t>
            </w:r>
          </w:p>
        </w:tc>
        <w:tc>
          <w:tcPr>
            <w:tcW w:w="1087" w:type="dxa"/>
            <w:vAlign w:val="center"/>
          </w:tcPr>
          <w:p>
            <w:pPr>
              <w:widowControl w:val="0"/>
              <w:jc w:val="center"/>
            </w:pPr>
            <w:r>
              <w:t>0</w:t>
            </w:r>
          </w:p>
        </w:tc>
      </w:tr>
      <w:tr>
        <w:trPr>
          <w:cantSplit/>
          <w:trHeight w:val="20"/>
        </w:trPr>
        <w:tc>
          <w:tcPr>
            <w:tcW w:w="1418" w:type="dxa"/>
            <w:vMerge w:val="restart"/>
            <w:vAlign w:val="center"/>
          </w:tcPr>
          <w:p>
            <w:pPr>
              <w:widowControl w:val="0"/>
              <w:jc w:val="center"/>
              <w:rPr>
                <w:bCs/>
                <w:iCs/>
              </w:rPr>
            </w:pPr>
            <w:r>
              <w:t>0,8</w:t>
            </w:r>
          </w:p>
        </w:tc>
        <w:tc>
          <w:tcPr>
            <w:tcW w:w="1843" w:type="dxa"/>
            <w:vAlign w:val="center"/>
          </w:tcPr>
          <w:p>
            <w:pPr>
              <w:widowControl w:val="0"/>
            </w:pPr>
            <w:r>
              <w:t>žemėje</w:t>
            </w:r>
          </w:p>
        </w:tc>
        <w:tc>
          <w:tcPr>
            <w:tcW w:w="1086" w:type="dxa"/>
            <w:vAlign w:val="center"/>
          </w:tcPr>
          <w:p>
            <w:pPr>
              <w:widowControl w:val="0"/>
              <w:jc w:val="center"/>
            </w:pPr>
            <w:r>
              <w:t>20</w:t>
            </w:r>
          </w:p>
        </w:tc>
        <w:tc>
          <w:tcPr>
            <w:tcW w:w="1087" w:type="dxa"/>
            <w:vAlign w:val="center"/>
          </w:tcPr>
          <w:p>
            <w:pPr>
              <w:widowControl w:val="0"/>
              <w:jc w:val="center"/>
            </w:pPr>
            <w:r>
              <w:t>15</w:t>
            </w:r>
          </w:p>
        </w:tc>
        <w:tc>
          <w:tcPr>
            <w:tcW w:w="1087" w:type="dxa"/>
            <w:vAlign w:val="center"/>
          </w:tcPr>
          <w:p>
            <w:pPr>
              <w:widowControl w:val="0"/>
              <w:jc w:val="center"/>
            </w:pPr>
            <w:r>
              <w:t>10</w:t>
            </w:r>
          </w:p>
        </w:tc>
      </w:tr>
      <w:tr>
        <w:trPr>
          <w:cantSplit/>
          <w:trHeight w:val="20"/>
        </w:trPr>
        <w:tc>
          <w:tcPr>
            <w:tcW w:w="1806" w:type="dxa"/>
            <w:vMerge/>
            <w:vAlign w:val="center"/>
          </w:tcPr>
          <w:p>
            <w:pPr>
              <w:widowControl w:val="0"/>
              <w:jc w:val="center"/>
              <w:rPr>
                <w:bCs/>
                <w:iCs/>
              </w:rPr>
            </w:pPr>
          </w:p>
        </w:tc>
        <w:tc>
          <w:tcPr>
            <w:tcW w:w="1843" w:type="dxa"/>
            <w:vAlign w:val="center"/>
          </w:tcPr>
          <w:p>
            <w:pPr>
              <w:widowControl w:val="0"/>
            </w:pPr>
            <w:r>
              <w:t>ore</w:t>
            </w:r>
          </w:p>
        </w:tc>
        <w:tc>
          <w:tcPr>
            <w:tcW w:w="1086" w:type="dxa"/>
            <w:vAlign w:val="center"/>
          </w:tcPr>
          <w:p>
            <w:pPr>
              <w:widowControl w:val="0"/>
              <w:jc w:val="center"/>
            </w:pPr>
            <w:r>
              <w:t>15</w:t>
            </w:r>
          </w:p>
        </w:tc>
        <w:tc>
          <w:tcPr>
            <w:tcW w:w="1087" w:type="dxa"/>
            <w:vAlign w:val="center"/>
          </w:tcPr>
          <w:p>
            <w:pPr>
              <w:widowControl w:val="0"/>
              <w:jc w:val="center"/>
            </w:pPr>
            <w:r>
              <w:t>10</w:t>
            </w:r>
          </w:p>
        </w:tc>
        <w:tc>
          <w:tcPr>
            <w:tcW w:w="1087" w:type="dxa"/>
            <w:vAlign w:val="center"/>
          </w:tcPr>
          <w:p>
            <w:pPr>
              <w:widowControl w:val="0"/>
              <w:jc w:val="center"/>
            </w:pPr>
            <w:r>
              <w:t>5</w:t>
            </w:r>
          </w:p>
        </w:tc>
      </w:tr>
      <w:tr>
        <w:trPr>
          <w:cantSplit/>
          <w:trHeight w:val="20"/>
        </w:trPr>
        <w:tc>
          <w:tcPr>
            <w:tcW w:w="1806" w:type="dxa"/>
            <w:vMerge/>
            <w:vAlign w:val="center"/>
          </w:tcPr>
          <w:p>
            <w:pPr>
              <w:widowControl w:val="0"/>
              <w:jc w:val="both"/>
              <w:rPr>
                <w:bCs/>
                <w:iCs/>
              </w:rPr>
            </w:pPr>
          </w:p>
        </w:tc>
        <w:tc>
          <w:tcPr>
            <w:tcW w:w="1843" w:type="dxa"/>
            <w:vAlign w:val="center"/>
          </w:tcPr>
          <w:p>
            <w:pPr>
              <w:widowControl w:val="0"/>
            </w:pPr>
            <w:r>
              <w:t>vamzdžiuose žemėje)</w:t>
            </w:r>
          </w:p>
        </w:tc>
        <w:tc>
          <w:tcPr>
            <w:tcW w:w="1086" w:type="dxa"/>
            <w:vAlign w:val="center"/>
          </w:tcPr>
          <w:p>
            <w:pPr>
              <w:widowControl w:val="0"/>
              <w:jc w:val="center"/>
            </w:pPr>
            <w:r>
              <w:t>10</w:t>
            </w:r>
          </w:p>
        </w:tc>
        <w:tc>
          <w:tcPr>
            <w:tcW w:w="1087" w:type="dxa"/>
            <w:vAlign w:val="center"/>
          </w:tcPr>
          <w:p>
            <w:pPr>
              <w:widowControl w:val="0"/>
              <w:jc w:val="center"/>
            </w:pPr>
            <w:r>
              <w:t>5</w:t>
            </w:r>
          </w:p>
        </w:tc>
        <w:tc>
          <w:tcPr>
            <w:tcW w:w="1087" w:type="dxa"/>
            <w:vAlign w:val="center"/>
          </w:tcPr>
          <w:p>
            <w:pPr>
              <w:widowControl w:val="0"/>
              <w:jc w:val="center"/>
            </w:pPr>
            <w:r>
              <w:t>0</w:t>
            </w:r>
          </w:p>
        </w:tc>
      </w:tr>
    </w:tbl>
    <w:p>
      <w:pPr>
        <w:widowControl w:val="0"/>
        <w:jc w:val="both"/>
      </w:pPr>
    </w:p>
    <w:p>
      <w:pPr>
        <w:widowControl w:val="0"/>
        <w:ind w:firstLine="567"/>
        <w:jc w:val="both"/>
        <w:rPr>
          <w:b/>
          <w:bCs/>
        </w:rPr>
      </w:pPr>
      <w:r>
        <w:rPr>
          <w:b/>
          <w:bCs/>
        </w:rPr>
        <w:t>2 lentelė. Iki 10 kV įtampos kabelių įmirkyta popierine izoliacija leistinoji trumpalaikė perkrova veikiant poavariniu režimu</w:t>
      </w:r>
    </w:p>
    <w:p>
      <w:pPr>
        <w:widowControl w:val="0"/>
        <w:ind w:firstLine="284"/>
        <w:jc w:val="both"/>
        <w:rPr>
          <w:b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2563"/>
        <w:gridCol w:w="1511"/>
        <w:gridCol w:w="1512"/>
        <w:gridCol w:w="1512"/>
      </w:tblGrid>
      <w:tr>
        <w:trPr>
          <w:cantSplit/>
          <w:trHeight w:val="20"/>
        </w:trPr>
        <w:tc>
          <w:tcPr>
            <w:tcW w:w="1418" w:type="dxa"/>
            <w:vMerge w:val="restart"/>
            <w:vAlign w:val="center"/>
          </w:tcPr>
          <w:p>
            <w:pPr>
              <w:widowControl w:val="0"/>
              <w:jc w:val="center"/>
            </w:pPr>
            <w:r>
              <w:t>Apkrovos koeficientas</w:t>
            </w:r>
          </w:p>
        </w:tc>
        <w:tc>
          <w:tcPr>
            <w:tcW w:w="1843" w:type="dxa"/>
            <w:vMerge w:val="restart"/>
            <w:vAlign w:val="center"/>
          </w:tcPr>
          <w:p>
            <w:pPr>
              <w:widowControl w:val="0"/>
              <w:jc w:val="center"/>
            </w:pPr>
            <w:r>
              <w:t>Kabelio klojimo būdas</w:t>
            </w:r>
          </w:p>
        </w:tc>
        <w:tc>
          <w:tcPr>
            <w:tcW w:w="3260" w:type="dxa"/>
            <w:gridSpan w:val="3"/>
            <w:vAlign w:val="center"/>
          </w:tcPr>
          <w:p>
            <w:pPr>
              <w:widowControl w:val="0"/>
              <w:jc w:val="center"/>
            </w:pPr>
            <w:r>
              <w:t xml:space="preserve">Kabelių perkrova, esant perkrovos trukmei, </w:t>
              <w:sym w:font="Symbol" w:char="F025"/>
            </w:r>
          </w:p>
        </w:tc>
      </w:tr>
      <w:tr>
        <w:trPr>
          <w:cantSplit/>
          <w:trHeight w:val="20"/>
        </w:trPr>
        <w:tc>
          <w:tcPr>
            <w:tcW w:w="1418" w:type="dxa"/>
            <w:vMerge/>
            <w:vAlign w:val="center"/>
          </w:tcPr>
          <w:p>
            <w:pPr>
              <w:widowControl w:val="0"/>
              <w:jc w:val="center"/>
            </w:pPr>
          </w:p>
        </w:tc>
        <w:tc>
          <w:tcPr>
            <w:tcW w:w="1843" w:type="dxa"/>
            <w:vMerge/>
            <w:vAlign w:val="center"/>
          </w:tcPr>
          <w:p>
            <w:pPr>
              <w:widowControl w:val="0"/>
              <w:jc w:val="both"/>
            </w:pPr>
          </w:p>
        </w:tc>
        <w:tc>
          <w:tcPr>
            <w:tcW w:w="1086" w:type="dxa"/>
            <w:vAlign w:val="center"/>
          </w:tcPr>
          <w:p>
            <w:pPr>
              <w:widowControl w:val="0"/>
              <w:jc w:val="center"/>
            </w:pPr>
            <w:r>
              <w:t>1 val.</w:t>
            </w:r>
          </w:p>
        </w:tc>
        <w:tc>
          <w:tcPr>
            <w:tcW w:w="1087" w:type="dxa"/>
            <w:vAlign w:val="center"/>
          </w:tcPr>
          <w:p>
            <w:pPr>
              <w:widowControl w:val="0"/>
              <w:jc w:val="center"/>
            </w:pPr>
            <w:r>
              <w:t>3 val.</w:t>
            </w:r>
          </w:p>
        </w:tc>
        <w:tc>
          <w:tcPr>
            <w:tcW w:w="1087" w:type="dxa"/>
            <w:vAlign w:val="center"/>
          </w:tcPr>
          <w:p>
            <w:pPr>
              <w:widowControl w:val="0"/>
              <w:jc w:val="center"/>
            </w:pPr>
            <w:r>
              <w:t>6 val.</w:t>
            </w:r>
          </w:p>
        </w:tc>
      </w:tr>
      <w:tr>
        <w:trPr>
          <w:cantSplit/>
          <w:trHeight w:val="20"/>
        </w:trPr>
        <w:tc>
          <w:tcPr>
            <w:tcW w:w="1418" w:type="dxa"/>
            <w:vMerge w:val="restart"/>
            <w:vAlign w:val="center"/>
          </w:tcPr>
          <w:p>
            <w:pPr>
              <w:widowControl w:val="0"/>
              <w:jc w:val="center"/>
            </w:pPr>
            <w:r>
              <w:t>0,6</w:t>
            </w:r>
          </w:p>
        </w:tc>
        <w:tc>
          <w:tcPr>
            <w:tcW w:w="1843" w:type="dxa"/>
            <w:vAlign w:val="center"/>
          </w:tcPr>
          <w:p>
            <w:pPr>
              <w:widowControl w:val="0"/>
            </w:pPr>
            <w:r>
              <w:t>žemėje</w:t>
            </w:r>
          </w:p>
        </w:tc>
        <w:tc>
          <w:tcPr>
            <w:tcW w:w="1086" w:type="dxa"/>
            <w:vAlign w:val="center"/>
          </w:tcPr>
          <w:p>
            <w:pPr>
              <w:widowControl w:val="0"/>
              <w:jc w:val="center"/>
            </w:pPr>
            <w:r>
              <w:t>50</w:t>
            </w:r>
          </w:p>
        </w:tc>
        <w:tc>
          <w:tcPr>
            <w:tcW w:w="1087" w:type="dxa"/>
            <w:vAlign w:val="center"/>
          </w:tcPr>
          <w:p>
            <w:pPr>
              <w:widowControl w:val="0"/>
              <w:jc w:val="center"/>
            </w:pPr>
            <w:r>
              <w:t>35</w:t>
            </w:r>
          </w:p>
        </w:tc>
        <w:tc>
          <w:tcPr>
            <w:tcW w:w="1087" w:type="dxa"/>
            <w:vAlign w:val="center"/>
          </w:tcPr>
          <w:p>
            <w:pPr>
              <w:widowControl w:val="0"/>
              <w:jc w:val="center"/>
            </w:pPr>
            <w:r>
              <w:t>25</w:t>
            </w:r>
          </w:p>
        </w:tc>
      </w:tr>
      <w:tr>
        <w:trPr>
          <w:cantSplit/>
          <w:trHeight w:val="20"/>
        </w:trPr>
        <w:tc>
          <w:tcPr>
            <w:tcW w:w="1418" w:type="dxa"/>
            <w:vMerge/>
            <w:vAlign w:val="center"/>
          </w:tcPr>
          <w:p>
            <w:pPr>
              <w:widowControl w:val="0"/>
              <w:jc w:val="center"/>
            </w:pPr>
          </w:p>
        </w:tc>
        <w:tc>
          <w:tcPr>
            <w:tcW w:w="1843" w:type="dxa"/>
            <w:vAlign w:val="center"/>
          </w:tcPr>
          <w:p>
            <w:pPr>
              <w:widowControl w:val="0"/>
            </w:pPr>
            <w:r>
              <w:t>ore</w:t>
            </w:r>
          </w:p>
        </w:tc>
        <w:tc>
          <w:tcPr>
            <w:tcW w:w="1086" w:type="dxa"/>
            <w:vAlign w:val="center"/>
          </w:tcPr>
          <w:p>
            <w:pPr>
              <w:widowControl w:val="0"/>
              <w:jc w:val="center"/>
            </w:pPr>
            <w:r>
              <w:t>35</w:t>
            </w:r>
          </w:p>
        </w:tc>
        <w:tc>
          <w:tcPr>
            <w:tcW w:w="1087" w:type="dxa"/>
            <w:vAlign w:val="center"/>
          </w:tcPr>
          <w:p>
            <w:pPr>
              <w:widowControl w:val="0"/>
              <w:jc w:val="center"/>
            </w:pPr>
            <w:r>
              <w:t>25</w:t>
            </w:r>
          </w:p>
        </w:tc>
        <w:tc>
          <w:tcPr>
            <w:tcW w:w="1087" w:type="dxa"/>
            <w:vAlign w:val="center"/>
          </w:tcPr>
          <w:p>
            <w:pPr>
              <w:widowControl w:val="0"/>
              <w:jc w:val="center"/>
            </w:pPr>
            <w:r>
              <w:t>25</w:t>
            </w:r>
          </w:p>
        </w:tc>
      </w:tr>
      <w:tr>
        <w:trPr>
          <w:cantSplit/>
          <w:trHeight w:val="20"/>
        </w:trPr>
        <w:tc>
          <w:tcPr>
            <w:tcW w:w="1418" w:type="dxa"/>
            <w:vMerge/>
            <w:vAlign w:val="center"/>
          </w:tcPr>
          <w:p>
            <w:pPr>
              <w:widowControl w:val="0"/>
              <w:jc w:val="center"/>
            </w:pPr>
          </w:p>
        </w:tc>
        <w:tc>
          <w:tcPr>
            <w:tcW w:w="1843" w:type="dxa"/>
            <w:vAlign w:val="center"/>
          </w:tcPr>
          <w:p>
            <w:pPr>
              <w:widowControl w:val="0"/>
            </w:pPr>
            <w:r>
              <w:t>vamzdžiuose (žemėje)</w:t>
            </w:r>
          </w:p>
        </w:tc>
        <w:tc>
          <w:tcPr>
            <w:tcW w:w="1086" w:type="dxa"/>
            <w:vAlign w:val="center"/>
          </w:tcPr>
          <w:p>
            <w:pPr>
              <w:widowControl w:val="0"/>
              <w:jc w:val="center"/>
            </w:pPr>
            <w:r>
              <w:t>30</w:t>
            </w:r>
          </w:p>
        </w:tc>
        <w:tc>
          <w:tcPr>
            <w:tcW w:w="1087" w:type="dxa"/>
            <w:vAlign w:val="center"/>
          </w:tcPr>
          <w:p>
            <w:pPr>
              <w:widowControl w:val="0"/>
              <w:jc w:val="center"/>
            </w:pPr>
            <w:r>
              <w:t>20</w:t>
            </w:r>
          </w:p>
        </w:tc>
        <w:tc>
          <w:tcPr>
            <w:tcW w:w="1087" w:type="dxa"/>
            <w:vAlign w:val="center"/>
          </w:tcPr>
          <w:p>
            <w:pPr>
              <w:widowControl w:val="0"/>
              <w:jc w:val="center"/>
            </w:pPr>
            <w:r>
              <w:t>15</w:t>
            </w:r>
          </w:p>
        </w:tc>
      </w:tr>
      <w:tr>
        <w:trPr>
          <w:cantSplit/>
          <w:trHeight w:val="20"/>
        </w:trPr>
        <w:tc>
          <w:tcPr>
            <w:tcW w:w="1418" w:type="dxa"/>
            <w:vMerge w:val="restart"/>
            <w:vAlign w:val="center"/>
          </w:tcPr>
          <w:p>
            <w:pPr>
              <w:widowControl w:val="0"/>
              <w:jc w:val="center"/>
            </w:pPr>
            <w:r>
              <w:t>0,8</w:t>
            </w:r>
          </w:p>
        </w:tc>
        <w:tc>
          <w:tcPr>
            <w:tcW w:w="1843" w:type="dxa"/>
            <w:vAlign w:val="center"/>
          </w:tcPr>
          <w:p>
            <w:pPr>
              <w:widowControl w:val="0"/>
            </w:pPr>
            <w:r>
              <w:t>žemėje</w:t>
            </w:r>
          </w:p>
        </w:tc>
        <w:tc>
          <w:tcPr>
            <w:tcW w:w="1086" w:type="dxa"/>
            <w:vAlign w:val="center"/>
          </w:tcPr>
          <w:p>
            <w:pPr>
              <w:widowControl w:val="0"/>
              <w:jc w:val="center"/>
            </w:pPr>
            <w:r>
              <w:t>35</w:t>
            </w:r>
          </w:p>
        </w:tc>
        <w:tc>
          <w:tcPr>
            <w:tcW w:w="1087" w:type="dxa"/>
            <w:vAlign w:val="center"/>
          </w:tcPr>
          <w:p>
            <w:pPr>
              <w:widowControl w:val="0"/>
              <w:jc w:val="center"/>
            </w:pPr>
            <w:r>
              <w:t>25</w:t>
            </w:r>
          </w:p>
        </w:tc>
        <w:tc>
          <w:tcPr>
            <w:tcW w:w="1087" w:type="dxa"/>
            <w:vAlign w:val="center"/>
          </w:tcPr>
          <w:p>
            <w:pPr>
              <w:widowControl w:val="0"/>
              <w:jc w:val="center"/>
            </w:pPr>
            <w:r>
              <w:t>20</w:t>
            </w:r>
          </w:p>
        </w:tc>
      </w:tr>
      <w:tr>
        <w:trPr>
          <w:cantSplit/>
          <w:trHeight w:val="20"/>
        </w:trPr>
        <w:tc>
          <w:tcPr>
            <w:tcW w:w="1418" w:type="dxa"/>
            <w:vMerge/>
          </w:tcPr>
          <w:p>
            <w:pPr>
              <w:widowControl w:val="0"/>
              <w:jc w:val="both"/>
            </w:pPr>
          </w:p>
        </w:tc>
        <w:tc>
          <w:tcPr>
            <w:tcW w:w="1843" w:type="dxa"/>
            <w:vAlign w:val="center"/>
          </w:tcPr>
          <w:p>
            <w:pPr>
              <w:widowControl w:val="0"/>
            </w:pPr>
            <w:r>
              <w:t>ore</w:t>
            </w:r>
          </w:p>
        </w:tc>
        <w:tc>
          <w:tcPr>
            <w:tcW w:w="1086" w:type="dxa"/>
            <w:vAlign w:val="center"/>
          </w:tcPr>
          <w:p>
            <w:pPr>
              <w:widowControl w:val="0"/>
              <w:jc w:val="center"/>
            </w:pPr>
            <w:r>
              <w:t>30</w:t>
            </w:r>
          </w:p>
        </w:tc>
        <w:tc>
          <w:tcPr>
            <w:tcW w:w="1087" w:type="dxa"/>
            <w:vAlign w:val="center"/>
          </w:tcPr>
          <w:p>
            <w:pPr>
              <w:widowControl w:val="0"/>
              <w:jc w:val="center"/>
            </w:pPr>
            <w:r>
              <w:t>25</w:t>
            </w:r>
          </w:p>
        </w:tc>
        <w:tc>
          <w:tcPr>
            <w:tcW w:w="1087" w:type="dxa"/>
            <w:vAlign w:val="center"/>
          </w:tcPr>
          <w:p>
            <w:pPr>
              <w:widowControl w:val="0"/>
              <w:jc w:val="center"/>
            </w:pPr>
            <w:r>
              <w:t>25</w:t>
            </w:r>
          </w:p>
        </w:tc>
      </w:tr>
      <w:tr>
        <w:trPr>
          <w:cantSplit/>
          <w:trHeight w:val="20"/>
        </w:trPr>
        <w:tc>
          <w:tcPr>
            <w:tcW w:w="1418" w:type="dxa"/>
            <w:vMerge/>
          </w:tcPr>
          <w:p>
            <w:pPr>
              <w:widowControl w:val="0"/>
              <w:jc w:val="both"/>
            </w:pPr>
          </w:p>
        </w:tc>
        <w:tc>
          <w:tcPr>
            <w:tcW w:w="1843" w:type="dxa"/>
            <w:vAlign w:val="center"/>
          </w:tcPr>
          <w:p>
            <w:pPr>
              <w:widowControl w:val="0"/>
            </w:pPr>
            <w:r>
              <w:t>vamzdžiuose (žemėje)</w:t>
            </w:r>
          </w:p>
        </w:tc>
        <w:tc>
          <w:tcPr>
            <w:tcW w:w="1086" w:type="dxa"/>
            <w:vAlign w:val="center"/>
          </w:tcPr>
          <w:p>
            <w:pPr>
              <w:widowControl w:val="0"/>
              <w:jc w:val="center"/>
            </w:pPr>
            <w:r>
              <w:t>20</w:t>
            </w:r>
          </w:p>
        </w:tc>
        <w:tc>
          <w:tcPr>
            <w:tcW w:w="1087" w:type="dxa"/>
            <w:vAlign w:val="center"/>
          </w:tcPr>
          <w:p>
            <w:pPr>
              <w:widowControl w:val="0"/>
              <w:jc w:val="center"/>
            </w:pPr>
            <w:r>
              <w:t>15</w:t>
            </w:r>
          </w:p>
        </w:tc>
        <w:tc>
          <w:tcPr>
            <w:tcW w:w="1087" w:type="dxa"/>
            <w:vAlign w:val="center"/>
          </w:tcPr>
          <w:p>
            <w:pPr>
              <w:widowControl w:val="0"/>
              <w:jc w:val="center"/>
            </w:pPr>
            <w:r>
              <w:t>10</w:t>
            </w:r>
          </w:p>
        </w:tc>
      </w:tr>
    </w:tbl>
    <w:p>
      <w:pPr>
        <w:widowControl w:val="0"/>
        <w:ind w:firstLine="284"/>
        <w:jc w:val="both"/>
        <w:rPr>
          <w:b/>
          <w:bCs/>
        </w:rPr>
      </w:pPr>
    </w:p>
    <w:p>
      <w:pPr>
        <w:widowControl w:val="0"/>
        <w:ind w:firstLine="567"/>
        <w:jc w:val="both"/>
        <w:rPr>
          <w:b/>
          <w:bCs/>
        </w:rPr>
      </w:pPr>
      <w:r>
        <w:rPr>
          <w:b/>
          <w:bCs/>
        </w:rPr>
        <w:t>3 lentelė.</w:t>
      </w:r>
      <w:r>
        <w:rPr>
          <w:b/>
          <w:bCs/>
          <w:spacing w:val="40"/>
        </w:rPr>
        <w:t xml:space="preserve"> </w:t>
      </w:r>
      <w:r>
        <w:rPr>
          <w:b/>
          <w:bCs/>
        </w:rPr>
        <w:t xml:space="preserve">Neizoliuotų ir izoliuotų laidų, kabelių ir šynų, tiesiamų kitokioje nei +15 </w:t>
      </w:r>
      <w:r>
        <w:rPr>
          <w:b/>
          <w:bCs/>
          <w:vertAlign w:val="superscript"/>
        </w:rPr>
        <w:t>o</w:t>
      </w:r>
      <w:r>
        <w:rPr>
          <w:b/>
          <w:bCs/>
        </w:rPr>
        <w:t xml:space="preserve">C žemės ir +25 </w:t>
      </w:r>
      <w:r>
        <w:rPr>
          <w:b/>
          <w:bCs/>
          <w:vertAlign w:val="superscript"/>
        </w:rPr>
        <w:t>o</w:t>
      </w:r>
      <w:r>
        <w:rPr>
          <w:b/>
          <w:bCs/>
        </w:rPr>
        <w:t>C oro temperatūroje, leistinosios ilgalaikės srovės pataisos koeficientai, esant skirtingai leistinajai laidininkų įšilimo temperatūrai</w:t>
      </w:r>
    </w:p>
    <w:p>
      <w:pPr>
        <w:widowControl w:val="0"/>
        <w:jc w:val="both"/>
        <w:rPr>
          <w:i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86"/>
        <w:gridCol w:w="1180"/>
        <w:gridCol w:w="558"/>
        <w:gridCol w:w="558"/>
        <w:gridCol w:w="558"/>
        <w:gridCol w:w="558"/>
        <w:gridCol w:w="559"/>
        <w:gridCol w:w="559"/>
        <w:gridCol w:w="559"/>
        <w:gridCol w:w="559"/>
        <w:gridCol w:w="559"/>
        <w:gridCol w:w="559"/>
        <w:gridCol w:w="559"/>
        <w:gridCol w:w="559"/>
      </w:tblGrid>
      <w:tr>
        <w:trPr>
          <w:cantSplit/>
          <w:trHeight w:val="20"/>
          <w:tblHeader/>
        </w:trPr>
        <w:tc>
          <w:tcPr>
            <w:tcW w:w="1086" w:type="dxa"/>
            <w:vMerge w:val="restart"/>
            <w:vAlign w:val="center"/>
          </w:tcPr>
          <w:p>
            <w:pPr>
              <w:widowControl w:val="0"/>
              <w:jc w:val="center"/>
            </w:pPr>
            <w:r>
              <w:t xml:space="preserve">Aplinkos temperatūra, </w:t>
            </w:r>
            <w:r>
              <w:rPr>
                <w:bCs/>
                <w:vertAlign w:val="superscript"/>
              </w:rPr>
              <w:t>o</w:t>
            </w:r>
            <w:r>
              <w:rPr>
                <w:bCs/>
              </w:rPr>
              <w:t>C</w:t>
            </w:r>
          </w:p>
        </w:tc>
        <w:tc>
          <w:tcPr>
            <w:tcW w:w="1081" w:type="dxa"/>
            <w:vMerge w:val="restart"/>
            <w:vAlign w:val="center"/>
          </w:tcPr>
          <w:p>
            <w:pPr>
              <w:widowControl w:val="0"/>
              <w:jc w:val="center"/>
            </w:pPr>
            <w:r>
              <w:t>Leistinoji laidininkų įšilimo temperatūra, oc</w:t>
            </w:r>
          </w:p>
        </w:tc>
        <w:tc>
          <w:tcPr>
            <w:tcW w:w="6140" w:type="dxa"/>
            <w:gridSpan w:val="12"/>
            <w:vAlign w:val="center"/>
          </w:tcPr>
          <w:p>
            <w:pPr>
              <w:widowControl w:val="0"/>
              <w:jc w:val="center"/>
            </w:pPr>
            <w:r>
              <w:t>Pataisos koeficientas,</w:t>
            </w:r>
          </w:p>
          <w:p>
            <w:pPr>
              <w:widowControl w:val="0"/>
              <w:jc w:val="center"/>
            </w:pPr>
            <w:r>
              <w:t>esant aplinkos temperatūrai,</w:t>
            </w:r>
            <w:r>
              <w:rPr>
                <w:vertAlign w:val="superscript"/>
              </w:rPr>
              <w:t xml:space="preserve"> </w:t>
            </w:r>
            <w:r>
              <w:t>oc</w:t>
            </w:r>
          </w:p>
        </w:tc>
      </w:tr>
      <w:tr>
        <w:trPr>
          <w:cantSplit/>
          <w:trHeight w:val="20"/>
          <w:tblHeader/>
        </w:trPr>
        <w:tc>
          <w:tcPr>
            <w:tcW w:w="1086" w:type="dxa"/>
            <w:vMerge/>
            <w:vAlign w:val="center"/>
          </w:tcPr>
          <w:p>
            <w:pPr>
              <w:widowControl w:val="0"/>
              <w:jc w:val="center"/>
            </w:pPr>
          </w:p>
        </w:tc>
        <w:tc>
          <w:tcPr>
            <w:tcW w:w="1081" w:type="dxa"/>
            <w:vMerge/>
            <w:vAlign w:val="center"/>
          </w:tcPr>
          <w:p>
            <w:pPr>
              <w:widowControl w:val="0"/>
              <w:jc w:val="center"/>
            </w:pPr>
          </w:p>
        </w:tc>
        <w:tc>
          <w:tcPr>
            <w:tcW w:w="511" w:type="dxa"/>
            <w:vAlign w:val="center"/>
          </w:tcPr>
          <w:p>
            <w:pPr>
              <w:widowControl w:val="0"/>
              <w:jc w:val="center"/>
            </w:pPr>
            <w:r>
              <w:t>–5</w:t>
            </w:r>
          </w:p>
        </w:tc>
        <w:tc>
          <w:tcPr>
            <w:tcW w:w="511" w:type="dxa"/>
            <w:vAlign w:val="center"/>
          </w:tcPr>
          <w:p>
            <w:pPr>
              <w:widowControl w:val="0"/>
              <w:jc w:val="center"/>
            </w:pPr>
            <w:r>
              <w:t>0</w:t>
            </w:r>
          </w:p>
        </w:tc>
        <w:tc>
          <w:tcPr>
            <w:tcW w:w="511" w:type="dxa"/>
            <w:vAlign w:val="center"/>
          </w:tcPr>
          <w:p>
            <w:pPr>
              <w:widowControl w:val="0"/>
              <w:jc w:val="center"/>
            </w:pPr>
            <w:r>
              <w:t>5</w:t>
            </w:r>
          </w:p>
        </w:tc>
        <w:tc>
          <w:tcPr>
            <w:tcW w:w="511" w:type="dxa"/>
            <w:vAlign w:val="center"/>
          </w:tcPr>
          <w:p>
            <w:pPr>
              <w:widowControl w:val="0"/>
              <w:jc w:val="center"/>
            </w:pPr>
            <w:r>
              <w:t>10</w:t>
            </w:r>
          </w:p>
        </w:tc>
        <w:tc>
          <w:tcPr>
            <w:tcW w:w="512" w:type="dxa"/>
            <w:vAlign w:val="center"/>
          </w:tcPr>
          <w:p>
            <w:pPr>
              <w:widowControl w:val="0"/>
              <w:jc w:val="center"/>
            </w:pPr>
            <w:r>
              <w:t>15</w:t>
            </w:r>
          </w:p>
        </w:tc>
        <w:tc>
          <w:tcPr>
            <w:tcW w:w="512" w:type="dxa"/>
            <w:vAlign w:val="center"/>
          </w:tcPr>
          <w:p>
            <w:pPr>
              <w:widowControl w:val="0"/>
              <w:jc w:val="center"/>
            </w:pPr>
            <w:r>
              <w:t>20</w:t>
            </w:r>
          </w:p>
        </w:tc>
        <w:tc>
          <w:tcPr>
            <w:tcW w:w="512" w:type="dxa"/>
            <w:vAlign w:val="center"/>
          </w:tcPr>
          <w:p>
            <w:pPr>
              <w:widowControl w:val="0"/>
              <w:jc w:val="center"/>
            </w:pPr>
            <w:r>
              <w:t>25</w:t>
            </w:r>
          </w:p>
        </w:tc>
        <w:tc>
          <w:tcPr>
            <w:tcW w:w="512" w:type="dxa"/>
            <w:vAlign w:val="center"/>
          </w:tcPr>
          <w:p>
            <w:pPr>
              <w:widowControl w:val="0"/>
              <w:jc w:val="center"/>
            </w:pPr>
            <w:r>
              <w:t>30</w:t>
            </w:r>
          </w:p>
        </w:tc>
        <w:tc>
          <w:tcPr>
            <w:tcW w:w="512" w:type="dxa"/>
            <w:vAlign w:val="center"/>
          </w:tcPr>
          <w:p>
            <w:pPr>
              <w:widowControl w:val="0"/>
              <w:jc w:val="center"/>
            </w:pPr>
            <w:r>
              <w:t>35</w:t>
            </w:r>
          </w:p>
        </w:tc>
        <w:tc>
          <w:tcPr>
            <w:tcW w:w="512" w:type="dxa"/>
            <w:vAlign w:val="center"/>
          </w:tcPr>
          <w:p>
            <w:pPr>
              <w:widowControl w:val="0"/>
              <w:jc w:val="center"/>
            </w:pPr>
            <w:r>
              <w:t>40</w:t>
            </w:r>
          </w:p>
        </w:tc>
        <w:tc>
          <w:tcPr>
            <w:tcW w:w="512" w:type="dxa"/>
            <w:vAlign w:val="center"/>
          </w:tcPr>
          <w:p>
            <w:pPr>
              <w:widowControl w:val="0"/>
              <w:jc w:val="center"/>
            </w:pPr>
            <w:r>
              <w:t>45</w:t>
            </w:r>
          </w:p>
        </w:tc>
        <w:tc>
          <w:tcPr>
            <w:tcW w:w="512" w:type="dxa"/>
            <w:vAlign w:val="center"/>
          </w:tcPr>
          <w:p>
            <w:pPr>
              <w:widowControl w:val="0"/>
              <w:jc w:val="center"/>
            </w:pPr>
            <w:r>
              <w:t>50</w:t>
            </w:r>
          </w:p>
        </w:tc>
      </w:tr>
      <w:tr>
        <w:trPr>
          <w:cantSplit/>
          <w:trHeight w:val="20"/>
        </w:trPr>
        <w:tc>
          <w:tcPr>
            <w:tcW w:w="1086" w:type="dxa"/>
            <w:vAlign w:val="center"/>
          </w:tcPr>
          <w:p>
            <w:pPr>
              <w:widowControl w:val="0"/>
              <w:jc w:val="center"/>
            </w:pPr>
            <w:r>
              <w:t>15</w:t>
            </w:r>
          </w:p>
        </w:tc>
        <w:tc>
          <w:tcPr>
            <w:tcW w:w="1081" w:type="dxa"/>
            <w:vAlign w:val="center"/>
          </w:tcPr>
          <w:p>
            <w:pPr>
              <w:widowControl w:val="0"/>
              <w:jc w:val="center"/>
            </w:pPr>
            <w:r>
              <w:t>80</w:t>
            </w:r>
          </w:p>
        </w:tc>
        <w:tc>
          <w:tcPr>
            <w:tcW w:w="511" w:type="dxa"/>
            <w:vAlign w:val="center"/>
          </w:tcPr>
          <w:p>
            <w:pPr>
              <w:widowControl w:val="0"/>
              <w:jc w:val="center"/>
            </w:pPr>
            <w:r>
              <w:t>1,14</w:t>
            </w:r>
          </w:p>
        </w:tc>
        <w:tc>
          <w:tcPr>
            <w:tcW w:w="511" w:type="dxa"/>
            <w:vAlign w:val="center"/>
          </w:tcPr>
          <w:p>
            <w:pPr>
              <w:widowControl w:val="0"/>
              <w:jc w:val="center"/>
            </w:pPr>
            <w:r>
              <w:t>1,11</w:t>
            </w:r>
          </w:p>
        </w:tc>
        <w:tc>
          <w:tcPr>
            <w:tcW w:w="511" w:type="dxa"/>
            <w:vAlign w:val="center"/>
          </w:tcPr>
          <w:p>
            <w:pPr>
              <w:widowControl w:val="0"/>
              <w:jc w:val="center"/>
            </w:pPr>
            <w:r>
              <w:t>1,08</w:t>
            </w:r>
          </w:p>
        </w:tc>
        <w:tc>
          <w:tcPr>
            <w:tcW w:w="511" w:type="dxa"/>
            <w:vAlign w:val="center"/>
          </w:tcPr>
          <w:p>
            <w:pPr>
              <w:widowControl w:val="0"/>
              <w:jc w:val="center"/>
            </w:pPr>
            <w:r>
              <w:t>1,04</w:t>
            </w:r>
          </w:p>
        </w:tc>
        <w:tc>
          <w:tcPr>
            <w:tcW w:w="512" w:type="dxa"/>
            <w:vAlign w:val="center"/>
          </w:tcPr>
          <w:p>
            <w:pPr>
              <w:widowControl w:val="0"/>
              <w:jc w:val="center"/>
            </w:pPr>
            <w:r>
              <w:t>1,00</w:t>
            </w:r>
          </w:p>
        </w:tc>
        <w:tc>
          <w:tcPr>
            <w:tcW w:w="512" w:type="dxa"/>
            <w:vAlign w:val="center"/>
          </w:tcPr>
          <w:p>
            <w:pPr>
              <w:widowControl w:val="0"/>
              <w:jc w:val="center"/>
            </w:pPr>
            <w:r>
              <w:t>0,96</w:t>
            </w:r>
          </w:p>
        </w:tc>
        <w:tc>
          <w:tcPr>
            <w:tcW w:w="512" w:type="dxa"/>
            <w:vAlign w:val="center"/>
          </w:tcPr>
          <w:p>
            <w:pPr>
              <w:widowControl w:val="0"/>
              <w:jc w:val="center"/>
            </w:pPr>
            <w:r>
              <w:t>0,92</w:t>
            </w:r>
          </w:p>
        </w:tc>
        <w:tc>
          <w:tcPr>
            <w:tcW w:w="512" w:type="dxa"/>
            <w:vAlign w:val="center"/>
          </w:tcPr>
          <w:p>
            <w:pPr>
              <w:widowControl w:val="0"/>
              <w:jc w:val="center"/>
            </w:pPr>
            <w:r>
              <w:t>0,88</w:t>
            </w:r>
          </w:p>
        </w:tc>
        <w:tc>
          <w:tcPr>
            <w:tcW w:w="512" w:type="dxa"/>
            <w:vAlign w:val="center"/>
          </w:tcPr>
          <w:p>
            <w:pPr>
              <w:widowControl w:val="0"/>
              <w:jc w:val="center"/>
            </w:pPr>
            <w:r>
              <w:t>0,83</w:t>
            </w:r>
          </w:p>
        </w:tc>
        <w:tc>
          <w:tcPr>
            <w:tcW w:w="512" w:type="dxa"/>
            <w:vAlign w:val="center"/>
          </w:tcPr>
          <w:p>
            <w:pPr>
              <w:widowControl w:val="0"/>
              <w:jc w:val="center"/>
            </w:pPr>
            <w:r>
              <w:t>0,78</w:t>
            </w:r>
          </w:p>
        </w:tc>
        <w:tc>
          <w:tcPr>
            <w:tcW w:w="512" w:type="dxa"/>
            <w:vAlign w:val="center"/>
          </w:tcPr>
          <w:p>
            <w:pPr>
              <w:widowControl w:val="0"/>
              <w:jc w:val="center"/>
            </w:pPr>
            <w:r>
              <w:t>0,73</w:t>
            </w:r>
          </w:p>
        </w:tc>
        <w:tc>
          <w:tcPr>
            <w:tcW w:w="512" w:type="dxa"/>
            <w:vAlign w:val="center"/>
          </w:tcPr>
          <w:p>
            <w:pPr>
              <w:widowControl w:val="0"/>
              <w:jc w:val="center"/>
            </w:pPr>
            <w:r>
              <w:t>0,68</w:t>
            </w:r>
          </w:p>
        </w:tc>
      </w:tr>
      <w:tr>
        <w:trPr>
          <w:cantSplit/>
          <w:trHeight w:val="20"/>
        </w:trPr>
        <w:tc>
          <w:tcPr>
            <w:tcW w:w="1086" w:type="dxa"/>
            <w:vAlign w:val="center"/>
          </w:tcPr>
          <w:p>
            <w:pPr>
              <w:widowControl w:val="0"/>
              <w:jc w:val="center"/>
            </w:pPr>
            <w:r>
              <w:t>25</w:t>
            </w:r>
          </w:p>
        </w:tc>
        <w:tc>
          <w:tcPr>
            <w:tcW w:w="1081" w:type="dxa"/>
            <w:vAlign w:val="center"/>
          </w:tcPr>
          <w:p>
            <w:pPr>
              <w:widowControl w:val="0"/>
              <w:jc w:val="center"/>
            </w:pPr>
            <w:r>
              <w:t>80</w:t>
            </w:r>
          </w:p>
        </w:tc>
        <w:tc>
          <w:tcPr>
            <w:tcW w:w="511" w:type="dxa"/>
            <w:vAlign w:val="center"/>
          </w:tcPr>
          <w:p>
            <w:pPr>
              <w:widowControl w:val="0"/>
              <w:jc w:val="center"/>
            </w:pPr>
            <w:r>
              <w:t>1,24</w:t>
            </w:r>
          </w:p>
        </w:tc>
        <w:tc>
          <w:tcPr>
            <w:tcW w:w="511" w:type="dxa"/>
            <w:vAlign w:val="center"/>
          </w:tcPr>
          <w:p>
            <w:pPr>
              <w:widowControl w:val="0"/>
              <w:jc w:val="center"/>
            </w:pPr>
            <w:r>
              <w:t>1,20</w:t>
            </w:r>
          </w:p>
        </w:tc>
        <w:tc>
          <w:tcPr>
            <w:tcW w:w="511" w:type="dxa"/>
            <w:vAlign w:val="center"/>
          </w:tcPr>
          <w:p>
            <w:pPr>
              <w:widowControl w:val="0"/>
              <w:jc w:val="center"/>
            </w:pPr>
            <w:r>
              <w:t>1,17</w:t>
            </w:r>
          </w:p>
        </w:tc>
        <w:tc>
          <w:tcPr>
            <w:tcW w:w="511" w:type="dxa"/>
            <w:vAlign w:val="center"/>
          </w:tcPr>
          <w:p>
            <w:pPr>
              <w:widowControl w:val="0"/>
              <w:jc w:val="center"/>
            </w:pPr>
            <w:r>
              <w:t>1,13</w:t>
            </w:r>
          </w:p>
        </w:tc>
        <w:tc>
          <w:tcPr>
            <w:tcW w:w="512" w:type="dxa"/>
            <w:vAlign w:val="center"/>
          </w:tcPr>
          <w:p>
            <w:pPr>
              <w:widowControl w:val="0"/>
              <w:jc w:val="center"/>
            </w:pPr>
            <w:r>
              <w:t>1,09</w:t>
            </w:r>
          </w:p>
        </w:tc>
        <w:tc>
          <w:tcPr>
            <w:tcW w:w="512" w:type="dxa"/>
            <w:vAlign w:val="center"/>
          </w:tcPr>
          <w:p>
            <w:pPr>
              <w:widowControl w:val="0"/>
              <w:jc w:val="center"/>
            </w:pPr>
            <w:r>
              <w:t>1,04</w:t>
            </w:r>
          </w:p>
        </w:tc>
        <w:tc>
          <w:tcPr>
            <w:tcW w:w="512" w:type="dxa"/>
            <w:vAlign w:val="center"/>
          </w:tcPr>
          <w:p>
            <w:pPr>
              <w:widowControl w:val="0"/>
              <w:jc w:val="center"/>
            </w:pPr>
            <w:r>
              <w:t>1,00</w:t>
            </w:r>
          </w:p>
        </w:tc>
        <w:tc>
          <w:tcPr>
            <w:tcW w:w="512" w:type="dxa"/>
            <w:vAlign w:val="center"/>
          </w:tcPr>
          <w:p>
            <w:pPr>
              <w:widowControl w:val="0"/>
              <w:jc w:val="center"/>
            </w:pPr>
            <w:r>
              <w:t>0,95</w:t>
            </w:r>
          </w:p>
        </w:tc>
        <w:tc>
          <w:tcPr>
            <w:tcW w:w="512" w:type="dxa"/>
            <w:vAlign w:val="center"/>
          </w:tcPr>
          <w:p>
            <w:pPr>
              <w:widowControl w:val="0"/>
              <w:jc w:val="center"/>
            </w:pPr>
            <w:r>
              <w:t>0,90</w:t>
            </w:r>
          </w:p>
        </w:tc>
        <w:tc>
          <w:tcPr>
            <w:tcW w:w="512" w:type="dxa"/>
            <w:vAlign w:val="center"/>
          </w:tcPr>
          <w:p>
            <w:pPr>
              <w:widowControl w:val="0"/>
              <w:jc w:val="center"/>
            </w:pPr>
            <w:r>
              <w:t>0,85</w:t>
            </w:r>
          </w:p>
        </w:tc>
        <w:tc>
          <w:tcPr>
            <w:tcW w:w="512" w:type="dxa"/>
            <w:vAlign w:val="center"/>
          </w:tcPr>
          <w:p>
            <w:pPr>
              <w:widowControl w:val="0"/>
              <w:jc w:val="center"/>
            </w:pPr>
            <w:r>
              <w:t>0,80</w:t>
            </w:r>
          </w:p>
        </w:tc>
        <w:tc>
          <w:tcPr>
            <w:tcW w:w="512" w:type="dxa"/>
            <w:vAlign w:val="center"/>
          </w:tcPr>
          <w:p>
            <w:pPr>
              <w:widowControl w:val="0"/>
              <w:jc w:val="center"/>
            </w:pPr>
            <w:r>
              <w:t>0,74</w:t>
            </w:r>
          </w:p>
        </w:tc>
      </w:tr>
      <w:tr>
        <w:trPr>
          <w:cantSplit/>
          <w:trHeight w:val="20"/>
        </w:trPr>
        <w:tc>
          <w:tcPr>
            <w:tcW w:w="1086" w:type="dxa"/>
            <w:vAlign w:val="center"/>
          </w:tcPr>
          <w:p>
            <w:pPr>
              <w:widowControl w:val="0"/>
              <w:jc w:val="center"/>
            </w:pPr>
            <w:r>
              <w:t>15</w:t>
            </w:r>
          </w:p>
        </w:tc>
        <w:tc>
          <w:tcPr>
            <w:tcW w:w="1081" w:type="dxa"/>
            <w:vAlign w:val="center"/>
          </w:tcPr>
          <w:p>
            <w:pPr>
              <w:widowControl w:val="0"/>
              <w:jc w:val="center"/>
            </w:pPr>
            <w:r>
              <w:t>70</w:t>
            </w:r>
          </w:p>
        </w:tc>
        <w:tc>
          <w:tcPr>
            <w:tcW w:w="511" w:type="dxa"/>
            <w:vAlign w:val="center"/>
          </w:tcPr>
          <w:p>
            <w:pPr>
              <w:widowControl w:val="0"/>
              <w:jc w:val="center"/>
            </w:pPr>
            <w:r>
              <w:t>1,28</w:t>
            </w:r>
          </w:p>
        </w:tc>
        <w:tc>
          <w:tcPr>
            <w:tcW w:w="511" w:type="dxa"/>
            <w:vAlign w:val="center"/>
          </w:tcPr>
          <w:p>
            <w:pPr>
              <w:widowControl w:val="0"/>
              <w:jc w:val="center"/>
            </w:pPr>
            <w:r>
              <w:t>1,24</w:t>
            </w:r>
          </w:p>
        </w:tc>
        <w:tc>
          <w:tcPr>
            <w:tcW w:w="511" w:type="dxa"/>
            <w:vAlign w:val="center"/>
          </w:tcPr>
          <w:p>
            <w:pPr>
              <w:widowControl w:val="0"/>
              <w:jc w:val="center"/>
            </w:pPr>
            <w:r>
              <w:t>1,20</w:t>
            </w:r>
          </w:p>
        </w:tc>
        <w:tc>
          <w:tcPr>
            <w:tcW w:w="511" w:type="dxa"/>
            <w:vAlign w:val="center"/>
          </w:tcPr>
          <w:p>
            <w:pPr>
              <w:widowControl w:val="0"/>
              <w:jc w:val="center"/>
            </w:pPr>
            <w:r>
              <w:t>1,15</w:t>
            </w:r>
          </w:p>
        </w:tc>
        <w:tc>
          <w:tcPr>
            <w:tcW w:w="512" w:type="dxa"/>
            <w:vAlign w:val="center"/>
          </w:tcPr>
          <w:p>
            <w:pPr>
              <w:widowControl w:val="0"/>
              <w:jc w:val="center"/>
            </w:pPr>
            <w:r>
              <w:t>1,10</w:t>
            </w:r>
          </w:p>
        </w:tc>
        <w:tc>
          <w:tcPr>
            <w:tcW w:w="512" w:type="dxa"/>
            <w:vAlign w:val="center"/>
          </w:tcPr>
          <w:p>
            <w:pPr>
              <w:widowControl w:val="0"/>
              <w:jc w:val="center"/>
            </w:pPr>
            <w:r>
              <w:t>1,06</w:t>
            </w:r>
          </w:p>
        </w:tc>
        <w:tc>
          <w:tcPr>
            <w:tcW w:w="512" w:type="dxa"/>
            <w:vAlign w:val="center"/>
          </w:tcPr>
          <w:p>
            <w:pPr>
              <w:widowControl w:val="0"/>
              <w:jc w:val="center"/>
            </w:pPr>
            <w:r>
              <w:t>1,06</w:t>
            </w:r>
          </w:p>
        </w:tc>
        <w:tc>
          <w:tcPr>
            <w:tcW w:w="512" w:type="dxa"/>
            <w:vAlign w:val="center"/>
          </w:tcPr>
          <w:p>
            <w:pPr>
              <w:widowControl w:val="0"/>
              <w:jc w:val="center"/>
            </w:pPr>
            <w:r>
              <w:t>0,94</w:t>
            </w:r>
          </w:p>
        </w:tc>
        <w:tc>
          <w:tcPr>
            <w:tcW w:w="512" w:type="dxa"/>
            <w:vAlign w:val="center"/>
          </w:tcPr>
          <w:p>
            <w:pPr>
              <w:widowControl w:val="0"/>
              <w:jc w:val="center"/>
            </w:pPr>
            <w:r>
              <w:t>0,87</w:t>
            </w:r>
          </w:p>
        </w:tc>
        <w:tc>
          <w:tcPr>
            <w:tcW w:w="512" w:type="dxa"/>
            <w:vAlign w:val="center"/>
          </w:tcPr>
          <w:p>
            <w:pPr>
              <w:widowControl w:val="0"/>
              <w:jc w:val="center"/>
            </w:pPr>
            <w:r>
              <w:t>0,82</w:t>
            </w:r>
          </w:p>
        </w:tc>
        <w:tc>
          <w:tcPr>
            <w:tcW w:w="512" w:type="dxa"/>
            <w:vAlign w:val="center"/>
          </w:tcPr>
          <w:p>
            <w:pPr>
              <w:widowControl w:val="0"/>
              <w:jc w:val="center"/>
            </w:pPr>
            <w:r>
              <w:t>0,75</w:t>
            </w:r>
          </w:p>
        </w:tc>
        <w:tc>
          <w:tcPr>
            <w:tcW w:w="512" w:type="dxa"/>
            <w:vAlign w:val="center"/>
          </w:tcPr>
          <w:p>
            <w:pPr>
              <w:widowControl w:val="0"/>
              <w:jc w:val="center"/>
            </w:pPr>
            <w:r>
              <w:t>0,67</w:t>
            </w:r>
          </w:p>
        </w:tc>
      </w:tr>
      <w:tr>
        <w:trPr>
          <w:cantSplit/>
          <w:trHeight w:val="20"/>
        </w:trPr>
        <w:tc>
          <w:tcPr>
            <w:tcW w:w="1086" w:type="dxa"/>
            <w:vAlign w:val="center"/>
          </w:tcPr>
          <w:p>
            <w:pPr>
              <w:widowControl w:val="0"/>
              <w:jc w:val="center"/>
            </w:pPr>
            <w:r>
              <w:t>25</w:t>
            </w:r>
          </w:p>
        </w:tc>
        <w:tc>
          <w:tcPr>
            <w:tcW w:w="1081" w:type="dxa"/>
            <w:vAlign w:val="center"/>
          </w:tcPr>
          <w:p>
            <w:pPr>
              <w:widowControl w:val="0"/>
              <w:jc w:val="center"/>
            </w:pPr>
            <w:r>
              <w:t>70</w:t>
            </w:r>
          </w:p>
        </w:tc>
        <w:tc>
          <w:tcPr>
            <w:tcW w:w="511" w:type="dxa"/>
            <w:vAlign w:val="center"/>
          </w:tcPr>
          <w:p>
            <w:pPr>
              <w:widowControl w:val="0"/>
              <w:jc w:val="center"/>
            </w:pPr>
            <w:r>
              <w:t>1,29</w:t>
            </w:r>
          </w:p>
        </w:tc>
        <w:tc>
          <w:tcPr>
            <w:tcW w:w="511" w:type="dxa"/>
            <w:vAlign w:val="center"/>
          </w:tcPr>
          <w:p>
            <w:pPr>
              <w:widowControl w:val="0"/>
              <w:jc w:val="center"/>
            </w:pPr>
            <w:r>
              <w:t>1,24</w:t>
            </w:r>
          </w:p>
        </w:tc>
        <w:tc>
          <w:tcPr>
            <w:tcW w:w="511" w:type="dxa"/>
            <w:vAlign w:val="center"/>
          </w:tcPr>
          <w:p>
            <w:pPr>
              <w:widowControl w:val="0"/>
              <w:jc w:val="center"/>
            </w:pPr>
            <w:r>
              <w:t>1,20</w:t>
            </w:r>
          </w:p>
        </w:tc>
        <w:tc>
          <w:tcPr>
            <w:tcW w:w="511" w:type="dxa"/>
            <w:vAlign w:val="center"/>
          </w:tcPr>
          <w:p>
            <w:pPr>
              <w:widowControl w:val="0"/>
              <w:jc w:val="center"/>
            </w:pPr>
            <w:r>
              <w:t>1,15</w:t>
            </w:r>
          </w:p>
        </w:tc>
        <w:tc>
          <w:tcPr>
            <w:tcW w:w="512" w:type="dxa"/>
            <w:vAlign w:val="center"/>
          </w:tcPr>
          <w:p>
            <w:pPr>
              <w:widowControl w:val="0"/>
              <w:jc w:val="center"/>
            </w:pPr>
            <w:r>
              <w:t>1,11</w:t>
            </w:r>
          </w:p>
        </w:tc>
        <w:tc>
          <w:tcPr>
            <w:tcW w:w="512" w:type="dxa"/>
            <w:vAlign w:val="center"/>
          </w:tcPr>
          <w:p>
            <w:pPr>
              <w:widowControl w:val="0"/>
              <w:jc w:val="center"/>
            </w:pPr>
            <w:r>
              <w:t>1,05</w:t>
            </w:r>
          </w:p>
        </w:tc>
        <w:tc>
          <w:tcPr>
            <w:tcW w:w="512" w:type="dxa"/>
            <w:vAlign w:val="center"/>
          </w:tcPr>
          <w:p>
            <w:pPr>
              <w:widowControl w:val="0"/>
              <w:jc w:val="center"/>
            </w:pPr>
            <w:r>
              <w:t>1,00</w:t>
            </w:r>
          </w:p>
        </w:tc>
        <w:tc>
          <w:tcPr>
            <w:tcW w:w="512" w:type="dxa"/>
            <w:vAlign w:val="center"/>
          </w:tcPr>
          <w:p>
            <w:pPr>
              <w:widowControl w:val="0"/>
              <w:jc w:val="center"/>
            </w:pPr>
            <w:r>
              <w:t>0,94</w:t>
            </w:r>
          </w:p>
        </w:tc>
        <w:tc>
          <w:tcPr>
            <w:tcW w:w="512" w:type="dxa"/>
            <w:vAlign w:val="center"/>
          </w:tcPr>
          <w:p>
            <w:pPr>
              <w:widowControl w:val="0"/>
              <w:jc w:val="center"/>
            </w:pPr>
            <w:r>
              <w:t>0,88</w:t>
            </w:r>
          </w:p>
        </w:tc>
        <w:tc>
          <w:tcPr>
            <w:tcW w:w="512" w:type="dxa"/>
            <w:vAlign w:val="center"/>
          </w:tcPr>
          <w:p>
            <w:pPr>
              <w:widowControl w:val="0"/>
              <w:jc w:val="center"/>
            </w:pPr>
            <w:r>
              <w:t>0,81</w:t>
            </w:r>
          </w:p>
        </w:tc>
        <w:tc>
          <w:tcPr>
            <w:tcW w:w="512" w:type="dxa"/>
            <w:vAlign w:val="center"/>
          </w:tcPr>
          <w:p>
            <w:pPr>
              <w:widowControl w:val="0"/>
              <w:jc w:val="center"/>
            </w:pPr>
            <w:r>
              <w:t>0,74</w:t>
            </w:r>
          </w:p>
        </w:tc>
        <w:tc>
          <w:tcPr>
            <w:tcW w:w="512" w:type="dxa"/>
            <w:vAlign w:val="center"/>
          </w:tcPr>
          <w:p>
            <w:pPr>
              <w:widowControl w:val="0"/>
              <w:jc w:val="center"/>
            </w:pPr>
            <w:r>
              <w:t>0,67</w:t>
            </w:r>
          </w:p>
        </w:tc>
      </w:tr>
      <w:tr>
        <w:trPr>
          <w:cantSplit/>
          <w:trHeight w:val="20"/>
        </w:trPr>
        <w:tc>
          <w:tcPr>
            <w:tcW w:w="1086" w:type="dxa"/>
            <w:vAlign w:val="center"/>
          </w:tcPr>
          <w:p>
            <w:pPr>
              <w:widowControl w:val="0"/>
              <w:jc w:val="center"/>
            </w:pPr>
            <w:r>
              <w:t>15</w:t>
            </w:r>
          </w:p>
        </w:tc>
        <w:tc>
          <w:tcPr>
            <w:tcW w:w="1081" w:type="dxa"/>
            <w:vAlign w:val="center"/>
          </w:tcPr>
          <w:p>
            <w:pPr>
              <w:widowControl w:val="0"/>
              <w:jc w:val="center"/>
            </w:pPr>
            <w:r>
              <w:t>65</w:t>
            </w:r>
          </w:p>
        </w:tc>
        <w:tc>
          <w:tcPr>
            <w:tcW w:w="511" w:type="dxa"/>
            <w:vAlign w:val="center"/>
          </w:tcPr>
          <w:p>
            <w:pPr>
              <w:widowControl w:val="0"/>
              <w:jc w:val="center"/>
            </w:pPr>
            <w:r>
              <w:t>1,18</w:t>
            </w:r>
          </w:p>
        </w:tc>
        <w:tc>
          <w:tcPr>
            <w:tcW w:w="511" w:type="dxa"/>
            <w:vAlign w:val="center"/>
          </w:tcPr>
          <w:p>
            <w:pPr>
              <w:widowControl w:val="0"/>
              <w:jc w:val="center"/>
            </w:pPr>
            <w:r>
              <w:t>1,14</w:t>
            </w:r>
          </w:p>
        </w:tc>
        <w:tc>
          <w:tcPr>
            <w:tcW w:w="511" w:type="dxa"/>
            <w:vAlign w:val="center"/>
          </w:tcPr>
          <w:p>
            <w:pPr>
              <w:widowControl w:val="0"/>
              <w:jc w:val="center"/>
            </w:pPr>
            <w:r>
              <w:t>1,10</w:t>
            </w:r>
          </w:p>
        </w:tc>
        <w:tc>
          <w:tcPr>
            <w:tcW w:w="511" w:type="dxa"/>
            <w:vAlign w:val="center"/>
          </w:tcPr>
          <w:p>
            <w:pPr>
              <w:widowControl w:val="0"/>
              <w:jc w:val="center"/>
            </w:pPr>
            <w:r>
              <w:t>1,05</w:t>
            </w:r>
          </w:p>
        </w:tc>
        <w:tc>
          <w:tcPr>
            <w:tcW w:w="512" w:type="dxa"/>
            <w:vAlign w:val="center"/>
          </w:tcPr>
          <w:p>
            <w:pPr>
              <w:widowControl w:val="0"/>
              <w:jc w:val="center"/>
            </w:pPr>
            <w:r>
              <w:t>1,00</w:t>
            </w:r>
          </w:p>
        </w:tc>
        <w:tc>
          <w:tcPr>
            <w:tcW w:w="512" w:type="dxa"/>
            <w:vAlign w:val="center"/>
          </w:tcPr>
          <w:p>
            <w:pPr>
              <w:widowControl w:val="0"/>
              <w:jc w:val="center"/>
            </w:pPr>
            <w:r>
              <w:t>0,95</w:t>
            </w:r>
          </w:p>
        </w:tc>
        <w:tc>
          <w:tcPr>
            <w:tcW w:w="512" w:type="dxa"/>
            <w:vAlign w:val="center"/>
          </w:tcPr>
          <w:p>
            <w:pPr>
              <w:widowControl w:val="0"/>
              <w:jc w:val="center"/>
            </w:pPr>
            <w:r>
              <w:t>0,89</w:t>
            </w:r>
          </w:p>
        </w:tc>
        <w:tc>
          <w:tcPr>
            <w:tcW w:w="512" w:type="dxa"/>
            <w:vAlign w:val="center"/>
          </w:tcPr>
          <w:p>
            <w:pPr>
              <w:widowControl w:val="0"/>
              <w:jc w:val="center"/>
            </w:pPr>
            <w:r>
              <w:t>0,84</w:t>
            </w:r>
          </w:p>
        </w:tc>
        <w:tc>
          <w:tcPr>
            <w:tcW w:w="512" w:type="dxa"/>
            <w:vAlign w:val="center"/>
          </w:tcPr>
          <w:p>
            <w:pPr>
              <w:widowControl w:val="0"/>
              <w:jc w:val="center"/>
            </w:pPr>
            <w:r>
              <w:t>0,77</w:t>
            </w:r>
          </w:p>
        </w:tc>
        <w:tc>
          <w:tcPr>
            <w:tcW w:w="512" w:type="dxa"/>
            <w:vAlign w:val="center"/>
          </w:tcPr>
          <w:p>
            <w:pPr>
              <w:widowControl w:val="0"/>
              <w:jc w:val="center"/>
            </w:pPr>
            <w:r>
              <w:t>0,71</w:t>
            </w:r>
          </w:p>
        </w:tc>
        <w:tc>
          <w:tcPr>
            <w:tcW w:w="512" w:type="dxa"/>
            <w:vAlign w:val="center"/>
          </w:tcPr>
          <w:p>
            <w:pPr>
              <w:widowControl w:val="0"/>
              <w:jc w:val="center"/>
            </w:pPr>
            <w:r>
              <w:t>0,63</w:t>
            </w:r>
          </w:p>
        </w:tc>
        <w:tc>
          <w:tcPr>
            <w:tcW w:w="512" w:type="dxa"/>
            <w:vAlign w:val="center"/>
          </w:tcPr>
          <w:p>
            <w:pPr>
              <w:widowControl w:val="0"/>
              <w:jc w:val="center"/>
            </w:pPr>
            <w:r>
              <w:t>0,55</w:t>
            </w:r>
          </w:p>
        </w:tc>
      </w:tr>
      <w:tr>
        <w:trPr>
          <w:cantSplit/>
          <w:trHeight w:val="20"/>
        </w:trPr>
        <w:tc>
          <w:tcPr>
            <w:tcW w:w="1086" w:type="dxa"/>
            <w:vAlign w:val="center"/>
          </w:tcPr>
          <w:p>
            <w:pPr>
              <w:widowControl w:val="0"/>
              <w:jc w:val="center"/>
            </w:pPr>
            <w:r>
              <w:t>25</w:t>
            </w:r>
          </w:p>
        </w:tc>
        <w:tc>
          <w:tcPr>
            <w:tcW w:w="1081" w:type="dxa"/>
            <w:vAlign w:val="center"/>
          </w:tcPr>
          <w:p>
            <w:pPr>
              <w:widowControl w:val="0"/>
              <w:jc w:val="center"/>
            </w:pPr>
            <w:r>
              <w:t>65</w:t>
            </w:r>
          </w:p>
        </w:tc>
        <w:tc>
          <w:tcPr>
            <w:tcW w:w="511" w:type="dxa"/>
            <w:vAlign w:val="center"/>
          </w:tcPr>
          <w:p>
            <w:pPr>
              <w:widowControl w:val="0"/>
              <w:jc w:val="center"/>
            </w:pPr>
            <w:r>
              <w:t>1,32</w:t>
            </w:r>
          </w:p>
        </w:tc>
        <w:tc>
          <w:tcPr>
            <w:tcW w:w="511" w:type="dxa"/>
            <w:vAlign w:val="center"/>
          </w:tcPr>
          <w:p>
            <w:pPr>
              <w:widowControl w:val="0"/>
              <w:jc w:val="center"/>
            </w:pPr>
            <w:r>
              <w:t>1,27</w:t>
            </w:r>
          </w:p>
        </w:tc>
        <w:tc>
          <w:tcPr>
            <w:tcW w:w="511" w:type="dxa"/>
            <w:vAlign w:val="center"/>
          </w:tcPr>
          <w:p>
            <w:pPr>
              <w:widowControl w:val="0"/>
              <w:jc w:val="center"/>
            </w:pPr>
            <w:r>
              <w:t>1,22</w:t>
            </w:r>
          </w:p>
        </w:tc>
        <w:tc>
          <w:tcPr>
            <w:tcW w:w="511" w:type="dxa"/>
            <w:vAlign w:val="center"/>
          </w:tcPr>
          <w:p>
            <w:pPr>
              <w:widowControl w:val="0"/>
              <w:jc w:val="center"/>
            </w:pPr>
            <w:r>
              <w:t>1,17</w:t>
            </w:r>
          </w:p>
        </w:tc>
        <w:tc>
          <w:tcPr>
            <w:tcW w:w="512" w:type="dxa"/>
            <w:vAlign w:val="center"/>
          </w:tcPr>
          <w:p>
            <w:pPr>
              <w:widowControl w:val="0"/>
              <w:jc w:val="center"/>
            </w:pPr>
            <w:r>
              <w:t>1,12</w:t>
            </w:r>
          </w:p>
        </w:tc>
        <w:tc>
          <w:tcPr>
            <w:tcW w:w="512" w:type="dxa"/>
            <w:vAlign w:val="center"/>
          </w:tcPr>
          <w:p>
            <w:pPr>
              <w:widowControl w:val="0"/>
              <w:jc w:val="center"/>
            </w:pPr>
            <w:r>
              <w:t>1,06</w:t>
            </w:r>
          </w:p>
        </w:tc>
        <w:tc>
          <w:tcPr>
            <w:tcW w:w="512" w:type="dxa"/>
            <w:vAlign w:val="center"/>
          </w:tcPr>
          <w:p>
            <w:pPr>
              <w:widowControl w:val="0"/>
              <w:jc w:val="center"/>
            </w:pPr>
            <w:r>
              <w:t>1,00</w:t>
            </w:r>
          </w:p>
        </w:tc>
        <w:tc>
          <w:tcPr>
            <w:tcW w:w="512" w:type="dxa"/>
            <w:vAlign w:val="center"/>
          </w:tcPr>
          <w:p>
            <w:pPr>
              <w:widowControl w:val="0"/>
              <w:jc w:val="center"/>
            </w:pPr>
            <w:r>
              <w:t>0,94</w:t>
            </w:r>
          </w:p>
        </w:tc>
        <w:tc>
          <w:tcPr>
            <w:tcW w:w="512" w:type="dxa"/>
            <w:vAlign w:val="center"/>
          </w:tcPr>
          <w:p>
            <w:pPr>
              <w:widowControl w:val="0"/>
              <w:jc w:val="center"/>
            </w:pPr>
            <w:r>
              <w:t>0,87</w:t>
            </w:r>
          </w:p>
        </w:tc>
        <w:tc>
          <w:tcPr>
            <w:tcW w:w="512" w:type="dxa"/>
            <w:vAlign w:val="center"/>
          </w:tcPr>
          <w:p>
            <w:pPr>
              <w:widowControl w:val="0"/>
              <w:jc w:val="center"/>
            </w:pPr>
            <w:r>
              <w:t>0,79</w:t>
            </w:r>
          </w:p>
        </w:tc>
        <w:tc>
          <w:tcPr>
            <w:tcW w:w="512" w:type="dxa"/>
            <w:vAlign w:val="center"/>
          </w:tcPr>
          <w:p>
            <w:pPr>
              <w:widowControl w:val="0"/>
              <w:jc w:val="center"/>
            </w:pPr>
            <w:r>
              <w:t>0,71</w:t>
            </w:r>
          </w:p>
        </w:tc>
        <w:tc>
          <w:tcPr>
            <w:tcW w:w="512" w:type="dxa"/>
            <w:vAlign w:val="center"/>
          </w:tcPr>
          <w:p>
            <w:pPr>
              <w:widowControl w:val="0"/>
              <w:jc w:val="center"/>
            </w:pPr>
            <w:r>
              <w:t>0,61</w:t>
            </w:r>
          </w:p>
        </w:tc>
      </w:tr>
      <w:tr>
        <w:trPr>
          <w:cantSplit/>
          <w:trHeight w:val="20"/>
        </w:trPr>
        <w:tc>
          <w:tcPr>
            <w:tcW w:w="1086" w:type="dxa"/>
            <w:vAlign w:val="center"/>
          </w:tcPr>
          <w:p>
            <w:pPr>
              <w:widowControl w:val="0"/>
              <w:jc w:val="center"/>
            </w:pPr>
            <w:r>
              <w:t>15</w:t>
            </w:r>
          </w:p>
        </w:tc>
        <w:tc>
          <w:tcPr>
            <w:tcW w:w="1081" w:type="dxa"/>
            <w:vAlign w:val="center"/>
          </w:tcPr>
          <w:p>
            <w:pPr>
              <w:widowControl w:val="0"/>
              <w:jc w:val="center"/>
            </w:pPr>
            <w:r>
              <w:t>60</w:t>
            </w:r>
          </w:p>
        </w:tc>
        <w:tc>
          <w:tcPr>
            <w:tcW w:w="511" w:type="dxa"/>
            <w:vAlign w:val="center"/>
          </w:tcPr>
          <w:p>
            <w:pPr>
              <w:widowControl w:val="0"/>
              <w:jc w:val="center"/>
            </w:pPr>
            <w:r>
              <w:t>1,20</w:t>
            </w:r>
          </w:p>
        </w:tc>
        <w:tc>
          <w:tcPr>
            <w:tcW w:w="511" w:type="dxa"/>
            <w:vAlign w:val="center"/>
          </w:tcPr>
          <w:p>
            <w:pPr>
              <w:widowControl w:val="0"/>
              <w:jc w:val="center"/>
            </w:pPr>
            <w:r>
              <w:t>1,15</w:t>
            </w:r>
          </w:p>
        </w:tc>
        <w:tc>
          <w:tcPr>
            <w:tcW w:w="511" w:type="dxa"/>
            <w:vAlign w:val="center"/>
          </w:tcPr>
          <w:p>
            <w:pPr>
              <w:widowControl w:val="0"/>
              <w:jc w:val="center"/>
            </w:pPr>
            <w:r>
              <w:t>1,12</w:t>
            </w:r>
          </w:p>
        </w:tc>
        <w:tc>
          <w:tcPr>
            <w:tcW w:w="511" w:type="dxa"/>
            <w:vAlign w:val="center"/>
          </w:tcPr>
          <w:p>
            <w:pPr>
              <w:widowControl w:val="0"/>
              <w:jc w:val="center"/>
            </w:pPr>
            <w:r>
              <w:t>1,06</w:t>
            </w:r>
          </w:p>
        </w:tc>
        <w:tc>
          <w:tcPr>
            <w:tcW w:w="512" w:type="dxa"/>
            <w:vAlign w:val="center"/>
          </w:tcPr>
          <w:p>
            <w:pPr>
              <w:widowControl w:val="0"/>
              <w:jc w:val="center"/>
            </w:pPr>
            <w:r>
              <w:t>1,00</w:t>
            </w:r>
          </w:p>
        </w:tc>
        <w:tc>
          <w:tcPr>
            <w:tcW w:w="512" w:type="dxa"/>
            <w:vAlign w:val="center"/>
          </w:tcPr>
          <w:p>
            <w:pPr>
              <w:widowControl w:val="0"/>
              <w:jc w:val="center"/>
            </w:pPr>
            <w:r>
              <w:t>0,94</w:t>
            </w:r>
          </w:p>
        </w:tc>
        <w:tc>
          <w:tcPr>
            <w:tcW w:w="512" w:type="dxa"/>
            <w:vAlign w:val="center"/>
          </w:tcPr>
          <w:p>
            <w:pPr>
              <w:widowControl w:val="0"/>
              <w:jc w:val="center"/>
            </w:pPr>
            <w:r>
              <w:t>0,88</w:t>
            </w:r>
          </w:p>
        </w:tc>
        <w:tc>
          <w:tcPr>
            <w:tcW w:w="512" w:type="dxa"/>
            <w:vAlign w:val="center"/>
          </w:tcPr>
          <w:p>
            <w:pPr>
              <w:widowControl w:val="0"/>
              <w:jc w:val="center"/>
            </w:pPr>
            <w:r>
              <w:t>0,82</w:t>
            </w:r>
          </w:p>
        </w:tc>
        <w:tc>
          <w:tcPr>
            <w:tcW w:w="512" w:type="dxa"/>
            <w:vAlign w:val="center"/>
          </w:tcPr>
          <w:p>
            <w:pPr>
              <w:widowControl w:val="0"/>
              <w:jc w:val="center"/>
            </w:pPr>
            <w:r>
              <w:t>0,75</w:t>
            </w:r>
          </w:p>
        </w:tc>
        <w:tc>
          <w:tcPr>
            <w:tcW w:w="512" w:type="dxa"/>
            <w:vAlign w:val="center"/>
          </w:tcPr>
          <w:p>
            <w:pPr>
              <w:widowControl w:val="0"/>
              <w:jc w:val="center"/>
            </w:pPr>
            <w:r>
              <w:t>0,67</w:t>
            </w:r>
          </w:p>
        </w:tc>
        <w:tc>
          <w:tcPr>
            <w:tcW w:w="512" w:type="dxa"/>
            <w:vAlign w:val="center"/>
          </w:tcPr>
          <w:p>
            <w:pPr>
              <w:widowControl w:val="0"/>
              <w:jc w:val="center"/>
            </w:pPr>
            <w:r>
              <w:t>0,57</w:t>
            </w:r>
          </w:p>
        </w:tc>
        <w:tc>
          <w:tcPr>
            <w:tcW w:w="512" w:type="dxa"/>
            <w:vAlign w:val="center"/>
          </w:tcPr>
          <w:p>
            <w:pPr>
              <w:widowControl w:val="0"/>
              <w:jc w:val="center"/>
            </w:pPr>
            <w:r>
              <w:t>0,47</w:t>
            </w:r>
          </w:p>
        </w:tc>
      </w:tr>
      <w:tr>
        <w:trPr>
          <w:cantSplit/>
          <w:trHeight w:val="20"/>
        </w:trPr>
        <w:tc>
          <w:tcPr>
            <w:tcW w:w="1086" w:type="dxa"/>
            <w:vAlign w:val="center"/>
          </w:tcPr>
          <w:p>
            <w:pPr>
              <w:widowControl w:val="0"/>
              <w:jc w:val="center"/>
            </w:pPr>
            <w:r>
              <w:t>25</w:t>
            </w:r>
          </w:p>
        </w:tc>
        <w:tc>
          <w:tcPr>
            <w:tcW w:w="1081" w:type="dxa"/>
            <w:vAlign w:val="center"/>
          </w:tcPr>
          <w:p>
            <w:pPr>
              <w:widowControl w:val="0"/>
              <w:jc w:val="center"/>
            </w:pPr>
            <w:r>
              <w:t>60</w:t>
            </w:r>
          </w:p>
        </w:tc>
        <w:tc>
          <w:tcPr>
            <w:tcW w:w="511" w:type="dxa"/>
            <w:vAlign w:val="center"/>
          </w:tcPr>
          <w:p>
            <w:pPr>
              <w:widowControl w:val="0"/>
              <w:jc w:val="center"/>
            </w:pPr>
            <w:r>
              <w:t>1,36</w:t>
            </w:r>
          </w:p>
        </w:tc>
        <w:tc>
          <w:tcPr>
            <w:tcW w:w="511" w:type="dxa"/>
            <w:vAlign w:val="center"/>
          </w:tcPr>
          <w:p>
            <w:pPr>
              <w:widowControl w:val="0"/>
              <w:jc w:val="center"/>
            </w:pPr>
            <w:r>
              <w:t>1,31</w:t>
            </w:r>
          </w:p>
        </w:tc>
        <w:tc>
          <w:tcPr>
            <w:tcW w:w="511" w:type="dxa"/>
            <w:vAlign w:val="center"/>
          </w:tcPr>
          <w:p>
            <w:pPr>
              <w:widowControl w:val="0"/>
              <w:jc w:val="center"/>
            </w:pPr>
            <w:r>
              <w:t>1,25</w:t>
            </w:r>
          </w:p>
        </w:tc>
        <w:tc>
          <w:tcPr>
            <w:tcW w:w="511" w:type="dxa"/>
            <w:vAlign w:val="center"/>
          </w:tcPr>
          <w:p>
            <w:pPr>
              <w:widowControl w:val="0"/>
              <w:jc w:val="center"/>
            </w:pPr>
            <w:r>
              <w:t>1,20</w:t>
            </w:r>
          </w:p>
        </w:tc>
        <w:tc>
          <w:tcPr>
            <w:tcW w:w="512" w:type="dxa"/>
            <w:vAlign w:val="center"/>
          </w:tcPr>
          <w:p>
            <w:pPr>
              <w:widowControl w:val="0"/>
              <w:jc w:val="center"/>
            </w:pPr>
            <w:r>
              <w:t>1,13</w:t>
            </w:r>
          </w:p>
        </w:tc>
        <w:tc>
          <w:tcPr>
            <w:tcW w:w="512" w:type="dxa"/>
            <w:vAlign w:val="center"/>
          </w:tcPr>
          <w:p>
            <w:pPr>
              <w:widowControl w:val="0"/>
              <w:jc w:val="center"/>
            </w:pPr>
            <w:r>
              <w:t>1,07</w:t>
            </w:r>
          </w:p>
        </w:tc>
        <w:tc>
          <w:tcPr>
            <w:tcW w:w="512" w:type="dxa"/>
            <w:vAlign w:val="center"/>
          </w:tcPr>
          <w:p>
            <w:pPr>
              <w:widowControl w:val="0"/>
              <w:jc w:val="center"/>
            </w:pPr>
            <w:r>
              <w:t>1,00</w:t>
            </w:r>
          </w:p>
        </w:tc>
        <w:tc>
          <w:tcPr>
            <w:tcW w:w="512" w:type="dxa"/>
            <w:vAlign w:val="center"/>
          </w:tcPr>
          <w:p>
            <w:pPr>
              <w:widowControl w:val="0"/>
              <w:jc w:val="center"/>
            </w:pPr>
            <w:r>
              <w:t>0,93</w:t>
            </w:r>
          </w:p>
        </w:tc>
        <w:tc>
          <w:tcPr>
            <w:tcW w:w="512" w:type="dxa"/>
            <w:vAlign w:val="center"/>
          </w:tcPr>
          <w:p>
            <w:pPr>
              <w:widowControl w:val="0"/>
              <w:jc w:val="center"/>
            </w:pPr>
            <w:r>
              <w:t>0,85</w:t>
            </w:r>
          </w:p>
        </w:tc>
        <w:tc>
          <w:tcPr>
            <w:tcW w:w="512" w:type="dxa"/>
            <w:vAlign w:val="center"/>
          </w:tcPr>
          <w:p>
            <w:pPr>
              <w:widowControl w:val="0"/>
              <w:jc w:val="center"/>
            </w:pPr>
            <w:r>
              <w:t>0,76</w:t>
            </w:r>
          </w:p>
        </w:tc>
        <w:tc>
          <w:tcPr>
            <w:tcW w:w="512" w:type="dxa"/>
            <w:vAlign w:val="center"/>
          </w:tcPr>
          <w:p>
            <w:pPr>
              <w:widowControl w:val="0"/>
              <w:jc w:val="center"/>
            </w:pPr>
            <w:r>
              <w:t>0,66</w:t>
            </w:r>
          </w:p>
        </w:tc>
        <w:tc>
          <w:tcPr>
            <w:tcW w:w="512" w:type="dxa"/>
            <w:vAlign w:val="center"/>
          </w:tcPr>
          <w:p>
            <w:pPr>
              <w:widowControl w:val="0"/>
              <w:jc w:val="center"/>
            </w:pPr>
            <w:r>
              <w:t>0,54</w:t>
            </w:r>
          </w:p>
        </w:tc>
      </w:tr>
      <w:tr>
        <w:trPr>
          <w:cantSplit/>
          <w:trHeight w:val="20"/>
        </w:trPr>
        <w:tc>
          <w:tcPr>
            <w:tcW w:w="1086" w:type="dxa"/>
            <w:vAlign w:val="center"/>
          </w:tcPr>
          <w:p>
            <w:pPr>
              <w:widowControl w:val="0"/>
              <w:jc w:val="center"/>
            </w:pPr>
            <w:r>
              <w:t>15</w:t>
            </w:r>
          </w:p>
        </w:tc>
        <w:tc>
          <w:tcPr>
            <w:tcW w:w="1081" w:type="dxa"/>
            <w:vAlign w:val="center"/>
          </w:tcPr>
          <w:p>
            <w:pPr>
              <w:widowControl w:val="0"/>
              <w:jc w:val="center"/>
            </w:pPr>
            <w:r>
              <w:t>55</w:t>
            </w:r>
          </w:p>
        </w:tc>
        <w:tc>
          <w:tcPr>
            <w:tcW w:w="511" w:type="dxa"/>
            <w:vAlign w:val="center"/>
          </w:tcPr>
          <w:p>
            <w:pPr>
              <w:widowControl w:val="0"/>
              <w:jc w:val="center"/>
            </w:pPr>
            <w:r>
              <w:t>1,22</w:t>
            </w:r>
          </w:p>
        </w:tc>
        <w:tc>
          <w:tcPr>
            <w:tcW w:w="511" w:type="dxa"/>
            <w:vAlign w:val="center"/>
          </w:tcPr>
          <w:p>
            <w:pPr>
              <w:widowControl w:val="0"/>
              <w:jc w:val="center"/>
            </w:pPr>
            <w:r>
              <w:t>1,17</w:t>
            </w:r>
          </w:p>
        </w:tc>
        <w:tc>
          <w:tcPr>
            <w:tcW w:w="511" w:type="dxa"/>
            <w:vAlign w:val="center"/>
          </w:tcPr>
          <w:p>
            <w:pPr>
              <w:widowControl w:val="0"/>
              <w:jc w:val="center"/>
            </w:pPr>
            <w:r>
              <w:t>1,12</w:t>
            </w:r>
          </w:p>
        </w:tc>
        <w:tc>
          <w:tcPr>
            <w:tcW w:w="511" w:type="dxa"/>
            <w:vAlign w:val="center"/>
          </w:tcPr>
          <w:p>
            <w:pPr>
              <w:widowControl w:val="0"/>
              <w:jc w:val="center"/>
            </w:pPr>
            <w:r>
              <w:t>1,07</w:t>
            </w:r>
          </w:p>
        </w:tc>
        <w:tc>
          <w:tcPr>
            <w:tcW w:w="512" w:type="dxa"/>
            <w:vAlign w:val="center"/>
          </w:tcPr>
          <w:p>
            <w:pPr>
              <w:widowControl w:val="0"/>
              <w:jc w:val="center"/>
            </w:pPr>
            <w:r>
              <w:t>1,00</w:t>
            </w:r>
          </w:p>
        </w:tc>
        <w:tc>
          <w:tcPr>
            <w:tcW w:w="512" w:type="dxa"/>
            <w:vAlign w:val="center"/>
          </w:tcPr>
          <w:p>
            <w:pPr>
              <w:widowControl w:val="0"/>
              <w:jc w:val="center"/>
            </w:pPr>
            <w:r>
              <w:t>0,93</w:t>
            </w:r>
          </w:p>
        </w:tc>
        <w:tc>
          <w:tcPr>
            <w:tcW w:w="512" w:type="dxa"/>
            <w:vAlign w:val="center"/>
          </w:tcPr>
          <w:p>
            <w:pPr>
              <w:widowControl w:val="0"/>
              <w:jc w:val="center"/>
            </w:pPr>
            <w:r>
              <w:t>0,86</w:t>
            </w:r>
          </w:p>
        </w:tc>
        <w:tc>
          <w:tcPr>
            <w:tcW w:w="512" w:type="dxa"/>
            <w:vAlign w:val="center"/>
          </w:tcPr>
          <w:p>
            <w:pPr>
              <w:widowControl w:val="0"/>
              <w:jc w:val="center"/>
            </w:pPr>
            <w:r>
              <w:t>0,79</w:t>
            </w:r>
          </w:p>
        </w:tc>
        <w:tc>
          <w:tcPr>
            <w:tcW w:w="512" w:type="dxa"/>
            <w:vAlign w:val="center"/>
          </w:tcPr>
          <w:p>
            <w:pPr>
              <w:widowControl w:val="0"/>
              <w:jc w:val="center"/>
            </w:pPr>
            <w:r>
              <w:t>0,71</w:t>
            </w:r>
          </w:p>
        </w:tc>
        <w:tc>
          <w:tcPr>
            <w:tcW w:w="512" w:type="dxa"/>
            <w:vAlign w:val="center"/>
          </w:tcPr>
          <w:p>
            <w:pPr>
              <w:widowControl w:val="0"/>
              <w:jc w:val="center"/>
            </w:pPr>
            <w:r>
              <w:t>0,61</w:t>
            </w:r>
          </w:p>
        </w:tc>
        <w:tc>
          <w:tcPr>
            <w:tcW w:w="512" w:type="dxa"/>
            <w:vAlign w:val="center"/>
          </w:tcPr>
          <w:p>
            <w:pPr>
              <w:widowControl w:val="0"/>
              <w:jc w:val="center"/>
            </w:pPr>
            <w:r>
              <w:t>0,50</w:t>
            </w:r>
          </w:p>
        </w:tc>
        <w:tc>
          <w:tcPr>
            <w:tcW w:w="512" w:type="dxa"/>
            <w:vAlign w:val="center"/>
          </w:tcPr>
          <w:p>
            <w:pPr>
              <w:widowControl w:val="0"/>
              <w:jc w:val="center"/>
            </w:pPr>
            <w:r>
              <w:t>0,36</w:t>
            </w:r>
          </w:p>
        </w:tc>
      </w:tr>
      <w:tr>
        <w:trPr>
          <w:cantSplit/>
          <w:trHeight w:val="20"/>
        </w:trPr>
        <w:tc>
          <w:tcPr>
            <w:tcW w:w="1086" w:type="dxa"/>
            <w:vAlign w:val="center"/>
          </w:tcPr>
          <w:p>
            <w:pPr>
              <w:widowControl w:val="0"/>
              <w:jc w:val="center"/>
            </w:pPr>
            <w:r>
              <w:t>25</w:t>
            </w:r>
          </w:p>
        </w:tc>
        <w:tc>
          <w:tcPr>
            <w:tcW w:w="1081" w:type="dxa"/>
            <w:vAlign w:val="center"/>
          </w:tcPr>
          <w:p>
            <w:pPr>
              <w:widowControl w:val="0"/>
              <w:jc w:val="center"/>
            </w:pPr>
            <w:r>
              <w:t>55</w:t>
            </w:r>
          </w:p>
        </w:tc>
        <w:tc>
          <w:tcPr>
            <w:tcW w:w="511" w:type="dxa"/>
            <w:vAlign w:val="center"/>
          </w:tcPr>
          <w:p>
            <w:pPr>
              <w:widowControl w:val="0"/>
              <w:jc w:val="center"/>
            </w:pPr>
            <w:r>
              <w:t>1,41</w:t>
            </w:r>
          </w:p>
        </w:tc>
        <w:tc>
          <w:tcPr>
            <w:tcW w:w="511" w:type="dxa"/>
            <w:vAlign w:val="center"/>
          </w:tcPr>
          <w:p>
            <w:pPr>
              <w:widowControl w:val="0"/>
              <w:jc w:val="center"/>
            </w:pPr>
            <w:r>
              <w:t>1,35</w:t>
            </w:r>
          </w:p>
        </w:tc>
        <w:tc>
          <w:tcPr>
            <w:tcW w:w="511" w:type="dxa"/>
            <w:vAlign w:val="center"/>
          </w:tcPr>
          <w:p>
            <w:pPr>
              <w:widowControl w:val="0"/>
              <w:jc w:val="center"/>
            </w:pPr>
            <w:r>
              <w:t>1,29</w:t>
            </w:r>
          </w:p>
        </w:tc>
        <w:tc>
          <w:tcPr>
            <w:tcW w:w="511" w:type="dxa"/>
            <w:vAlign w:val="center"/>
          </w:tcPr>
          <w:p>
            <w:pPr>
              <w:widowControl w:val="0"/>
              <w:jc w:val="center"/>
            </w:pPr>
            <w:r>
              <w:t>1,23</w:t>
            </w:r>
          </w:p>
        </w:tc>
        <w:tc>
          <w:tcPr>
            <w:tcW w:w="512" w:type="dxa"/>
            <w:vAlign w:val="center"/>
          </w:tcPr>
          <w:p>
            <w:pPr>
              <w:widowControl w:val="0"/>
              <w:jc w:val="center"/>
            </w:pPr>
            <w:r>
              <w:t>1,15</w:t>
            </w:r>
          </w:p>
        </w:tc>
        <w:tc>
          <w:tcPr>
            <w:tcW w:w="512" w:type="dxa"/>
            <w:vAlign w:val="center"/>
          </w:tcPr>
          <w:p>
            <w:pPr>
              <w:widowControl w:val="0"/>
              <w:jc w:val="center"/>
            </w:pPr>
            <w:r>
              <w:t>1,08</w:t>
            </w:r>
          </w:p>
        </w:tc>
        <w:tc>
          <w:tcPr>
            <w:tcW w:w="512" w:type="dxa"/>
            <w:vAlign w:val="center"/>
          </w:tcPr>
          <w:p>
            <w:pPr>
              <w:widowControl w:val="0"/>
              <w:jc w:val="center"/>
            </w:pPr>
            <w:r>
              <w:t>1,00</w:t>
            </w:r>
          </w:p>
        </w:tc>
        <w:tc>
          <w:tcPr>
            <w:tcW w:w="512" w:type="dxa"/>
            <w:vAlign w:val="center"/>
          </w:tcPr>
          <w:p>
            <w:pPr>
              <w:widowControl w:val="0"/>
              <w:jc w:val="center"/>
            </w:pPr>
            <w:r>
              <w:t>0,91</w:t>
            </w:r>
          </w:p>
        </w:tc>
        <w:tc>
          <w:tcPr>
            <w:tcW w:w="512" w:type="dxa"/>
            <w:vAlign w:val="center"/>
          </w:tcPr>
          <w:p>
            <w:pPr>
              <w:widowControl w:val="0"/>
              <w:jc w:val="center"/>
            </w:pPr>
            <w:r>
              <w:t>0,82</w:t>
            </w:r>
          </w:p>
        </w:tc>
        <w:tc>
          <w:tcPr>
            <w:tcW w:w="512" w:type="dxa"/>
            <w:vAlign w:val="center"/>
          </w:tcPr>
          <w:p>
            <w:pPr>
              <w:widowControl w:val="0"/>
              <w:jc w:val="center"/>
            </w:pPr>
            <w:r>
              <w:t>0,71</w:t>
            </w:r>
          </w:p>
        </w:tc>
        <w:tc>
          <w:tcPr>
            <w:tcW w:w="512" w:type="dxa"/>
            <w:vAlign w:val="center"/>
          </w:tcPr>
          <w:p>
            <w:pPr>
              <w:widowControl w:val="0"/>
              <w:jc w:val="center"/>
            </w:pPr>
            <w:r>
              <w:t>0,58</w:t>
            </w:r>
          </w:p>
        </w:tc>
        <w:tc>
          <w:tcPr>
            <w:tcW w:w="512" w:type="dxa"/>
            <w:vAlign w:val="center"/>
          </w:tcPr>
          <w:p>
            <w:pPr>
              <w:widowControl w:val="0"/>
              <w:jc w:val="center"/>
            </w:pPr>
            <w:r>
              <w:t>0,41</w:t>
            </w:r>
          </w:p>
        </w:tc>
      </w:tr>
      <w:tr>
        <w:trPr>
          <w:cantSplit/>
          <w:trHeight w:val="20"/>
        </w:trPr>
        <w:tc>
          <w:tcPr>
            <w:tcW w:w="1086" w:type="dxa"/>
            <w:vAlign w:val="center"/>
          </w:tcPr>
          <w:p>
            <w:pPr>
              <w:widowControl w:val="0"/>
              <w:jc w:val="center"/>
            </w:pPr>
            <w:r>
              <w:t>15</w:t>
            </w:r>
          </w:p>
        </w:tc>
        <w:tc>
          <w:tcPr>
            <w:tcW w:w="1081" w:type="dxa"/>
            <w:vAlign w:val="center"/>
          </w:tcPr>
          <w:p>
            <w:pPr>
              <w:widowControl w:val="0"/>
              <w:jc w:val="center"/>
            </w:pPr>
            <w:r>
              <w:t>50</w:t>
            </w:r>
          </w:p>
        </w:tc>
        <w:tc>
          <w:tcPr>
            <w:tcW w:w="511" w:type="dxa"/>
            <w:vAlign w:val="center"/>
          </w:tcPr>
          <w:p>
            <w:pPr>
              <w:widowControl w:val="0"/>
              <w:jc w:val="center"/>
            </w:pPr>
            <w:r>
              <w:t>1,25</w:t>
            </w:r>
          </w:p>
        </w:tc>
        <w:tc>
          <w:tcPr>
            <w:tcW w:w="511" w:type="dxa"/>
            <w:vAlign w:val="center"/>
          </w:tcPr>
          <w:p>
            <w:pPr>
              <w:widowControl w:val="0"/>
              <w:jc w:val="center"/>
            </w:pPr>
            <w:r>
              <w:t>1,20</w:t>
            </w:r>
          </w:p>
        </w:tc>
        <w:tc>
          <w:tcPr>
            <w:tcW w:w="511" w:type="dxa"/>
            <w:vAlign w:val="center"/>
          </w:tcPr>
          <w:p>
            <w:pPr>
              <w:widowControl w:val="0"/>
              <w:jc w:val="center"/>
            </w:pPr>
            <w:r>
              <w:t>1,14</w:t>
            </w:r>
          </w:p>
        </w:tc>
        <w:tc>
          <w:tcPr>
            <w:tcW w:w="511" w:type="dxa"/>
            <w:vAlign w:val="center"/>
          </w:tcPr>
          <w:p>
            <w:pPr>
              <w:widowControl w:val="0"/>
              <w:jc w:val="center"/>
            </w:pPr>
            <w:r>
              <w:t>1,07</w:t>
            </w:r>
          </w:p>
        </w:tc>
        <w:tc>
          <w:tcPr>
            <w:tcW w:w="512" w:type="dxa"/>
            <w:vAlign w:val="center"/>
          </w:tcPr>
          <w:p>
            <w:pPr>
              <w:widowControl w:val="0"/>
              <w:jc w:val="center"/>
            </w:pPr>
            <w:r>
              <w:t>1,00</w:t>
            </w:r>
          </w:p>
        </w:tc>
        <w:tc>
          <w:tcPr>
            <w:tcW w:w="512" w:type="dxa"/>
            <w:vAlign w:val="center"/>
          </w:tcPr>
          <w:p>
            <w:pPr>
              <w:widowControl w:val="0"/>
              <w:jc w:val="center"/>
            </w:pPr>
            <w:r>
              <w:t>0,93</w:t>
            </w:r>
          </w:p>
        </w:tc>
        <w:tc>
          <w:tcPr>
            <w:tcW w:w="512" w:type="dxa"/>
            <w:vAlign w:val="center"/>
          </w:tcPr>
          <w:p>
            <w:pPr>
              <w:widowControl w:val="0"/>
              <w:jc w:val="center"/>
            </w:pPr>
            <w:r>
              <w:t>0,84</w:t>
            </w:r>
          </w:p>
        </w:tc>
        <w:tc>
          <w:tcPr>
            <w:tcW w:w="512" w:type="dxa"/>
            <w:vAlign w:val="center"/>
          </w:tcPr>
          <w:p>
            <w:pPr>
              <w:widowControl w:val="0"/>
              <w:jc w:val="center"/>
            </w:pPr>
            <w:r>
              <w:t>0,76</w:t>
            </w:r>
          </w:p>
        </w:tc>
        <w:tc>
          <w:tcPr>
            <w:tcW w:w="512" w:type="dxa"/>
            <w:vAlign w:val="center"/>
          </w:tcPr>
          <w:p>
            <w:pPr>
              <w:widowControl w:val="0"/>
              <w:jc w:val="center"/>
            </w:pPr>
            <w:r>
              <w:t>0,66</w:t>
            </w:r>
          </w:p>
        </w:tc>
        <w:tc>
          <w:tcPr>
            <w:tcW w:w="512" w:type="dxa"/>
            <w:vAlign w:val="center"/>
          </w:tcPr>
          <w:p>
            <w:pPr>
              <w:widowControl w:val="0"/>
              <w:jc w:val="center"/>
            </w:pPr>
            <w:r>
              <w:t>0,54</w:t>
            </w:r>
          </w:p>
        </w:tc>
        <w:tc>
          <w:tcPr>
            <w:tcW w:w="512" w:type="dxa"/>
            <w:vAlign w:val="center"/>
          </w:tcPr>
          <w:p>
            <w:pPr>
              <w:widowControl w:val="0"/>
              <w:jc w:val="center"/>
            </w:pPr>
            <w:r>
              <w:t>0,37</w:t>
            </w:r>
          </w:p>
        </w:tc>
        <w:tc>
          <w:tcPr>
            <w:tcW w:w="512" w:type="dxa"/>
            <w:vAlign w:val="center"/>
          </w:tcPr>
          <w:p>
            <w:pPr>
              <w:widowControl w:val="0"/>
              <w:jc w:val="center"/>
            </w:pPr>
            <w:r>
              <w:t>–</w:t>
            </w:r>
          </w:p>
        </w:tc>
      </w:tr>
      <w:tr>
        <w:trPr>
          <w:cantSplit/>
          <w:trHeight w:val="20"/>
        </w:trPr>
        <w:tc>
          <w:tcPr>
            <w:tcW w:w="1086" w:type="dxa"/>
            <w:vAlign w:val="center"/>
          </w:tcPr>
          <w:p>
            <w:pPr>
              <w:widowControl w:val="0"/>
              <w:jc w:val="center"/>
            </w:pPr>
            <w:r>
              <w:t>25</w:t>
            </w:r>
          </w:p>
        </w:tc>
        <w:tc>
          <w:tcPr>
            <w:tcW w:w="1081" w:type="dxa"/>
            <w:vAlign w:val="center"/>
          </w:tcPr>
          <w:p>
            <w:pPr>
              <w:widowControl w:val="0"/>
              <w:jc w:val="center"/>
            </w:pPr>
            <w:r>
              <w:t>50</w:t>
            </w:r>
          </w:p>
        </w:tc>
        <w:tc>
          <w:tcPr>
            <w:tcW w:w="511" w:type="dxa"/>
            <w:vAlign w:val="center"/>
          </w:tcPr>
          <w:p>
            <w:pPr>
              <w:widowControl w:val="0"/>
              <w:jc w:val="center"/>
            </w:pPr>
            <w:r>
              <w:t>1,48</w:t>
            </w:r>
          </w:p>
        </w:tc>
        <w:tc>
          <w:tcPr>
            <w:tcW w:w="511" w:type="dxa"/>
            <w:vAlign w:val="center"/>
          </w:tcPr>
          <w:p>
            <w:pPr>
              <w:widowControl w:val="0"/>
              <w:jc w:val="center"/>
            </w:pPr>
            <w:r>
              <w:t>1,41</w:t>
            </w:r>
          </w:p>
        </w:tc>
        <w:tc>
          <w:tcPr>
            <w:tcW w:w="511" w:type="dxa"/>
            <w:vAlign w:val="center"/>
          </w:tcPr>
          <w:p>
            <w:pPr>
              <w:widowControl w:val="0"/>
              <w:jc w:val="center"/>
            </w:pPr>
            <w:r>
              <w:t>1,34</w:t>
            </w:r>
          </w:p>
        </w:tc>
        <w:tc>
          <w:tcPr>
            <w:tcW w:w="511" w:type="dxa"/>
            <w:vAlign w:val="center"/>
          </w:tcPr>
          <w:p>
            <w:pPr>
              <w:widowControl w:val="0"/>
              <w:jc w:val="center"/>
            </w:pPr>
            <w:r>
              <w:t>1,26</w:t>
            </w:r>
          </w:p>
        </w:tc>
        <w:tc>
          <w:tcPr>
            <w:tcW w:w="512" w:type="dxa"/>
            <w:vAlign w:val="center"/>
          </w:tcPr>
          <w:p>
            <w:pPr>
              <w:widowControl w:val="0"/>
              <w:jc w:val="center"/>
            </w:pPr>
            <w:r>
              <w:t>1,18</w:t>
            </w:r>
          </w:p>
        </w:tc>
        <w:tc>
          <w:tcPr>
            <w:tcW w:w="512" w:type="dxa"/>
            <w:vAlign w:val="center"/>
          </w:tcPr>
          <w:p>
            <w:pPr>
              <w:widowControl w:val="0"/>
              <w:jc w:val="center"/>
            </w:pPr>
            <w:r>
              <w:t>1,09</w:t>
            </w:r>
          </w:p>
        </w:tc>
        <w:tc>
          <w:tcPr>
            <w:tcW w:w="512" w:type="dxa"/>
            <w:vAlign w:val="center"/>
          </w:tcPr>
          <w:p>
            <w:pPr>
              <w:widowControl w:val="0"/>
              <w:jc w:val="center"/>
            </w:pPr>
            <w:r>
              <w:t>1,00</w:t>
            </w:r>
          </w:p>
        </w:tc>
        <w:tc>
          <w:tcPr>
            <w:tcW w:w="512" w:type="dxa"/>
            <w:vAlign w:val="center"/>
          </w:tcPr>
          <w:p>
            <w:pPr>
              <w:widowControl w:val="0"/>
              <w:jc w:val="center"/>
            </w:pPr>
            <w:r>
              <w:t>0,89</w:t>
            </w:r>
          </w:p>
        </w:tc>
        <w:tc>
          <w:tcPr>
            <w:tcW w:w="512" w:type="dxa"/>
            <w:vAlign w:val="center"/>
          </w:tcPr>
          <w:p>
            <w:pPr>
              <w:widowControl w:val="0"/>
              <w:jc w:val="center"/>
            </w:pPr>
            <w:r>
              <w:t>0,78</w:t>
            </w:r>
          </w:p>
        </w:tc>
        <w:tc>
          <w:tcPr>
            <w:tcW w:w="512" w:type="dxa"/>
            <w:vAlign w:val="center"/>
          </w:tcPr>
          <w:p>
            <w:pPr>
              <w:widowControl w:val="0"/>
              <w:jc w:val="center"/>
            </w:pPr>
            <w:r>
              <w:t>0,63</w:t>
            </w:r>
          </w:p>
        </w:tc>
        <w:tc>
          <w:tcPr>
            <w:tcW w:w="512" w:type="dxa"/>
            <w:vAlign w:val="center"/>
          </w:tcPr>
          <w:p>
            <w:pPr>
              <w:widowControl w:val="0"/>
              <w:jc w:val="center"/>
            </w:pPr>
            <w:r>
              <w:t>0,45</w:t>
            </w:r>
          </w:p>
        </w:tc>
        <w:tc>
          <w:tcPr>
            <w:tcW w:w="512" w:type="dxa"/>
            <w:vAlign w:val="center"/>
          </w:tcPr>
          <w:p>
            <w:pPr>
              <w:widowControl w:val="0"/>
              <w:jc w:val="center"/>
            </w:pPr>
            <w:r>
              <w:t>–</w:t>
            </w:r>
          </w:p>
        </w:tc>
      </w:tr>
    </w:tbl>
    <w:p>
      <w:pPr>
        <w:widowControl w:val="0"/>
        <w:ind w:firstLine="567"/>
        <w:jc w:val="both"/>
        <w:rPr>
          <w:caps/>
        </w:rPr>
      </w:pPr>
    </w:p>
    <w:p>
      <w:pPr>
        <w:widowControl w:val="0"/>
        <w:ind w:firstLine="567"/>
        <w:jc w:val="both"/>
        <w:rPr>
          <w:b/>
          <w:bCs/>
        </w:rPr>
      </w:pPr>
      <w:r>
        <w:rPr>
          <w:b/>
          <w:bCs/>
        </w:rPr>
        <w:t>4 lentelė. Atvirai ir vamzdžiuose tiesiamų iki 1000 V įtampos varinių laidų ir srovėlaidžių gumine ir polivinilchloridine izoliacija leistinoji ilgalaikė srovė</w:t>
      </w:r>
    </w:p>
    <w:p>
      <w:pPr>
        <w:widowControl w:val="0"/>
        <w:ind w:firstLine="567"/>
        <w:jc w:val="both"/>
        <w:rPr>
          <w:b/>
          <w:bCs/>
        </w:rPr>
      </w:pPr>
    </w:p>
    <w:p>
      <w:pPr>
        <w:widowControl w:val="0"/>
        <w:ind w:firstLine="567"/>
        <w:jc w:val="both"/>
      </w:pPr>
      <w:r>
        <w:t xml:space="preserve">Temperatūra: laidų +65 </w:t>
      </w:r>
      <w:r>
        <w:rPr>
          <w:b/>
          <w:bCs/>
          <w:vertAlign w:val="superscript"/>
        </w:rPr>
        <w:t>o</w:t>
      </w:r>
      <w:r>
        <w:rPr>
          <w:b/>
          <w:bCs/>
        </w:rPr>
        <w:t>C</w:t>
      </w:r>
      <w:r>
        <w:t xml:space="preserve">, oro +25 </w:t>
      </w:r>
      <w:r>
        <w:rPr>
          <w:b/>
          <w:bCs/>
          <w:vertAlign w:val="superscript"/>
        </w:rPr>
        <w:t>o</w:t>
      </w:r>
      <w:r>
        <w:rPr>
          <w:b/>
          <w:bCs/>
        </w:rPr>
        <w:t>C</w:t>
      </w:r>
      <w:r>
        <w:t>.</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2"/>
        <w:gridCol w:w="1182"/>
        <w:gridCol w:w="1300"/>
        <w:gridCol w:w="1302"/>
        <w:gridCol w:w="1300"/>
        <w:gridCol w:w="1302"/>
        <w:gridCol w:w="1302"/>
      </w:tblGrid>
      <w:tr>
        <w:trPr>
          <w:cantSplit/>
          <w:trHeight w:val="20"/>
          <w:tblHeader/>
        </w:trPr>
        <w:tc>
          <w:tcPr>
            <w:tcW w:w="993" w:type="dxa"/>
            <w:vMerge w:val="restart"/>
            <w:vAlign w:val="center"/>
          </w:tcPr>
          <w:p>
            <w:pPr>
              <w:widowControl w:val="0"/>
              <w:jc w:val="center"/>
              <w:rPr>
                <w:vertAlign w:val="superscript"/>
              </w:rPr>
            </w:pPr>
            <w:r>
              <w:t>Laido skerspjūvis, mm</w:t>
            </w:r>
            <w:r>
              <w:rPr>
                <w:vertAlign w:val="superscript"/>
              </w:rPr>
              <w:t>2</w:t>
            </w:r>
          </w:p>
        </w:tc>
        <w:tc>
          <w:tcPr>
            <w:tcW w:w="5528" w:type="dxa"/>
            <w:gridSpan w:val="6"/>
            <w:vAlign w:val="center"/>
          </w:tcPr>
          <w:p>
            <w:pPr>
              <w:widowControl w:val="0"/>
              <w:jc w:val="center"/>
            </w:pPr>
            <w:r>
              <w:t>Laidų leistinoji ilgalaikė srovė, A</w:t>
            </w:r>
          </w:p>
        </w:tc>
      </w:tr>
      <w:tr>
        <w:trPr>
          <w:cantSplit/>
          <w:trHeight w:val="20"/>
          <w:tblHeader/>
        </w:trPr>
        <w:tc>
          <w:tcPr>
            <w:tcW w:w="993" w:type="dxa"/>
            <w:vMerge/>
            <w:vAlign w:val="center"/>
          </w:tcPr>
          <w:p>
            <w:pPr>
              <w:widowControl w:val="0"/>
              <w:jc w:val="center"/>
            </w:pPr>
          </w:p>
        </w:tc>
        <w:tc>
          <w:tcPr>
            <w:tcW w:w="850" w:type="dxa"/>
            <w:vMerge w:val="restart"/>
            <w:vAlign w:val="center"/>
          </w:tcPr>
          <w:p>
            <w:pPr>
              <w:widowControl w:val="0"/>
              <w:jc w:val="center"/>
            </w:pPr>
            <w:r>
              <w:t>tiesiamų atvirai</w:t>
            </w:r>
          </w:p>
        </w:tc>
        <w:tc>
          <w:tcPr>
            <w:tcW w:w="4678" w:type="dxa"/>
            <w:gridSpan w:val="5"/>
            <w:vAlign w:val="center"/>
          </w:tcPr>
          <w:p>
            <w:pPr>
              <w:widowControl w:val="0"/>
              <w:jc w:val="center"/>
            </w:pPr>
            <w:r>
              <w:t>tiesiamų viename vamzdyje</w:t>
            </w:r>
          </w:p>
        </w:tc>
      </w:tr>
      <w:tr>
        <w:trPr>
          <w:cantSplit/>
          <w:trHeight w:val="20"/>
          <w:tblHeader/>
        </w:trPr>
        <w:tc>
          <w:tcPr>
            <w:tcW w:w="993" w:type="dxa"/>
            <w:vMerge/>
            <w:vAlign w:val="center"/>
          </w:tcPr>
          <w:p>
            <w:pPr>
              <w:widowControl w:val="0"/>
              <w:jc w:val="center"/>
            </w:pPr>
          </w:p>
        </w:tc>
        <w:tc>
          <w:tcPr>
            <w:tcW w:w="850" w:type="dxa"/>
            <w:vMerge/>
            <w:vAlign w:val="center"/>
          </w:tcPr>
          <w:p>
            <w:pPr>
              <w:widowControl w:val="0"/>
              <w:jc w:val="center"/>
            </w:pPr>
          </w:p>
        </w:tc>
        <w:tc>
          <w:tcPr>
            <w:tcW w:w="935" w:type="dxa"/>
            <w:vAlign w:val="center"/>
          </w:tcPr>
          <w:p>
            <w:pPr>
              <w:widowControl w:val="0"/>
              <w:jc w:val="center"/>
            </w:pPr>
            <w:r>
              <w:t>dviejų</w:t>
            </w:r>
          </w:p>
          <w:p>
            <w:pPr>
              <w:widowControl w:val="0"/>
              <w:jc w:val="center"/>
            </w:pPr>
            <w:r>
              <w:t>viengyslių</w:t>
            </w:r>
          </w:p>
        </w:tc>
        <w:tc>
          <w:tcPr>
            <w:tcW w:w="936" w:type="dxa"/>
            <w:vAlign w:val="center"/>
          </w:tcPr>
          <w:p>
            <w:pPr>
              <w:widowControl w:val="0"/>
              <w:jc w:val="center"/>
            </w:pPr>
            <w:r>
              <w:t>trijų</w:t>
            </w:r>
          </w:p>
          <w:p>
            <w:pPr>
              <w:widowControl w:val="0"/>
              <w:jc w:val="center"/>
            </w:pPr>
            <w:r>
              <w:t>viengyslių</w:t>
            </w:r>
          </w:p>
        </w:tc>
        <w:tc>
          <w:tcPr>
            <w:tcW w:w="935" w:type="dxa"/>
            <w:vAlign w:val="center"/>
          </w:tcPr>
          <w:p>
            <w:pPr>
              <w:widowControl w:val="0"/>
              <w:jc w:val="center"/>
            </w:pPr>
            <w:r>
              <w:t>keturių</w:t>
            </w:r>
          </w:p>
          <w:p>
            <w:pPr>
              <w:widowControl w:val="0"/>
              <w:jc w:val="center"/>
            </w:pPr>
            <w:r>
              <w:t>viengyslių</w:t>
            </w:r>
          </w:p>
        </w:tc>
        <w:tc>
          <w:tcPr>
            <w:tcW w:w="936" w:type="dxa"/>
            <w:vAlign w:val="center"/>
          </w:tcPr>
          <w:p>
            <w:pPr>
              <w:widowControl w:val="0"/>
              <w:jc w:val="center"/>
            </w:pPr>
            <w:r>
              <w:t>vieno</w:t>
            </w:r>
          </w:p>
          <w:p>
            <w:pPr>
              <w:widowControl w:val="0"/>
              <w:jc w:val="center"/>
            </w:pPr>
            <w:r>
              <w:t>dvigyslio</w:t>
            </w:r>
          </w:p>
        </w:tc>
        <w:tc>
          <w:tcPr>
            <w:tcW w:w="936" w:type="dxa"/>
            <w:vAlign w:val="center"/>
          </w:tcPr>
          <w:p>
            <w:pPr>
              <w:widowControl w:val="0"/>
              <w:jc w:val="center"/>
            </w:pPr>
            <w:r>
              <w:t>vieno</w:t>
            </w:r>
          </w:p>
          <w:p>
            <w:pPr>
              <w:widowControl w:val="0"/>
              <w:jc w:val="center"/>
            </w:pPr>
            <w:r>
              <w:t>trigyslio</w:t>
            </w:r>
          </w:p>
        </w:tc>
      </w:tr>
      <w:tr>
        <w:trPr>
          <w:cantSplit/>
          <w:trHeight w:val="20"/>
        </w:trPr>
        <w:tc>
          <w:tcPr>
            <w:tcW w:w="993" w:type="dxa"/>
            <w:vAlign w:val="center"/>
          </w:tcPr>
          <w:p>
            <w:pPr>
              <w:widowControl w:val="0"/>
              <w:jc w:val="center"/>
            </w:pPr>
            <w:r>
              <w:t>0,5</w:t>
            </w:r>
          </w:p>
        </w:tc>
        <w:tc>
          <w:tcPr>
            <w:tcW w:w="850" w:type="dxa"/>
            <w:vAlign w:val="center"/>
          </w:tcPr>
          <w:p>
            <w:pPr>
              <w:widowControl w:val="0"/>
              <w:jc w:val="center"/>
            </w:pPr>
            <w:r>
              <w:t>11</w:t>
            </w:r>
          </w:p>
        </w:tc>
        <w:tc>
          <w:tcPr>
            <w:tcW w:w="935" w:type="dxa"/>
            <w:vAlign w:val="center"/>
          </w:tcPr>
          <w:p>
            <w:pPr>
              <w:widowControl w:val="0"/>
              <w:jc w:val="center"/>
            </w:pPr>
            <w:r>
              <w:t>–</w:t>
            </w:r>
          </w:p>
        </w:tc>
        <w:tc>
          <w:tcPr>
            <w:tcW w:w="936" w:type="dxa"/>
            <w:vAlign w:val="center"/>
          </w:tcPr>
          <w:p>
            <w:pPr>
              <w:widowControl w:val="0"/>
              <w:jc w:val="center"/>
            </w:pPr>
            <w:r>
              <w:t>–</w:t>
            </w:r>
          </w:p>
        </w:tc>
        <w:tc>
          <w:tcPr>
            <w:tcW w:w="935" w:type="dxa"/>
            <w:vAlign w:val="center"/>
          </w:tcPr>
          <w:p>
            <w:pPr>
              <w:widowControl w:val="0"/>
              <w:jc w:val="center"/>
            </w:pPr>
            <w:r>
              <w:t>–</w:t>
            </w:r>
          </w:p>
        </w:tc>
        <w:tc>
          <w:tcPr>
            <w:tcW w:w="936" w:type="dxa"/>
            <w:vAlign w:val="center"/>
          </w:tcPr>
          <w:p>
            <w:pPr>
              <w:widowControl w:val="0"/>
              <w:jc w:val="center"/>
            </w:pPr>
            <w:r>
              <w:t>–</w:t>
            </w:r>
          </w:p>
        </w:tc>
        <w:tc>
          <w:tcPr>
            <w:tcW w:w="936" w:type="dxa"/>
            <w:vAlign w:val="center"/>
          </w:tcPr>
          <w:p>
            <w:pPr>
              <w:widowControl w:val="0"/>
              <w:jc w:val="center"/>
            </w:pPr>
            <w:r>
              <w:t>–</w:t>
            </w:r>
          </w:p>
        </w:tc>
      </w:tr>
      <w:tr>
        <w:trPr>
          <w:cantSplit/>
          <w:trHeight w:val="20"/>
        </w:trPr>
        <w:tc>
          <w:tcPr>
            <w:tcW w:w="993" w:type="dxa"/>
            <w:vAlign w:val="center"/>
          </w:tcPr>
          <w:p>
            <w:pPr>
              <w:widowControl w:val="0"/>
              <w:jc w:val="center"/>
            </w:pPr>
            <w:r>
              <w:t>0,75</w:t>
            </w:r>
          </w:p>
        </w:tc>
        <w:tc>
          <w:tcPr>
            <w:tcW w:w="850" w:type="dxa"/>
            <w:vAlign w:val="center"/>
          </w:tcPr>
          <w:p>
            <w:pPr>
              <w:widowControl w:val="0"/>
              <w:jc w:val="center"/>
            </w:pPr>
            <w:r>
              <w:t>15</w:t>
            </w:r>
          </w:p>
        </w:tc>
        <w:tc>
          <w:tcPr>
            <w:tcW w:w="935" w:type="dxa"/>
            <w:vAlign w:val="center"/>
          </w:tcPr>
          <w:p>
            <w:pPr>
              <w:widowControl w:val="0"/>
              <w:jc w:val="center"/>
            </w:pPr>
            <w:r>
              <w:t>–</w:t>
            </w:r>
          </w:p>
        </w:tc>
        <w:tc>
          <w:tcPr>
            <w:tcW w:w="936" w:type="dxa"/>
            <w:vAlign w:val="center"/>
          </w:tcPr>
          <w:p>
            <w:pPr>
              <w:widowControl w:val="0"/>
              <w:jc w:val="center"/>
            </w:pPr>
            <w:r>
              <w:t>–</w:t>
            </w:r>
          </w:p>
        </w:tc>
        <w:tc>
          <w:tcPr>
            <w:tcW w:w="935" w:type="dxa"/>
            <w:vAlign w:val="center"/>
          </w:tcPr>
          <w:p>
            <w:pPr>
              <w:widowControl w:val="0"/>
              <w:jc w:val="center"/>
            </w:pPr>
            <w:r>
              <w:t>–</w:t>
            </w:r>
          </w:p>
        </w:tc>
        <w:tc>
          <w:tcPr>
            <w:tcW w:w="936" w:type="dxa"/>
            <w:vAlign w:val="center"/>
          </w:tcPr>
          <w:p>
            <w:pPr>
              <w:widowControl w:val="0"/>
              <w:jc w:val="center"/>
            </w:pPr>
            <w:r>
              <w:t>–</w:t>
            </w:r>
          </w:p>
        </w:tc>
        <w:tc>
          <w:tcPr>
            <w:tcW w:w="936" w:type="dxa"/>
            <w:vAlign w:val="center"/>
          </w:tcPr>
          <w:p>
            <w:pPr>
              <w:widowControl w:val="0"/>
              <w:jc w:val="center"/>
            </w:pPr>
            <w:r>
              <w:t>–</w:t>
            </w:r>
          </w:p>
        </w:tc>
      </w:tr>
      <w:tr>
        <w:trPr>
          <w:cantSplit/>
          <w:trHeight w:val="20"/>
        </w:trPr>
        <w:tc>
          <w:tcPr>
            <w:tcW w:w="993" w:type="dxa"/>
            <w:vAlign w:val="center"/>
          </w:tcPr>
          <w:p>
            <w:pPr>
              <w:widowControl w:val="0"/>
              <w:jc w:val="center"/>
            </w:pPr>
            <w:r>
              <w:t>1</w:t>
            </w:r>
          </w:p>
        </w:tc>
        <w:tc>
          <w:tcPr>
            <w:tcW w:w="850" w:type="dxa"/>
            <w:vAlign w:val="center"/>
          </w:tcPr>
          <w:p>
            <w:pPr>
              <w:widowControl w:val="0"/>
              <w:jc w:val="center"/>
            </w:pPr>
            <w:r>
              <w:t>17</w:t>
            </w:r>
          </w:p>
        </w:tc>
        <w:tc>
          <w:tcPr>
            <w:tcW w:w="935" w:type="dxa"/>
            <w:vAlign w:val="center"/>
          </w:tcPr>
          <w:p>
            <w:pPr>
              <w:widowControl w:val="0"/>
              <w:jc w:val="center"/>
            </w:pPr>
            <w:r>
              <w:t>16</w:t>
            </w:r>
          </w:p>
        </w:tc>
        <w:tc>
          <w:tcPr>
            <w:tcW w:w="936" w:type="dxa"/>
            <w:vAlign w:val="center"/>
          </w:tcPr>
          <w:p>
            <w:pPr>
              <w:widowControl w:val="0"/>
              <w:jc w:val="center"/>
            </w:pPr>
            <w:r>
              <w:t>15</w:t>
            </w:r>
          </w:p>
        </w:tc>
        <w:tc>
          <w:tcPr>
            <w:tcW w:w="935" w:type="dxa"/>
            <w:vAlign w:val="center"/>
          </w:tcPr>
          <w:p>
            <w:pPr>
              <w:widowControl w:val="0"/>
              <w:jc w:val="center"/>
            </w:pPr>
            <w:r>
              <w:t>14</w:t>
            </w:r>
          </w:p>
        </w:tc>
        <w:tc>
          <w:tcPr>
            <w:tcW w:w="936" w:type="dxa"/>
            <w:vAlign w:val="center"/>
          </w:tcPr>
          <w:p>
            <w:pPr>
              <w:widowControl w:val="0"/>
              <w:jc w:val="center"/>
            </w:pPr>
            <w:r>
              <w:t>15</w:t>
            </w:r>
          </w:p>
        </w:tc>
        <w:tc>
          <w:tcPr>
            <w:tcW w:w="936" w:type="dxa"/>
            <w:vAlign w:val="center"/>
          </w:tcPr>
          <w:p>
            <w:pPr>
              <w:widowControl w:val="0"/>
              <w:jc w:val="center"/>
            </w:pPr>
            <w:r>
              <w:t>14</w:t>
            </w:r>
          </w:p>
        </w:tc>
      </w:tr>
      <w:tr>
        <w:trPr>
          <w:cantSplit/>
          <w:trHeight w:val="20"/>
        </w:trPr>
        <w:tc>
          <w:tcPr>
            <w:tcW w:w="993" w:type="dxa"/>
            <w:vAlign w:val="center"/>
          </w:tcPr>
          <w:p>
            <w:pPr>
              <w:widowControl w:val="0"/>
              <w:jc w:val="center"/>
            </w:pPr>
            <w:r>
              <w:t>1,2</w:t>
            </w:r>
          </w:p>
        </w:tc>
        <w:tc>
          <w:tcPr>
            <w:tcW w:w="850" w:type="dxa"/>
            <w:vAlign w:val="center"/>
          </w:tcPr>
          <w:p>
            <w:pPr>
              <w:widowControl w:val="0"/>
              <w:jc w:val="center"/>
            </w:pPr>
            <w:r>
              <w:t>20</w:t>
            </w:r>
          </w:p>
        </w:tc>
        <w:tc>
          <w:tcPr>
            <w:tcW w:w="935" w:type="dxa"/>
            <w:vAlign w:val="center"/>
          </w:tcPr>
          <w:p>
            <w:pPr>
              <w:widowControl w:val="0"/>
              <w:jc w:val="center"/>
            </w:pPr>
            <w:r>
              <w:t>18</w:t>
            </w:r>
          </w:p>
        </w:tc>
        <w:tc>
          <w:tcPr>
            <w:tcW w:w="936" w:type="dxa"/>
            <w:vAlign w:val="center"/>
          </w:tcPr>
          <w:p>
            <w:pPr>
              <w:widowControl w:val="0"/>
              <w:jc w:val="center"/>
            </w:pPr>
            <w:r>
              <w:t>16</w:t>
            </w:r>
          </w:p>
        </w:tc>
        <w:tc>
          <w:tcPr>
            <w:tcW w:w="935" w:type="dxa"/>
            <w:vAlign w:val="center"/>
          </w:tcPr>
          <w:p>
            <w:pPr>
              <w:widowControl w:val="0"/>
              <w:jc w:val="center"/>
            </w:pPr>
            <w:r>
              <w:t>15</w:t>
            </w:r>
          </w:p>
        </w:tc>
        <w:tc>
          <w:tcPr>
            <w:tcW w:w="936" w:type="dxa"/>
            <w:vAlign w:val="center"/>
          </w:tcPr>
          <w:p>
            <w:pPr>
              <w:widowControl w:val="0"/>
              <w:jc w:val="center"/>
            </w:pPr>
            <w:r>
              <w:t>16</w:t>
            </w:r>
          </w:p>
        </w:tc>
        <w:tc>
          <w:tcPr>
            <w:tcW w:w="936" w:type="dxa"/>
            <w:vAlign w:val="center"/>
          </w:tcPr>
          <w:p>
            <w:pPr>
              <w:widowControl w:val="0"/>
              <w:jc w:val="center"/>
            </w:pPr>
            <w:r>
              <w:t>14,5</w:t>
            </w:r>
          </w:p>
        </w:tc>
      </w:tr>
      <w:tr>
        <w:trPr>
          <w:cantSplit/>
          <w:trHeight w:val="20"/>
        </w:trPr>
        <w:tc>
          <w:tcPr>
            <w:tcW w:w="993" w:type="dxa"/>
            <w:vAlign w:val="center"/>
          </w:tcPr>
          <w:p>
            <w:pPr>
              <w:widowControl w:val="0"/>
              <w:jc w:val="center"/>
            </w:pPr>
            <w:r>
              <w:t>1,5</w:t>
            </w:r>
          </w:p>
        </w:tc>
        <w:tc>
          <w:tcPr>
            <w:tcW w:w="850" w:type="dxa"/>
            <w:vAlign w:val="center"/>
          </w:tcPr>
          <w:p>
            <w:pPr>
              <w:widowControl w:val="0"/>
              <w:jc w:val="center"/>
            </w:pPr>
            <w:r>
              <w:t>23</w:t>
            </w:r>
          </w:p>
        </w:tc>
        <w:tc>
          <w:tcPr>
            <w:tcW w:w="935" w:type="dxa"/>
            <w:vAlign w:val="center"/>
          </w:tcPr>
          <w:p>
            <w:pPr>
              <w:widowControl w:val="0"/>
              <w:jc w:val="center"/>
            </w:pPr>
            <w:r>
              <w:t>19</w:t>
            </w:r>
          </w:p>
        </w:tc>
        <w:tc>
          <w:tcPr>
            <w:tcW w:w="936" w:type="dxa"/>
            <w:vAlign w:val="center"/>
          </w:tcPr>
          <w:p>
            <w:pPr>
              <w:widowControl w:val="0"/>
              <w:jc w:val="center"/>
            </w:pPr>
            <w:r>
              <w:t>17</w:t>
            </w:r>
          </w:p>
        </w:tc>
        <w:tc>
          <w:tcPr>
            <w:tcW w:w="935" w:type="dxa"/>
            <w:vAlign w:val="center"/>
          </w:tcPr>
          <w:p>
            <w:pPr>
              <w:widowControl w:val="0"/>
              <w:jc w:val="center"/>
            </w:pPr>
            <w:r>
              <w:t>16</w:t>
            </w:r>
          </w:p>
        </w:tc>
        <w:tc>
          <w:tcPr>
            <w:tcW w:w="936" w:type="dxa"/>
            <w:vAlign w:val="center"/>
          </w:tcPr>
          <w:p>
            <w:pPr>
              <w:widowControl w:val="0"/>
              <w:jc w:val="center"/>
            </w:pPr>
            <w:r>
              <w:t>18</w:t>
            </w:r>
          </w:p>
        </w:tc>
        <w:tc>
          <w:tcPr>
            <w:tcW w:w="936" w:type="dxa"/>
            <w:vAlign w:val="center"/>
          </w:tcPr>
          <w:p>
            <w:pPr>
              <w:widowControl w:val="0"/>
              <w:jc w:val="center"/>
            </w:pPr>
            <w:r>
              <w:t>15</w:t>
            </w:r>
          </w:p>
        </w:tc>
      </w:tr>
      <w:tr>
        <w:trPr>
          <w:cantSplit/>
          <w:trHeight w:val="20"/>
        </w:trPr>
        <w:tc>
          <w:tcPr>
            <w:tcW w:w="993" w:type="dxa"/>
            <w:vAlign w:val="center"/>
          </w:tcPr>
          <w:p>
            <w:pPr>
              <w:widowControl w:val="0"/>
              <w:jc w:val="center"/>
            </w:pPr>
            <w:r>
              <w:t>2</w:t>
            </w:r>
          </w:p>
        </w:tc>
        <w:tc>
          <w:tcPr>
            <w:tcW w:w="850" w:type="dxa"/>
            <w:vAlign w:val="center"/>
          </w:tcPr>
          <w:p>
            <w:pPr>
              <w:widowControl w:val="0"/>
              <w:jc w:val="center"/>
            </w:pPr>
            <w:r>
              <w:t>26</w:t>
            </w:r>
          </w:p>
        </w:tc>
        <w:tc>
          <w:tcPr>
            <w:tcW w:w="935" w:type="dxa"/>
            <w:vAlign w:val="center"/>
          </w:tcPr>
          <w:p>
            <w:pPr>
              <w:widowControl w:val="0"/>
              <w:jc w:val="center"/>
            </w:pPr>
            <w:r>
              <w:t>24</w:t>
            </w:r>
          </w:p>
        </w:tc>
        <w:tc>
          <w:tcPr>
            <w:tcW w:w="936" w:type="dxa"/>
            <w:vAlign w:val="center"/>
          </w:tcPr>
          <w:p>
            <w:pPr>
              <w:widowControl w:val="0"/>
              <w:jc w:val="center"/>
            </w:pPr>
            <w:r>
              <w:t>22</w:t>
            </w:r>
          </w:p>
        </w:tc>
        <w:tc>
          <w:tcPr>
            <w:tcW w:w="935" w:type="dxa"/>
            <w:vAlign w:val="center"/>
          </w:tcPr>
          <w:p>
            <w:pPr>
              <w:widowControl w:val="0"/>
              <w:jc w:val="center"/>
            </w:pPr>
            <w:r>
              <w:t>20</w:t>
            </w:r>
          </w:p>
        </w:tc>
        <w:tc>
          <w:tcPr>
            <w:tcW w:w="936" w:type="dxa"/>
            <w:vAlign w:val="center"/>
          </w:tcPr>
          <w:p>
            <w:pPr>
              <w:widowControl w:val="0"/>
              <w:jc w:val="center"/>
            </w:pPr>
            <w:r>
              <w:t>23</w:t>
            </w:r>
          </w:p>
        </w:tc>
        <w:tc>
          <w:tcPr>
            <w:tcW w:w="936" w:type="dxa"/>
            <w:vAlign w:val="center"/>
          </w:tcPr>
          <w:p>
            <w:pPr>
              <w:widowControl w:val="0"/>
              <w:jc w:val="center"/>
            </w:pPr>
            <w:r>
              <w:t>19</w:t>
            </w:r>
          </w:p>
        </w:tc>
      </w:tr>
      <w:tr>
        <w:trPr>
          <w:cantSplit/>
          <w:trHeight w:val="20"/>
        </w:trPr>
        <w:tc>
          <w:tcPr>
            <w:tcW w:w="993" w:type="dxa"/>
            <w:vAlign w:val="center"/>
          </w:tcPr>
          <w:p>
            <w:pPr>
              <w:widowControl w:val="0"/>
              <w:jc w:val="center"/>
            </w:pPr>
            <w:r>
              <w:t>2,5</w:t>
            </w:r>
          </w:p>
        </w:tc>
        <w:tc>
          <w:tcPr>
            <w:tcW w:w="850" w:type="dxa"/>
            <w:vAlign w:val="center"/>
          </w:tcPr>
          <w:p>
            <w:pPr>
              <w:widowControl w:val="0"/>
              <w:jc w:val="center"/>
            </w:pPr>
            <w:r>
              <w:t>30</w:t>
            </w:r>
          </w:p>
        </w:tc>
        <w:tc>
          <w:tcPr>
            <w:tcW w:w="935" w:type="dxa"/>
            <w:vAlign w:val="center"/>
          </w:tcPr>
          <w:p>
            <w:pPr>
              <w:widowControl w:val="0"/>
              <w:jc w:val="center"/>
            </w:pPr>
            <w:r>
              <w:t>27</w:t>
            </w:r>
          </w:p>
        </w:tc>
        <w:tc>
          <w:tcPr>
            <w:tcW w:w="936" w:type="dxa"/>
            <w:vAlign w:val="center"/>
          </w:tcPr>
          <w:p>
            <w:pPr>
              <w:widowControl w:val="0"/>
              <w:jc w:val="center"/>
            </w:pPr>
            <w:r>
              <w:t>25</w:t>
            </w:r>
          </w:p>
        </w:tc>
        <w:tc>
          <w:tcPr>
            <w:tcW w:w="935" w:type="dxa"/>
            <w:vAlign w:val="center"/>
          </w:tcPr>
          <w:p>
            <w:pPr>
              <w:widowControl w:val="0"/>
              <w:jc w:val="center"/>
            </w:pPr>
            <w:r>
              <w:t>25</w:t>
            </w:r>
          </w:p>
        </w:tc>
        <w:tc>
          <w:tcPr>
            <w:tcW w:w="936" w:type="dxa"/>
            <w:vAlign w:val="center"/>
          </w:tcPr>
          <w:p>
            <w:pPr>
              <w:widowControl w:val="0"/>
              <w:jc w:val="center"/>
            </w:pPr>
            <w:r>
              <w:t>25</w:t>
            </w:r>
          </w:p>
        </w:tc>
        <w:tc>
          <w:tcPr>
            <w:tcW w:w="936" w:type="dxa"/>
            <w:vAlign w:val="center"/>
          </w:tcPr>
          <w:p>
            <w:pPr>
              <w:widowControl w:val="0"/>
              <w:jc w:val="center"/>
            </w:pPr>
            <w:r>
              <w:t>21</w:t>
            </w:r>
          </w:p>
        </w:tc>
      </w:tr>
      <w:tr>
        <w:trPr>
          <w:cantSplit/>
          <w:trHeight w:val="20"/>
        </w:trPr>
        <w:tc>
          <w:tcPr>
            <w:tcW w:w="993" w:type="dxa"/>
            <w:vAlign w:val="center"/>
          </w:tcPr>
          <w:p>
            <w:pPr>
              <w:widowControl w:val="0"/>
              <w:jc w:val="center"/>
            </w:pPr>
            <w:r>
              <w:t>3</w:t>
            </w:r>
          </w:p>
        </w:tc>
        <w:tc>
          <w:tcPr>
            <w:tcW w:w="850" w:type="dxa"/>
            <w:vAlign w:val="center"/>
          </w:tcPr>
          <w:p>
            <w:pPr>
              <w:widowControl w:val="0"/>
              <w:jc w:val="center"/>
            </w:pPr>
            <w:r>
              <w:t>34</w:t>
            </w:r>
          </w:p>
        </w:tc>
        <w:tc>
          <w:tcPr>
            <w:tcW w:w="935" w:type="dxa"/>
            <w:vAlign w:val="center"/>
          </w:tcPr>
          <w:p>
            <w:pPr>
              <w:widowControl w:val="0"/>
              <w:jc w:val="center"/>
            </w:pPr>
            <w:r>
              <w:t>32</w:t>
            </w:r>
          </w:p>
        </w:tc>
        <w:tc>
          <w:tcPr>
            <w:tcW w:w="936" w:type="dxa"/>
            <w:vAlign w:val="center"/>
          </w:tcPr>
          <w:p>
            <w:pPr>
              <w:widowControl w:val="0"/>
              <w:jc w:val="center"/>
            </w:pPr>
            <w:r>
              <w:t>28</w:t>
            </w:r>
          </w:p>
        </w:tc>
        <w:tc>
          <w:tcPr>
            <w:tcW w:w="935" w:type="dxa"/>
            <w:vAlign w:val="center"/>
          </w:tcPr>
          <w:p>
            <w:pPr>
              <w:widowControl w:val="0"/>
              <w:jc w:val="center"/>
            </w:pPr>
            <w:r>
              <w:t>26</w:t>
            </w:r>
          </w:p>
        </w:tc>
        <w:tc>
          <w:tcPr>
            <w:tcW w:w="936" w:type="dxa"/>
            <w:vAlign w:val="center"/>
          </w:tcPr>
          <w:p>
            <w:pPr>
              <w:widowControl w:val="0"/>
              <w:jc w:val="center"/>
            </w:pPr>
            <w:r>
              <w:t>28</w:t>
            </w:r>
          </w:p>
        </w:tc>
        <w:tc>
          <w:tcPr>
            <w:tcW w:w="936" w:type="dxa"/>
            <w:vAlign w:val="center"/>
          </w:tcPr>
          <w:p>
            <w:pPr>
              <w:widowControl w:val="0"/>
              <w:jc w:val="center"/>
            </w:pPr>
            <w:r>
              <w:t>24</w:t>
            </w:r>
          </w:p>
        </w:tc>
      </w:tr>
      <w:tr>
        <w:trPr>
          <w:cantSplit/>
          <w:trHeight w:val="20"/>
        </w:trPr>
        <w:tc>
          <w:tcPr>
            <w:tcW w:w="993" w:type="dxa"/>
            <w:vAlign w:val="center"/>
          </w:tcPr>
          <w:p>
            <w:pPr>
              <w:widowControl w:val="0"/>
              <w:jc w:val="center"/>
            </w:pPr>
            <w:r>
              <w:t>4</w:t>
            </w:r>
          </w:p>
        </w:tc>
        <w:tc>
          <w:tcPr>
            <w:tcW w:w="850" w:type="dxa"/>
            <w:vAlign w:val="center"/>
          </w:tcPr>
          <w:p>
            <w:pPr>
              <w:widowControl w:val="0"/>
              <w:jc w:val="center"/>
            </w:pPr>
            <w:r>
              <w:t>41</w:t>
            </w:r>
          </w:p>
        </w:tc>
        <w:tc>
          <w:tcPr>
            <w:tcW w:w="935" w:type="dxa"/>
            <w:vAlign w:val="center"/>
          </w:tcPr>
          <w:p>
            <w:pPr>
              <w:widowControl w:val="0"/>
              <w:jc w:val="center"/>
            </w:pPr>
            <w:r>
              <w:t>38</w:t>
            </w:r>
          </w:p>
        </w:tc>
        <w:tc>
          <w:tcPr>
            <w:tcW w:w="936" w:type="dxa"/>
            <w:vAlign w:val="center"/>
          </w:tcPr>
          <w:p>
            <w:pPr>
              <w:widowControl w:val="0"/>
              <w:jc w:val="center"/>
            </w:pPr>
            <w:r>
              <w:t>35</w:t>
            </w:r>
          </w:p>
        </w:tc>
        <w:tc>
          <w:tcPr>
            <w:tcW w:w="935" w:type="dxa"/>
            <w:vAlign w:val="center"/>
          </w:tcPr>
          <w:p>
            <w:pPr>
              <w:widowControl w:val="0"/>
              <w:jc w:val="center"/>
            </w:pPr>
            <w:r>
              <w:t>30</w:t>
            </w:r>
          </w:p>
        </w:tc>
        <w:tc>
          <w:tcPr>
            <w:tcW w:w="936" w:type="dxa"/>
            <w:vAlign w:val="center"/>
          </w:tcPr>
          <w:p>
            <w:pPr>
              <w:widowControl w:val="0"/>
              <w:jc w:val="center"/>
            </w:pPr>
            <w:r>
              <w:t>32</w:t>
            </w:r>
          </w:p>
        </w:tc>
        <w:tc>
          <w:tcPr>
            <w:tcW w:w="936" w:type="dxa"/>
            <w:vAlign w:val="center"/>
          </w:tcPr>
          <w:p>
            <w:pPr>
              <w:widowControl w:val="0"/>
              <w:jc w:val="center"/>
            </w:pPr>
            <w:r>
              <w:t>27</w:t>
            </w:r>
          </w:p>
        </w:tc>
      </w:tr>
      <w:tr>
        <w:trPr>
          <w:cantSplit/>
          <w:trHeight w:val="20"/>
        </w:trPr>
        <w:tc>
          <w:tcPr>
            <w:tcW w:w="993" w:type="dxa"/>
            <w:vAlign w:val="center"/>
          </w:tcPr>
          <w:p>
            <w:pPr>
              <w:widowControl w:val="0"/>
              <w:jc w:val="center"/>
            </w:pPr>
            <w:r>
              <w:t>5</w:t>
            </w:r>
          </w:p>
        </w:tc>
        <w:tc>
          <w:tcPr>
            <w:tcW w:w="850" w:type="dxa"/>
            <w:vAlign w:val="center"/>
          </w:tcPr>
          <w:p>
            <w:pPr>
              <w:widowControl w:val="0"/>
              <w:jc w:val="center"/>
            </w:pPr>
            <w:r>
              <w:t>46</w:t>
            </w:r>
          </w:p>
        </w:tc>
        <w:tc>
          <w:tcPr>
            <w:tcW w:w="935" w:type="dxa"/>
            <w:vAlign w:val="center"/>
          </w:tcPr>
          <w:p>
            <w:pPr>
              <w:widowControl w:val="0"/>
              <w:jc w:val="center"/>
            </w:pPr>
            <w:r>
              <w:t>42</w:t>
            </w:r>
          </w:p>
        </w:tc>
        <w:tc>
          <w:tcPr>
            <w:tcW w:w="936" w:type="dxa"/>
            <w:vAlign w:val="center"/>
          </w:tcPr>
          <w:p>
            <w:pPr>
              <w:widowControl w:val="0"/>
              <w:jc w:val="center"/>
            </w:pPr>
            <w:r>
              <w:t>39</w:t>
            </w:r>
          </w:p>
        </w:tc>
        <w:tc>
          <w:tcPr>
            <w:tcW w:w="935" w:type="dxa"/>
            <w:vAlign w:val="center"/>
          </w:tcPr>
          <w:p>
            <w:pPr>
              <w:widowControl w:val="0"/>
              <w:jc w:val="center"/>
            </w:pPr>
            <w:r>
              <w:t>34</w:t>
            </w:r>
          </w:p>
        </w:tc>
        <w:tc>
          <w:tcPr>
            <w:tcW w:w="936" w:type="dxa"/>
            <w:vAlign w:val="center"/>
          </w:tcPr>
          <w:p>
            <w:pPr>
              <w:widowControl w:val="0"/>
              <w:jc w:val="center"/>
            </w:pPr>
            <w:r>
              <w:t>37</w:t>
            </w:r>
          </w:p>
        </w:tc>
        <w:tc>
          <w:tcPr>
            <w:tcW w:w="936" w:type="dxa"/>
            <w:vAlign w:val="center"/>
          </w:tcPr>
          <w:p>
            <w:pPr>
              <w:widowControl w:val="0"/>
              <w:jc w:val="center"/>
            </w:pPr>
            <w:r>
              <w:t>31</w:t>
            </w:r>
          </w:p>
        </w:tc>
      </w:tr>
      <w:tr>
        <w:trPr>
          <w:cantSplit/>
          <w:trHeight w:val="20"/>
        </w:trPr>
        <w:tc>
          <w:tcPr>
            <w:tcW w:w="993" w:type="dxa"/>
            <w:vAlign w:val="center"/>
          </w:tcPr>
          <w:p>
            <w:pPr>
              <w:widowControl w:val="0"/>
              <w:jc w:val="center"/>
            </w:pPr>
            <w:r>
              <w:t>6</w:t>
            </w:r>
          </w:p>
        </w:tc>
        <w:tc>
          <w:tcPr>
            <w:tcW w:w="850" w:type="dxa"/>
            <w:vAlign w:val="center"/>
          </w:tcPr>
          <w:p>
            <w:pPr>
              <w:widowControl w:val="0"/>
              <w:jc w:val="center"/>
            </w:pPr>
            <w:r>
              <w:t>50</w:t>
            </w:r>
          </w:p>
        </w:tc>
        <w:tc>
          <w:tcPr>
            <w:tcW w:w="935" w:type="dxa"/>
            <w:vAlign w:val="center"/>
          </w:tcPr>
          <w:p>
            <w:pPr>
              <w:widowControl w:val="0"/>
              <w:jc w:val="center"/>
            </w:pPr>
            <w:r>
              <w:t>46</w:t>
            </w:r>
          </w:p>
        </w:tc>
        <w:tc>
          <w:tcPr>
            <w:tcW w:w="936" w:type="dxa"/>
            <w:vAlign w:val="center"/>
          </w:tcPr>
          <w:p>
            <w:pPr>
              <w:widowControl w:val="0"/>
              <w:jc w:val="center"/>
            </w:pPr>
            <w:r>
              <w:t>42</w:t>
            </w:r>
          </w:p>
        </w:tc>
        <w:tc>
          <w:tcPr>
            <w:tcW w:w="935" w:type="dxa"/>
            <w:vAlign w:val="center"/>
          </w:tcPr>
          <w:p>
            <w:pPr>
              <w:widowControl w:val="0"/>
              <w:jc w:val="center"/>
            </w:pPr>
            <w:r>
              <w:t>40</w:t>
            </w:r>
          </w:p>
        </w:tc>
        <w:tc>
          <w:tcPr>
            <w:tcW w:w="936" w:type="dxa"/>
            <w:vAlign w:val="center"/>
          </w:tcPr>
          <w:p>
            <w:pPr>
              <w:widowControl w:val="0"/>
              <w:jc w:val="center"/>
            </w:pPr>
            <w:r>
              <w:t>40</w:t>
            </w:r>
          </w:p>
        </w:tc>
        <w:tc>
          <w:tcPr>
            <w:tcW w:w="936" w:type="dxa"/>
            <w:vAlign w:val="center"/>
          </w:tcPr>
          <w:p>
            <w:pPr>
              <w:widowControl w:val="0"/>
              <w:jc w:val="center"/>
            </w:pPr>
            <w:r>
              <w:t>34</w:t>
            </w:r>
          </w:p>
        </w:tc>
      </w:tr>
      <w:tr>
        <w:trPr>
          <w:cantSplit/>
          <w:trHeight w:val="20"/>
        </w:trPr>
        <w:tc>
          <w:tcPr>
            <w:tcW w:w="993" w:type="dxa"/>
            <w:vAlign w:val="center"/>
          </w:tcPr>
          <w:p>
            <w:pPr>
              <w:widowControl w:val="0"/>
              <w:jc w:val="center"/>
            </w:pPr>
            <w:r>
              <w:t>8</w:t>
            </w:r>
          </w:p>
        </w:tc>
        <w:tc>
          <w:tcPr>
            <w:tcW w:w="850" w:type="dxa"/>
            <w:vAlign w:val="center"/>
          </w:tcPr>
          <w:p>
            <w:pPr>
              <w:widowControl w:val="0"/>
              <w:jc w:val="center"/>
            </w:pPr>
            <w:r>
              <w:t>62</w:t>
            </w:r>
          </w:p>
        </w:tc>
        <w:tc>
          <w:tcPr>
            <w:tcW w:w="935" w:type="dxa"/>
            <w:vAlign w:val="center"/>
          </w:tcPr>
          <w:p>
            <w:pPr>
              <w:widowControl w:val="0"/>
              <w:jc w:val="center"/>
            </w:pPr>
            <w:r>
              <w:t>54</w:t>
            </w:r>
          </w:p>
        </w:tc>
        <w:tc>
          <w:tcPr>
            <w:tcW w:w="936" w:type="dxa"/>
            <w:vAlign w:val="center"/>
          </w:tcPr>
          <w:p>
            <w:pPr>
              <w:widowControl w:val="0"/>
              <w:jc w:val="center"/>
            </w:pPr>
            <w:r>
              <w:t>51</w:t>
            </w:r>
          </w:p>
        </w:tc>
        <w:tc>
          <w:tcPr>
            <w:tcW w:w="935" w:type="dxa"/>
            <w:vAlign w:val="center"/>
          </w:tcPr>
          <w:p>
            <w:pPr>
              <w:widowControl w:val="0"/>
              <w:jc w:val="center"/>
            </w:pPr>
            <w:r>
              <w:t>46</w:t>
            </w:r>
          </w:p>
        </w:tc>
        <w:tc>
          <w:tcPr>
            <w:tcW w:w="936" w:type="dxa"/>
            <w:vAlign w:val="center"/>
          </w:tcPr>
          <w:p>
            <w:pPr>
              <w:widowControl w:val="0"/>
              <w:jc w:val="center"/>
            </w:pPr>
            <w:r>
              <w:t>48</w:t>
            </w:r>
          </w:p>
        </w:tc>
        <w:tc>
          <w:tcPr>
            <w:tcW w:w="936" w:type="dxa"/>
            <w:vAlign w:val="center"/>
          </w:tcPr>
          <w:p>
            <w:pPr>
              <w:widowControl w:val="0"/>
              <w:jc w:val="center"/>
            </w:pPr>
            <w:r>
              <w:t>43</w:t>
            </w:r>
          </w:p>
        </w:tc>
      </w:tr>
      <w:tr>
        <w:trPr>
          <w:cantSplit/>
          <w:trHeight w:val="20"/>
        </w:trPr>
        <w:tc>
          <w:tcPr>
            <w:tcW w:w="993" w:type="dxa"/>
            <w:vAlign w:val="center"/>
          </w:tcPr>
          <w:p>
            <w:pPr>
              <w:widowControl w:val="0"/>
              <w:jc w:val="center"/>
            </w:pPr>
            <w:r>
              <w:t>10</w:t>
            </w:r>
          </w:p>
        </w:tc>
        <w:tc>
          <w:tcPr>
            <w:tcW w:w="850" w:type="dxa"/>
            <w:vAlign w:val="center"/>
          </w:tcPr>
          <w:p>
            <w:pPr>
              <w:widowControl w:val="0"/>
              <w:jc w:val="center"/>
            </w:pPr>
            <w:r>
              <w:t>80</w:t>
            </w:r>
          </w:p>
        </w:tc>
        <w:tc>
          <w:tcPr>
            <w:tcW w:w="935" w:type="dxa"/>
            <w:vAlign w:val="center"/>
          </w:tcPr>
          <w:p>
            <w:pPr>
              <w:widowControl w:val="0"/>
              <w:jc w:val="center"/>
            </w:pPr>
            <w:r>
              <w:t>70</w:t>
            </w:r>
          </w:p>
        </w:tc>
        <w:tc>
          <w:tcPr>
            <w:tcW w:w="936" w:type="dxa"/>
            <w:vAlign w:val="center"/>
          </w:tcPr>
          <w:p>
            <w:pPr>
              <w:widowControl w:val="0"/>
              <w:jc w:val="center"/>
            </w:pPr>
            <w:r>
              <w:t>60</w:t>
            </w:r>
          </w:p>
        </w:tc>
        <w:tc>
          <w:tcPr>
            <w:tcW w:w="935" w:type="dxa"/>
            <w:vAlign w:val="center"/>
          </w:tcPr>
          <w:p>
            <w:pPr>
              <w:widowControl w:val="0"/>
              <w:jc w:val="center"/>
            </w:pPr>
            <w:r>
              <w:t>50</w:t>
            </w:r>
          </w:p>
        </w:tc>
        <w:tc>
          <w:tcPr>
            <w:tcW w:w="936" w:type="dxa"/>
            <w:vAlign w:val="center"/>
          </w:tcPr>
          <w:p>
            <w:pPr>
              <w:widowControl w:val="0"/>
              <w:jc w:val="center"/>
            </w:pPr>
            <w:r>
              <w:t>50</w:t>
            </w:r>
          </w:p>
        </w:tc>
        <w:tc>
          <w:tcPr>
            <w:tcW w:w="936" w:type="dxa"/>
            <w:vAlign w:val="center"/>
          </w:tcPr>
          <w:p>
            <w:pPr>
              <w:widowControl w:val="0"/>
              <w:jc w:val="center"/>
            </w:pPr>
            <w:r>
              <w:t>50</w:t>
            </w:r>
          </w:p>
        </w:tc>
      </w:tr>
      <w:tr>
        <w:trPr>
          <w:cantSplit/>
          <w:trHeight w:val="20"/>
        </w:trPr>
        <w:tc>
          <w:tcPr>
            <w:tcW w:w="993" w:type="dxa"/>
            <w:vAlign w:val="center"/>
          </w:tcPr>
          <w:p>
            <w:pPr>
              <w:widowControl w:val="0"/>
              <w:jc w:val="center"/>
            </w:pPr>
            <w:r>
              <w:t>16</w:t>
            </w:r>
          </w:p>
        </w:tc>
        <w:tc>
          <w:tcPr>
            <w:tcW w:w="850" w:type="dxa"/>
            <w:vAlign w:val="center"/>
          </w:tcPr>
          <w:p>
            <w:pPr>
              <w:widowControl w:val="0"/>
              <w:jc w:val="center"/>
            </w:pPr>
            <w:r>
              <w:t>100</w:t>
            </w:r>
          </w:p>
        </w:tc>
        <w:tc>
          <w:tcPr>
            <w:tcW w:w="935" w:type="dxa"/>
            <w:vAlign w:val="center"/>
          </w:tcPr>
          <w:p>
            <w:pPr>
              <w:widowControl w:val="0"/>
              <w:jc w:val="center"/>
            </w:pPr>
            <w:r>
              <w:t>85</w:t>
            </w:r>
          </w:p>
        </w:tc>
        <w:tc>
          <w:tcPr>
            <w:tcW w:w="936" w:type="dxa"/>
            <w:vAlign w:val="center"/>
          </w:tcPr>
          <w:p>
            <w:pPr>
              <w:widowControl w:val="0"/>
              <w:jc w:val="center"/>
            </w:pPr>
            <w:r>
              <w:t>80</w:t>
            </w:r>
          </w:p>
        </w:tc>
        <w:tc>
          <w:tcPr>
            <w:tcW w:w="935" w:type="dxa"/>
            <w:vAlign w:val="center"/>
          </w:tcPr>
          <w:p>
            <w:pPr>
              <w:widowControl w:val="0"/>
              <w:jc w:val="center"/>
            </w:pPr>
            <w:r>
              <w:t>75</w:t>
            </w:r>
          </w:p>
        </w:tc>
        <w:tc>
          <w:tcPr>
            <w:tcW w:w="936" w:type="dxa"/>
            <w:vAlign w:val="center"/>
          </w:tcPr>
          <w:p>
            <w:pPr>
              <w:widowControl w:val="0"/>
              <w:jc w:val="center"/>
            </w:pPr>
            <w:r>
              <w:t>80</w:t>
            </w:r>
          </w:p>
        </w:tc>
        <w:tc>
          <w:tcPr>
            <w:tcW w:w="936" w:type="dxa"/>
            <w:vAlign w:val="center"/>
          </w:tcPr>
          <w:p>
            <w:pPr>
              <w:widowControl w:val="0"/>
              <w:jc w:val="center"/>
            </w:pPr>
            <w:r>
              <w:t>70</w:t>
            </w:r>
          </w:p>
        </w:tc>
      </w:tr>
      <w:tr>
        <w:trPr>
          <w:cantSplit/>
          <w:trHeight w:val="20"/>
        </w:trPr>
        <w:tc>
          <w:tcPr>
            <w:tcW w:w="993" w:type="dxa"/>
            <w:vAlign w:val="center"/>
          </w:tcPr>
          <w:p>
            <w:pPr>
              <w:widowControl w:val="0"/>
              <w:jc w:val="center"/>
            </w:pPr>
            <w:r>
              <w:t>25</w:t>
            </w:r>
          </w:p>
        </w:tc>
        <w:tc>
          <w:tcPr>
            <w:tcW w:w="850" w:type="dxa"/>
            <w:vAlign w:val="center"/>
          </w:tcPr>
          <w:p>
            <w:pPr>
              <w:widowControl w:val="0"/>
              <w:jc w:val="center"/>
            </w:pPr>
            <w:r>
              <w:t>140</w:t>
            </w:r>
          </w:p>
        </w:tc>
        <w:tc>
          <w:tcPr>
            <w:tcW w:w="935" w:type="dxa"/>
            <w:vAlign w:val="center"/>
          </w:tcPr>
          <w:p>
            <w:pPr>
              <w:widowControl w:val="0"/>
              <w:jc w:val="center"/>
            </w:pPr>
            <w:r>
              <w:t>115</w:t>
            </w:r>
          </w:p>
        </w:tc>
        <w:tc>
          <w:tcPr>
            <w:tcW w:w="936" w:type="dxa"/>
            <w:vAlign w:val="center"/>
          </w:tcPr>
          <w:p>
            <w:pPr>
              <w:widowControl w:val="0"/>
              <w:jc w:val="center"/>
            </w:pPr>
            <w:r>
              <w:t>100</w:t>
            </w:r>
          </w:p>
        </w:tc>
        <w:tc>
          <w:tcPr>
            <w:tcW w:w="935" w:type="dxa"/>
            <w:vAlign w:val="center"/>
          </w:tcPr>
          <w:p>
            <w:pPr>
              <w:widowControl w:val="0"/>
              <w:jc w:val="center"/>
            </w:pPr>
            <w:r>
              <w:t>90</w:t>
            </w:r>
          </w:p>
        </w:tc>
        <w:tc>
          <w:tcPr>
            <w:tcW w:w="936" w:type="dxa"/>
            <w:vAlign w:val="center"/>
          </w:tcPr>
          <w:p>
            <w:pPr>
              <w:widowControl w:val="0"/>
              <w:jc w:val="center"/>
            </w:pPr>
            <w:r>
              <w:t>100</w:t>
            </w:r>
          </w:p>
        </w:tc>
        <w:tc>
          <w:tcPr>
            <w:tcW w:w="936" w:type="dxa"/>
            <w:vAlign w:val="center"/>
          </w:tcPr>
          <w:p>
            <w:pPr>
              <w:widowControl w:val="0"/>
              <w:jc w:val="center"/>
            </w:pPr>
            <w:r>
              <w:t>85</w:t>
            </w:r>
          </w:p>
        </w:tc>
      </w:tr>
      <w:tr>
        <w:trPr>
          <w:cantSplit/>
          <w:trHeight w:val="20"/>
        </w:trPr>
        <w:tc>
          <w:tcPr>
            <w:tcW w:w="993" w:type="dxa"/>
            <w:vAlign w:val="center"/>
          </w:tcPr>
          <w:p>
            <w:pPr>
              <w:widowControl w:val="0"/>
              <w:jc w:val="center"/>
            </w:pPr>
            <w:r>
              <w:t>35</w:t>
            </w:r>
          </w:p>
        </w:tc>
        <w:tc>
          <w:tcPr>
            <w:tcW w:w="850" w:type="dxa"/>
            <w:vAlign w:val="center"/>
          </w:tcPr>
          <w:p>
            <w:pPr>
              <w:widowControl w:val="0"/>
              <w:jc w:val="center"/>
            </w:pPr>
            <w:r>
              <w:t>170</w:t>
            </w:r>
          </w:p>
        </w:tc>
        <w:tc>
          <w:tcPr>
            <w:tcW w:w="935" w:type="dxa"/>
            <w:vAlign w:val="center"/>
          </w:tcPr>
          <w:p>
            <w:pPr>
              <w:widowControl w:val="0"/>
              <w:jc w:val="center"/>
            </w:pPr>
            <w:r>
              <w:t>135</w:t>
            </w:r>
          </w:p>
        </w:tc>
        <w:tc>
          <w:tcPr>
            <w:tcW w:w="936" w:type="dxa"/>
            <w:vAlign w:val="center"/>
          </w:tcPr>
          <w:p>
            <w:pPr>
              <w:widowControl w:val="0"/>
              <w:jc w:val="center"/>
            </w:pPr>
            <w:r>
              <w:t>125</w:t>
            </w:r>
          </w:p>
        </w:tc>
        <w:tc>
          <w:tcPr>
            <w:tcW w:w="935" w:type="dxa"/>
            <w:vAlign w:val="center"/>
          </w:tcPr>
          <w:p>
            <w:pPr>
              <w:widowControl w:val="0"/>
              <w:jc w:val="center"/>
            </w:pPr>
            <w:r>
              <w:t>115</w:t>
            </w:r>
          </w:p>
        </w:tc>
        <w:tc>
          <w:tcPr>
            <w:tcW w:w="936" w:type="dxa"/>
            <w:vAlign w:val="center"/>
          </w:tcPr>
          <w:p>
            <w:pPr>
              <w:widowControl w:val="0"/>
              <w:jc w:val="center"/>
            </w:pPr>
            <w:r>
              <w:t>125</w:t>
            </w:r>
          </w:p>
        </w:tc>
        <w:tc>
          <w:tcPr>
            <w:tcW w:w="936" w:type="dxa"/>
            <w:vAlign w:val="center"/>
          </w:tcPr>
          <w:p>
            <w:pPr>
              <w:widowControl w:val="0"/>
              <w:jc w:val="center"/>
            </w:pPr>
            <w:r>
              <w:t>100</w:t>
            </w:r>
          </w:p>
        </w:tc>
      </w:tr>
      <w:tr>
        <w:trPr>
          <w:cantSplit/>
          <w:trHeight w:val="20"/>
        </w:trPr>
        <w:tc>
          <w:tcPr>
            <w:tcW w:w="993" w:type="dxa"/>
            <w:vAlign w:val="center"/>
          </w:tcPr>
          <w:p>
            <w:pPr>
              <w:widowControl w:val="0"/>
              <w:jc w:val="center"/>
            </w:pPr>
            <w:r>
              <w:t>50</w:t>
            </w:r>
          </w:p>
        </w:tc>
        <w:tc>
          <w:tcPr>
            <w:tcW w:w="850" w:type="dxa"/>
            <w:vAlign w:val="center"/>
          </w:tcPr>
          <w:p>
            <w:pPr>
              <w:widowControl w:val="0"/>
              <w:jc w:val="center"/>
            </w:pPr>
            <w:r>
              <w:t>215</w:t>
            </w:r>
          </w:p>
        </w:tc>
        <w:tc>
          <w:tcPr>
            <w:tcW w:w="935" w:type="dxa"/>
            <w:vAlign w:val="center"/>
          </w:tcPr>
          <w:p>
            <w:pPr>
              <w:widowControl w:val="0"/>
              <w:jc w:val="center"/>
            </w:pPr>
            <w:r>
              <w:t>185</w:t>
            </w:r>
          </w:p>
        </w:tc>
        <w:tc>
          <w:tcPr>
            <w:tcW w:w="936" w:type="dxa"/>
            <w:vAlign w:val="center"/>
          </w:tcPr>
          <w:p>
            <w:pPr>
              <w:widowControl w:val="0"/>
              <w:jc w:val="center"/>
            </w:pPr>
            <w:r>
              <w:t>170</w:t>
            </w:r>
          </w:p>
        </w:tc>
        <w:tc>
          <w:tcPr>
            <w:tcW w:w="935" w:type="dxa"/>
            <w:vAlign w:val="center"/>
          </w:tcPr>
          <w:p>
            <w:pPr>
              <w:widowControl w:val="0"/>
              <w:jc w:val="center"/>
            </w:pPr>
            <w:r>
              <w:t>150</w:t>
            </w:r>
          </w:p>
        </w:tc>
        <w:tc>
          <w:tcPr>
            <w:tcW w:w="936" w:type="dxa"/>
            <w:vAlign w:val="center"/>
          </w:tcPr>
          <w:p>
            <w:pPr>
              <w:widowControl w:val="0"/>
              <w:jc w:val="center"/>
            </w:pPr>
            <w:r>
              <w:t>160</w:t>
            </w:r>
          </w:p>
        </w:tc>
        <w:tc>
          <w:tcPr>
            <w:tcW w:w="936" w:type="dxa"/>
            <w:vAlign w:val="center"/>
          </w:tcPr>
          <w:p>
            <w:pPr>
              <w:widowControl w:val="0"/>
              <w:jc w:val="center"/>
            </w:pPr>
            <w:r>
              <w:t>135</w:t>
            </w:r>
          </w:p>
        </w:tc>
      </w:tr>
      <w:tr>
        <w:trPr>
          <w:cantSplit/>
          <w:trHeight w:val="20"/>
        </w:trPr>
        <w:tc>
          <w:tcPr>
            <w:tcW w:w="993" w:type="dxa"/>
            <w:vAlign w:val="center"/>
          </w:tcPr>
          <w:p>
            <w:pPr>
              <w:widowControl w:val="0"/>
              <w:jc w:val="center"/>
            </w:pPr>
            <w:r>
              <w:t>70</w:t>
            </w:r>
          </w:p>
        </w:tc>
        <w:tc>
          <w:tcPr>
            <w:tcW w:w="850" w:type="dxa"/>
            <w:vAlign w:val="center"/>
          </w:tcPr>
          <w:p>
            <w:pPr>
              <w:widowControl w:val="0"/>
              <w:jc w:val="center"/>
            </w:pPr>
            <w:r>
              <w:t>270</w:t>
            </w:r>
          </w:p>
        </w:tc>
        <w:tc>
          <w:tcPr>
            <w:tcW w:w="935" w:type="dxa"/>
            <w:vAlign w:val="center"/>
          </w:tcPr>
          <w:p>
            <w:pPr>
              <w:widowControl w:val="0"/>
              <w:jc w:val="center"/>
            </w:pPr>
            <w:r>
              <w:t>225</w:t>
            </w:r>
          </w:p>
        </w:tc>
        <w:tc>
          <w:tcPr>
            <w:tcW w:w="936" w:type="dxa"/>
            <w:vAlign w:val="center"/>
          </w:tcPr>
          <w:p>
            <w:pPr>
              <w:widowControl w:val="0"/>
              <w:jc w:val="center"/>
            </w:pPr>
            <w:r>
              <w:t>210</w:t>
            </w:r>
          </w:p>
        </w:tc>
        <w:tc>
          <w:tcPr>
            <w:tcW w:w="935" w:type="dxa"/>
            <w:vAlign w:val="center"/>
          </w:tcPr>
          <w:p>
            <w:pPr>
              <w:widowControl w:val="0"/>
              <w:jc w:val="center"/>
            </w:pPr>
            <w:r>
              <w:t>185</w:t>
            </w:r>
          </w:p>
        </w:tc>
        <w:tc>
          <w:tcPr>
            <w:tcW w:w="936" w:type="dxa"/>
            <w:vAlign w:val="center"/>
          </w:tcPr>
          <w:p>
            <w:pPr>
              <w:widowControl w:val="0"/>
              <w:jc w:val="center"/>
            </w:pPr>
            <w:r>
              <w:t>195</w:t>
            </w:r>
          </w:p>
        </w:tc>
        <w:tc>
          <w:tcPr>
            <w:tcW w:w="936" w:type="dxa"/>
            <w:vAlign w:val="center"/>
          </w:tcPr>
          <w:p>
            <w:pPr>
              <w:widowControl w:val="0"/>
              <w:jc w:val="center"/>
            </w:pPr>
            <w:r>
              <w:t>175</w:t>
            </w:r>
          </w:p>
        </w:tc>
      </w:tr>
      <w:tr>
        <w:trPr>
          <w:cantSplit/>
          <w:trHeight w:val="20"/>
        </w:trPr>
        <w:tc>
          <w:tcPr>
            <w:tcW w:w="993" w:type="dxa"/>
            <w:vAlign w:val="center"/>
          </w:tcPr>
          <w:p>
            <w:pPr>
              <w:widowControl w:val="0"/>
              <w:jc w:val="center"/>
            </w:pPr>
            <w:r>
              <w:t>95</w:t>
            </w:r>
          </w:p>
        </w:tc>
        <w:tc>
          <w:tcPr>
            <w:tcW w:w="850" w:type="dxa"/>
            <w:vAlign w:val="center"/>
          </w:tcPr>
          <w:p>
            <w:pPr>
              <w:widowControl w:val="0"/>
              <w:jc w:val="center"/>
            </w:pPr>
            <w:r>
              <w:t>330</w:t>
            </w:r>
          </w:p>
        </w:tc>
        <w:tc>
          <w:tcPr>
            <w:tcW w:w="935" w:type="dxa"/>
            <w:vAlign w:val="center"/>
          </w:tcPr>
          <w:p>
            <w:pPr>
              <w:widowControl w:val="0"/>
              <w:jc w:val="center"/>
            </w:pPr>
            <w:r>
              <w:t>275</w:t>
            </w:r>
          </w:p>
        </w:tc>
        <w:tc>
          <w:tcPr>
            <w:tcW w:w="936" w:type="dxa"/>
            <w:vAlign w:val="center"/>
          </w:tcPr>
          <w:p>
            <w:pPr>
              <w:widowControl w:val="0"/>
              <w:jc w:val="center"/>
            </w:pPr>
            <w:r>
              <w:t>255</w:t>
            </w:r>
          </w:p>
        </w:tc>
        <w:tc>
          <w:tcPr>
            <w:tcW w:w="935" w:type="dxa"/>
            <w:vAlign w:val="center"/>
          </w:tcPr>
          <w:p>
            <w:pPr>
              <w:widowControl w:val="0"/>
              <w:jc w:val="center"/>
            </w:pPr>
            <w:r>
              <w:t>225</w:t>
            </w:r>
          </w:p>
        </w:tc>
        <w:tc>
          <w:tcPr>
            <w:tcW w:w="936" w:type="dxa"/>
            <w:vAlign w:val="center"/>
          </w:tcPr>
          <w:p>
            <w:pPr>
              <w:widowControl w:val="0"/>
              <w:jc w:val="center"/>
            </w:pPr>
            <w:r>
              <w:t>245</w:t>
            </w:r>
          </w:p>
        </w:tc>
        <w:tc>
          <w:tcPr>
            <w:tcW w:w="936" w:type="dxa"/>
            <w:vAlign w:val="center"/>
          </w:tcPr>
          <w:p>
            <w:pPr>
              <w:widowControl w:val="0"/>
              <w:jc w:val="center"/>
            </w:pPr>
            <w:r>
              <w:t>215</w:t>
            </w:r>
          </w:p>
        </w:tc>
      </w:tr>
      <w:tr>
        <w:trPr>
          <w:cantSplit/>
          <w:trHeight w:val="20"/>
        </w:trPr>
        <w:tc>
          <w:tcPr>
            <w:tcW w:w="993" w:type="dxa"/>
            <w:vAlign w:val="center"/>
          </w:tcPr>
          <w:p>
            <w:pPr>
              <w:widowControl w:val="0"/>
              <w:jc w:val="center"/>
            </w:pPr>
            <w:r>
              <w:t>120</w:t>
            </w:r>
          </w:p>
        </w:tc>
        <w:tc>
          <w:tcPr>
            <w:tcW w:w="850" w:type="dxa"/>
            <w:vAlign w:val="center"/>
          </w:tcPr>
          <w:p>
            <w:pPr>
              <w:widowControl w:val="0"/>
              <w:jc w:val="center"/>
            </w:pPr>
            <w:r>
              <w:t>385</w:t>
            </w:r>
          </w:p>
        </w:tc>
        <w:tc>
          <w:tcPr>
            <w:tcW w:w="935" w:type="dxa"/>
            <w:vAlign w:val="center"/>
          </w:tcPr>
          <w:p>
            <w:pPr>
              <w:widowControl w:val="0"/>
              <w:jc w:val="center"/>
            </w:pPr>
            <w:r>
              <w:t>315</w:t>
            </w:r>
          </w:p>
        </w:tc>
        <w:tc>
          <w:tcPr>
            <w:tcW w:w="936" w:type="dxa"/>
            <w:vAlign w:val="center"/>
          </w:tcPr>
          <w:p>
            <w:pPr>
              <w:widowControl w:val="0"/>
              <w:jc w:val="center"/>
            </w:pPr>
            <w:r>
              <w:t>290</w:t>
            </w:r>
          </w:p>
        </w:tc>
        <w:tc>
          <w:tcPr>
            <w:tcW w:w="935" w:type="dxa"/>
            <w:vAlign w:val="center"/>
          </w:tcPr>
          <w:p>
            <w:pPr>
              <w:widowControl w:val="0"/>
              <w:jc w:val="center"/>
            </w:pPr>
            <w:r>
              <w:t>260</w:t>
            </w:r>
          </w:p>
        </w:tc>
        <w:tc>
          <w:tcPr>
            <w:tcW w:w="936" w:type="dxa"/>
            <w:vAlign w:val="center"/>
          </w:tcPr>
          <w:p>
            <w:pPr>
              <w:widowControl w:val="0"/>
              <w:jc w:val="center"/>
            </w:pPr>
            <w:r>
              <w:t>295</w:t>
            </w:r>
          </w:p>
        </w:tc>
        <w:tc>
          <w:tcPr>
            <w:tcW w:w="936" w:type="dxa"/>
            <w:vAlign w:val="center"/>
          </w:tcPr>
          <w:p>
            <w:pPr>
              <w:widowControl w:val="0"/>
              <w:jc w:val="center"/>
            </w:pPr>
            <w:r>
              <w:t>250</w:t>
            </w:r>
          </w:p>
        </w:tc>
      </w:tr>
      <w:tr>
        <w:trPr>
          <w:cantSplit/>
          <w:trHeight w:val="20"/>
        </w:trPr>
        <w:tc>
          <w:tcPr>
            <w:tcW w:w="993" w:type="dxa"/>
            <w:vAlign w:val="center"/>
          </w:tcPr>
          <w:p>
            <w:pPr>
              <w:widowControl w:val="0"/>
              <w:jc w:val="center"/>
            </w:pPr>
            <w:r>
              <w:t>150</w:t>
            </w:r>
          </w:p>
        </w:tc>
        <w:tc>
          <w:tcPr>
            <w:tcW w:w="850" w:type="dxa"/>
            <w:vAlign w:val="center"/>
          </w:tcPr>
          <w:p>
            <w:pPr>
              <w:widowControl w:val="0"/>
              <w:jc w:val="center"/>
            </w:pPr>
            <w:r>
              <w:t>440</w:t>
            </w:r>
          </w:p>
        </w:tc>
        <w:tc>
          <w:tcPr>
            <w:tcW w:w="935" w:type="dxa"/>
            <w:vAlign w:val="center"/>
          </w:tcPr>
          <w:p>
            <w:pPr>
              <w:widowControl w:val="0"/>
              <w:jc w:val="center"/>
            </w:pPr>
            <w:r>
              <w:t>360</w:t>
            </w:r>
          </w:p>
        </w:tc>
        <w:tc>
          <w:tcPr>
            <w:tcW w:w="936" w:type="dxa"/>
            <w:vAlign w:val="center"/>
          </w:tcPr>
          <w:p>
            <w:pPr>
              <w:widowControl w:val="0"/>
              <w:jc w:val="center"/>
            </w:pPr>
            <w:r>
              <w:t>330</w:t>
            </w:r>
          </w:p>
        </w:tc>
        <w:tc>
          <w:tcPr>
            <w:tcW w:w="935" w:type="dxa"/>
            <w:vAlign w:val="center"/>
          </w:tcPr>
          <w:p>
            <w:pPr>
              <w:widowControl w:val="0"/>
              <w:jc w:val="center"/>
            </w:pPr>
            <w:r>
              <w:t>–</w:t>
            </w:r>
          </w:p>
        </w:tc>
        <w:tc>
          <w:tcPr>
            <w:tcW w:w="936" w:type="dxa"/>
            <w:vAlign w:val="center"/>
          </w:tcPr>
          <w:p>
            <w:pPr>
              <w:widowControl w:val="0"/>
              <w:jc w:val="center"/>
            </w:pPr>
            <w:r>
              <w:t>–</w:t>
            </w:r>
          </w:p>
        </w:tc>
        <w:tc>
          <w:tcPr>
            <w:tcW w:w="936" w:type="dxa"/>
            <w:vAlign w:val="center"/>
          </w:tcPr>
          <w:p>
            <w:pPr>
              <w:widowControl w:val="0"/>
              <w:jc w:val="center"/>
            </w:pPr>
            <w:r>
              <w:t>–</w:t>
            </w:r>
          </w:p>
        </w:tc>
      </w:tr>
    </w:tbl>
    <w:p>
      <w:pPr>
        <w:widowControl w:val="0"/>
        <w:ind w:firstLine="567"/>
        <w:jc w:val="both"/>
        <w:rPr>
          <w:b/>
          <w:bCs/>
        </w:rPr>
      </w:pPr>
    </w:p>
    <w:p>
      <w:pPr>
        <w:widowControl w:val="0"/>
        <w:ind w:firstLine="567"/>
        <w:jc w:val="both"/>
        <w:rPr>
          <w:b/>
          <w:bCs/>
        </w:rPr>
      </w:pPr>
      <w:r>
        <w:rPr>
          <w:b/>
          <w:bCs/>
        </w:rPr>
        <w:t>5 lentelė. Atvirai ir vamzdžiuose tiesiamų iki 1000 V įtampos aliumininių laidų gumine ir polivinilchloridine izoliacija leistinoji ilgalaikė srovė</w:t>
      </w:r>
    </w:p>
    <w:p>
      <w:pPr>
        <w:widowControl w:val="0"/>
        <w:ind w:firstLine="567"/>
        <w:jc w:val="both"/>
        <w:rPr>
          <w:b/>
          <w:bCs/>
        </w:rPr>
      </w:pPr>
    </w:p>
    <w:p>
      <w:pPr>
        <w:widowControl w:val="0"/>
        <w:ind w:firstLine="567"/>
        <w:jc w:val="both"/>
      </w:pPr>
      <w:r>
        <w:t xml:space="preserve">Temperatūra: laidų +65 </w:t>
      </w:r>
      <w:r>
        <w:rPr>
          <w:b/>
          <w:bCs/>
          <w:vertAlign w:val="superscript"/>
        </w:rPr>
        <w:t>o</w:t>
      </w:r>
      <w:r>
        <w:rPr>
          <w:b/>
          <w:bCs/>
        </w:rPr>
        <w:t>C</w:t>
      </w:r>
      <w:r>
        <w:t xml:space="preserve">, oro +25 </w:t>
      </w:r>
      <w:r>
        <w:rPr>
          <w:b/>
          <w:bCs/>
          <w:vertAlign w:val="superscript"/>
        </w:rPr>
        <w:t>o</w:t>
      </w:r>
      <w:r>
        <w:rPr>
          <w:b/>
          <w:bCs/>
        </w:rPr>
        <w:t>C</w:t>
      </w:r>
      <w:r>
        <w:t>.</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2"/>
        <w:gridCol w:w="1182"/>
        <w:gridCol w:w="1300"/>
        <w:gridCol w:w="1302"/>
        <w:gridCol w:w="1300"/>
        <w:gridCol w:w="1302"/>
        <w:gridCol w:w="1302"/>
      </w:tblGrid>
      <w:tr>
        <w:trPr>
          <w:cantSplit/>
          <w:trHeight w:val="20"/>
          <w:tblHeader/>
        </w:trPr>
        <w:tc>
          <w:tcPr>
            <w:tcW w:w="993" w:type="dxa"/>
            <w:vMerge w:val="restart"/>
            <w:vAlign w:val="center"/>
          </w:tcPr>
          <w:p>
            <w:pPr>
              <w:widowControl w:val="0"/>
              <w:jc w:val="center"/>
              <w:rPr>
                <w:vertAlign w:val="superscript"/>
              </w:rPr>
            </w:pPr>
            <w:r>
              <w:t>Laido skerspjūvis, mm</w:t>
            </w:r>
            <w:r>
              <w:rPr>
                <w:vertAlign w:val="superscript"/>
              </w:rPr>
              <w:t>2</w:t>
            </w:r>
          </w:p>
        </w:tc>
        <w:tc>
          <w:tcPr>
            <w:tcW w:w="5528" w:type="dxa"/>
            <w:gridSpan w:val="6"/>
            <w:vAlign w:val="center"/>
          </w:tcPr>
          <w:p>
            <w:pPr>
              <w:widowControl w:val="0"/>
              <w:jc w:val="center"/>
            </w:pPr>
            <w:r>
              <w:t>Laidų leistinoji ilgalaikė srovė, A</w:t>
            </w:r>
          </w:p>
        </w:tc>
      </w:tr>
      <w:tr>
        <w:trPr>
          <w:cantSplit/>
          <w:trHeight w:val="20"/>
          <w:tblHeader/>
        </w:trPr>
        <w:tc>
          <w:tcPr>
            <w:tcW w:w="993" w:type="dxa"/>
            <w:vMerge/>
            <w:vAlign w:val="center"/>
          </w:tcPr>
          <w:p>
            <w:pPr>
              <w:widowControl w:val="0"/>
              <w:jc w:val="center"/>
            </w:pPr>
          </w:p>
        </w:tc>
        <w:tc>
          <w:tcPr>
            <w:tcW w:w="850" w:type="dxa"/>
            <w:vMerge w:val="restart"/>
            <w:vAlign w:val="center"/>
          </w:tcPr>
          <w:p>
            <w:pPr>
              <w:widowControl w:val="0"/>
              <w:jc w:val="center"/>
            </w:pPr>
            <w:r>
              <w:t>tiesiamų atvirai</w:t>
            </w:r>
          </w:p>
        </w:tc>
        <w:tc>
          <w:tcPr>
            <w:tcW w:w="4678" w:type="dxa"/>
            <w:gridSpan w:val="5"/>
            <w:vAlign w:val="center"/>
          </w:tcPr>
          <w:p>
            <w:pPr>
              <w:widowControl w:val="0"/>
              <w:jc w:val="center"/>
            </w:pPr>
            <w:r>
              <w:t>tiesiamų viename vamzdyje</w:t>
            </w:r>
          </w:p>
        </w:tc>
      </w:tr>
      <w:tr>
        <w:trPr>
          <w:cantSplit/>
          <w:trHeight w:val="20"/>
          <w:tblHeader/>
        </w:trPr>
        <w:tc>
          <w:tcPr>
            <w:tcW w:w="993" w:type="dxa"/>
            <w:vMerge/>
            <w:vAlign w:val="center"/>
          </w:tcPr>
          <w:p>
            <w:pPr>
              <w:widowControl w:val="0"/>
              <w:jc w:val="center"/>
            </w:pPr>
          </w:p>
        </w:tc>
        <w:tc>
          <w:tcPr>
            <w:tcW w:w="850" w:type="dxa"/>
            <w:vMerge/>
            <w:vAlign w:val="center"/>
          </w:tcPr>
          <w:p>
            <w:pPr>
              <w:widowControl w:val="0"/>
              <w:jc w:val="center"/>
            </w:pPr>
          </w:p>
        </w:tc>
        <w:tc>
          <w:tcPr>
            <w:tcW w:w="935" w:type="dxa"/>
            <w:vAlign w:val="center"/>
          </w:tcPr>
          <w:p>
            <w:pPr>
              <w:widowControl w:val="0"/>
              <w:jc w:val="center"/>
            </w:pPr>
            <w:r>
              <w:t>dviejų</w:t>
            </w:r>
          </w:p>
          <w:p>
            <w:pPr>
              <w:widowControl w:val="0"/>
              <w:jc w:val="center"/>
            </w:pPr>
            <w:r>
              <w:t>viengyslių</w:t>
            </w:r>
          </w:p>
        </w:tc>
        <w:tc>
          <w:tcPr>
            <w:tcW w:w="936" w:type="dxa"/>
            <w:vAlign w:val="center"/>
          </w:tcPr>
          <w:p>
            <w:pPr>
              <w:widowControl w:val="0"/>
              <w:jc w:val="center"/>
            </w:pPr>
            <w:r>
              <w:t>trijų</w:t>
            </w:r>
          </w:p>
          <w:p>
            <w:pPr>
              <w:widowControl w:val="0"/>
              <w:jc w:val="center"/>
            </w:pPr>
            <w:r>
              <w:t>viengyslių</w:t>
            </w:r>
          </w:p>
        </w:tc>
        <w:tc>
          <w:tcPr>
            <w:tcW w:w="935" w:type="dxa"/>
            <w:vAlign w:val="center"/>
          </w:tcPr>
          <w:p>
            <w:pPr>
              <w:widowControl w:val="0"/>
              <w:jc w:val="center"/>
            </w:pPr>
            <w:r>
              <w:t>keturių</w:t>
            </w:r>
          </w:p>
          <w:p>
            <w:pPr>
              <w:widowControl w:val="0"/>
              <w:jc w:val="center"/>
            </w:pPr>
            <w:r>
              <w:t>viengyslių</w:t>
            </w:r>
          </w:p>
        </w:tc>
        <w:tc>
          <w:tcPr>
            <w:tcW w:w="936" w:type="dxa"/>
            <w:vAlign w:val="center"/>
          </w:tcPr>
          <w:p>
            <w:pPr>
              <w:widowControl w:val="0"/>
              <w:jc w:val="center"/>
            </w:pPr>
            <w:r>
              <w:t>vieno</w:t>
            </w:r>
          </w:p>
          <w:p>
            <w:pPr>
              <w:widowControl w:val="0"/>
              <w:jc w:val="center"/>
            </w:pPr>
            <w:r>
              <w:t>dvigyslio</w:t>
            </w:r>
          </w:p>
        </w:tc>
        <w:tc>
          <w:tcPr>
            <w:tcW w:w="936" w:type="dxa"/>
            <w:vAlign w:val="center"/>
          </w:tcPr>
          <w:p>
            <w:pPr>
              <w:widowControl w:val="0"/>
              <w:jc w:val="center"/>
            </w:pPr>
            <w:r>
              <w:t>vieno</w:t>
            </w:r>
          </w:p>
          <w:p>
            <w:pPr>
              <w:widowControl w:val="0"/>
              <w:jc w:val="center"/>
            </w:pPr>
            <w:r>
              <w:t>trigyslio</w:t>
            </w:r>
          </w:p>
        </w:tc>
      </w:tr>
      <w:tr>
        <w:trPr>
          <w:cantSplit/>
          <w:trHeight w:val="20"/>
        </w:trPr>
        <w:tc>
          <w:tcPr>
            <w:tcW w:w="993" w:type="dxa"/>
            <w:vAlign w:val="center"/>
          </w:tcPr>
          <w:p>
            <w:pPr>
              <w:widowControl w:val="0"/>
              <w:jc w:val="center"/>
            </w:pPr>
            <w:r>
              <w:t>2</w:t>
            </w:r>
          </w:p>
        </w:tc>
        <w:tc>
          <w:tcPr>
            <w:tcW w:w="850" w:type="dxa"/>
            <w:vAlign w:val="center"/>
          </w:tcPr>
          <w:p>
            <w:pPr>
              <w:widowControl w:val="0"/>
              <w:jc w:val="center"/>
            </w:pPr>
            <w:r>
              <w:t>21</w:t>
            </w:r>
          </w:p>
        </w:tc>
        <w:tc>
          <w:tcPr>
            <w:tcW w:w="935" w:type="dxa"/>
            <w:vAlign w:val="center"/>
          </w:tcPr>
          <w:p>
            <w:pPr>
              <w:widowControl w:val="0"/>
              <w:jc w:val="center"/>
            </w:pPr>
            <w:r>
              <w:t>19</w:t>
            </w:r>
          </w:p>
        </w:tc>
        <w:tc>
          <w:tcPr>
            <w:tcW w:w="936" w:type="dxa"/>
            <w:vAlign w:val="center"/>
          </w:tcPr>
          <w:p>
            <w:pPr>
              <w:widowControl w:val="0"/>
              <w:jc w:val="center"/>
            </w:pPr>
            <w:r>
              <w:t>18</w:t>
            </w:r>
          </w:p>
        </w:tc>
        <w:tc>
          <w:tcPr>
            <w:tcW w:w="935" w:type="dxa"/>
            <w:vAlign w:val="center"/>
          </w:tcPr>
          <w:p>
            <w:pPr>
              <w:widowControl w:val="0"/>
              <w:jc w:val="center"/>
            </w:pPr>
            <w:r>
              <w:t>15</w:t>
            </w:r>
          </w:p>
        </w:tc>
        <w:tc>
          <w:tcPr>
            <w:tcW w:w="936" w:type="dxa"/>
            <w:vAlign w:val="center"/>
          </w:tcPr>
          <w:p>
            <w:pPr>
              <w:widowControl w:val="0"/>
              <w:jc w:val="center"/>
            </w:pPr>
            <w:r>
              <w:t>17</w:t>
            </w:r>
          </w:p>
        </w:tc>
        <w:tc>
          <w:tcPr>
            <w:tcW w:w="936" w:type="dxa"/>
            <w:vAlign w:val="center"/>
          </w:tcPr>
          <w:p>
            <w:pPr>
              <w:widowControl w:val="0"/>
              <w:jc w:val="center"/>
            </w:pPr>
            <w:r>
              <w:t>14</w:t>
            </w:r>
          </w:p>
        </w:tc>
      </w:tr>
      <w:tr>
        <w:trPr>
          <w:cantSplit/>
          <w:trHeight w:val="20"/>
        </w:trPr>
        <w:tc>
          <w:tcPr>
            <w:tcW w:w="993" w:type="dxa"/>
            <w:vAlign w:val="center"/>
          </w:tcPr>
          <w:p>
            <w:pPr>
              <w:widowControl w:val="0"/>
              <w:jc w:val="center"/>
            </w:pPr>
            <w:r>
              <w:t>2,5</w:t>
            </w:r>
          </w:p>
        </w:tc>
        <w:tc>
          <w:tcPr>
            <w:tcW w:w="850" w:type="dxa"/>
            <w:vAlign w:val="center"/>
          </w:tcPr>
          <w:p>
            <w:pPr>
              <w:widowControl w:val="0"/>
              <w:jc w:val="center"/>
            </w:pPr>
            <w:r>
              <w:t>24</w:t>
            </w:r>
          </w:p>
        </w:tc>
        <w:tc>
          <w:tcPr>
            <w:tcW w:w="935" w:type="dxa"/>
            <w:vAlign w:val="center"/>
          </w:tcPr>
          <w:p>
            <w:pPr>
              <w:widowControl w:val="0"/>
              <w:jc w:val="center"/>
            </w:pPr>
            <w:r>
              <w:t>20</w:t>
            </w:r>
          </w:p>
        </w:tc>
        <w:tc>
          <w:tcPr>
            <w:tcW w:w="936" w:type="dxa"/>
            <w:vAlign w:val="center"/>
          </w:tcPr>
          <w:p>
            <w:pPr>
              <w:widowControl w:val="0"/>
              <w:jc w:val="center"/>
            </w:pPr>
            <w:r>
              <w:t>19</w:t>
            </w:r>
          </w:p>
        </w:tc>
        <w:tc>
          <w:tcPr>
            <w:tcW w:w="935" w:type="dxa"/>
            <w:vAlign w:val="center"/>
          </w:tcPr>
          <w:p>
            <w:pPr>
              <w:widowControl w:val="0"/>
              <w:jc w:val="center"/>
            </w:pPr>
            <w:r>
              <w:t>19</w:t>
            </w:r>
          </w:p>
        </w:tc>
        <w:tc>
          <w:tcPr>
            <w:tcW w:w="936" w:type="dxa"/>
            <w:vAlign w:val="center"/>
          </w:tcPr>
          <w:p>
            <w:pPr>
              <w:widowControl w:val="0"/>
              <w:jc w:val="center"/>
            </w:pPr>
            <w:r>
              <w:t>19</w:t>
            </w:r>
          </w:p>
        </w:tc>
        <w:tc>
          <w:tcPr>
            <w:tcW w:w="936" w:type="dxa"/>
            <w:vAlign w:val="center"/>
          </w:tcPr>
          <w:p>
            <w:pPr>
              <w:widowControl w:val="0"/>
              <w:jc w:val="center"/>
            </w:pPr>
            <w:r>
              <w:t>16</w:t>
            </w:r>
          </w:p>
        </w:tc>
      </w:tr>
      <w:tr>
        <w:trPr>
          <w:cantSplit/>
          <w:trHeight w:val="20"/>
        </w:trPr>
        <w:tc>
          <w:tcPr>
            <w:tcW w:w="993" w:type="dxa"/>
            <w:vAlign w:val="center"/>
          </w:tcPr>
          <w:p>
            <w:pPr>
              <w:widowControl w:val="0"/>
              <w:jc w:val="center"/>
            </w:pPr>
            <w:r>
              <w:t>3</w:t>
            </w:r>
          </w:p>
        </w:tc>
        <w:tc>
          <w:tcPr>
            <w:tcW w:w="850" w:type="dxa"/>
            <w:vAlign w:val="center"/>
          </w:tcPr>
          <w:p>
            <w:pPr>
              <w:widowControl w:val="0"/>
              <w:jc w:val="center"/>
            </w:pPr>
            <w:r>
              <w:t>27</w:t>
            </w:r>
          </w:p>
        </w:tc>
        <w:tc>
          <w:tcPr>
            <w:tcW w:w="935" w:type="dxa"/>
            <w:vAlign w:val="center"/>
          </w:tcPr>
          <w:p>
            <w:pPr>
              <w:widowControl w:val="0"/>
              <w:jc w:val="center"/>
            </w:pPr>
            <w:r>
              <w:t>24</w:t>
            </w:r>
          </w:p>
        </w:tc>
        <w:tc>
          <w:tcPr>
            <w:tcW w:w="936" w:type="dxa"/>
            <w:vAlign w:val="center"/>
          </w:tcPr>
          <w:p>
            <w:pPr>
              <w:widowControl w:val="0"/>
              <w:jc w:val="center"/>
            </w:pPr>
            <w:r>
              <w:t>22</w:t>
            </w:r>
          </w:p>
        </w:tc>
        <w:tc>
          <w:tcPr>
            <w:tcW w:w="935" w:type="dxa"/>
            <w:vAlign w:val="center"/>
          </w:tcPr>
          <w:p>
            <w:pPr>
              <w:widowControl w:val="0"/>
              <w:jc w:val="center"/>
            </w:pPr>
            <w:r>
              <w:t>21</w:t>
            </w:r>
          </w:p>
        </w:tc>
        <w:tc>
          <w:tcPr>
            <w:tcW w:w="936" w:type="dxa"/>
            <w:vAlign w:val="center"/>
          </w:tcPr>
          <w:p>
            <w:pPr>
              <w:widowControl w:val="0"/>
              <w:jc w:val="center"/>
            </w:pPr>
            <w:r>
              <w:t>22</w:t>
            </w:r>
          </w:p>
        </w:tc>
        <w:tc>
          <w:tcPr>
            <w:tcW w:w="936" w:type="dxa"/>
            <w:vAlign w:val="center"/>
          </w:tcPr>
          <w:p>
            <w:pPr>
              <w:widowControl w:val="0"/>
              <w:jc w:val="center"/>
            </w:pPr>
            <w:r>
              <w:t>18</w:t>
            </w:r>
          </w:p>
        </w:tc>
      </w:tr>
      <w:tr>
        <w:trPr>
          <w:cantSplit/>
          <w:trHeight w:val="20"/>
        </w:trPr>
        <w:tc>
          <w:tcPr>
            <w:tcW w:w="993" w:type="dxa"/>
            <w:vAlign w:val="center"/>
          </w:tcPr>
          <w:p>
            <w:pPr>
              <w:widowControl w:val="0"/>
              <w:jc w:val="center"/>
            </w:pPr>
            <w:r>
              <w:t>4</w:t>
            </w:r>
          </w:p>
        </w:tc>
        <w:tc>
          <w:tcPr>
            <w:tcW w:w="850" w:type="dxa"/>
            <w:vAlign w:val="center"/>
          </w:tcPr>
          <w:p>
            <w:pPr>
              <w:widowControl w:val="0"/>
              <w:jc w:val="center"/>
            </w:pPr>
            <w:r>
              <w:t>32</w:t>
            </w:r>
          </w:p>
        </w:tc>
        <w:tc>
          <w:tcPr>
            <w:tcW w:w="935" w:type="dxa"/>
            <w:vAlign w:val="center"/>
          </w:tcPr>
          <w:p>
            <w:pPr>
              <w:widowControl w:val="0"/>
              <w:jc w:val="center"/>
            </w:pPr>
            <w:r>
              <w:t>28</w:t>
            </w:r>
          </w:p>
        </w:tc>
        <w:tc>
          <w:tcPr>
            <w:tcW w:w="936" w:type="dxa"/>
            <w:vAlign w:val="center"/>
          </w:tcPr>
          <w:p>
            <w:pPr>
              <w:widowControl w:val="0"/>
              <w:jc w:val="center"/>
            </w:pPr>
            <w:r>
              <w:t>28</w:t>
            </w:r>
          </w:p>
        </w:tc>
        <w:tc>
          <w:tcPr>
            <w:tcW w:w="935" w:type="dxa"/>
            <w:vAlign w:val="center"/>
          </w:tcPr>
          <w:p>
            <w:pPr>
              <w:widowControl w:val="0"/>
              <w:jc w:val="center"/>
            </w:pPr>
            <w:r>
              <w:t>23</w:t>
            </w:r>
          </w:p>
        </w:tc>
        <w:tc>
          <w:tcPr>
            <w:tcW w:w="936" w:type="dxa"/>
            <w:vAlign w:val="center"/>
          </w:tcPr>
          <w:p>
            <w:pPr>
              <w:widowControl w:val="0"/>
              <w:jc w:val="center"/>
            </w:pPr>
            <w:r>
              <w:t>25</w:t>
            </w:r>
          </w:p>
        </w:tc>
        <w:tc>
          <w:tcPr>
            <w:tcW w:w="936" w:type="dxa"/>
            <w:vAlign w:val="center"/>
          </w:tcPr>
          <w:p>
            <w:pPr>
              <w:widowControl w:val="0"/>
              <w:jc w:val="center"/>
            </w:pPr>
            <w:r>
              <w:t>21</w:t>
            </w:r>
          </w:p>
        </w:tc>
      </w:tr>
      <w:tr>
        <w:trPr>
          <w:cantSplit/>
          <w:trHeight w:val="20"/>
        </w:trPr>
        <w:tc>
          <w:tcPr>
            <w:tcW w:w="993" w:type="dxa"/>
            <w:vAlign w:val="center"/>
          </w:tcPr>
          <w:p>
            <w:pPr>
              <w:widowControl w:val="0"/>
              <w:jc w:val="center"/>
            </w:pPr>
            <w:r>
              <w:t>5</w:t>
            </w:r>
          </w:p>
        </w:tc>
        <w:tc>
          <w:tcPr>
            <w:tcW w:w="850" w:type="dxa"/>
            <w:vAlign w:val="center"/>
          </w:tcPr>
          <w:p>
            <w:pPr>
              <w:widowControl w:val="0"/>
              <w:jc w:val="center"/>
            </w:pPr>
            <w:r>
              <w:t>36</w:t>
            </w:r>
          </w:p>
        </w:tc>
        <w:tc>
          <w:tcPr>
            <w:tcW w:w="935" w:type="dxa"/>
            <w:vAlign w:val="center"/>
          </w:tcPr>
          <w:p>
            <w:pPr>
              <w:widowControl w:val="0"/>
              <w:jc w:val="center"/>
            </w:pPr>
            <w:r>
              <w:t>32</w:t>
            </w:r>
          </w:p>
        </w:tc>
        <w:tc>
          <w:tcPr>
            <w:tcW w:w="936" w:type="dxa"/>
            <w:vAlign w:val="center"/>
          </w:tcPr>
          <w:p>
            <w:pPr>
              <w:widowControl w:val="0"/>
              <w:jc w:val="center"/>
            </w:pPr>
            <w:r>
              <w:t>30</w:t>
            </w:r>
          </w:p>
        </w:tc>
        <w:tc>
          <w:tcPr>
            <w:tcW w:w="935" w:type="dxa"/>
            <w:vAlign w:val="center"/>
          </w:tcPr>
          <w:p>
            <w:pPr>
              <w:widowControl w:val="0"/>
              <w:jc w:val="center"/>
            </w:pPr>
            <w:r>
              <w:t>27</w:t>
            </w:r>
          </w:p>
        </w:tc>
        <w:tc>
          <w:tcPr>
            <w:tcW w:w="936" w:type="dxa"/>
            <w:vAlign w:val="center"/>
          </w:tcPr>
          <w:p>
            <w:pPr>
              <w:widowControl w:val="0"/>
              <w:jc w:val="center"/>
            </w:pPr>
            <w:r>
              <w:t>28</w:t>
            </w:r>
          </w:p>
        </w:tc>
        <w:tc>
          <w:tcPr>
            <w:tcW w:w="936" w:type="dxa"/>
            <w:vAlign w:val="center"/>
          </w:tcPr>
          <w:p>
            <w:pPr>
              <w:widowControl w:val="0"/>
              <w:jc w:val="center"/>
            </w:pPr>
            <w:r>
              <w:t>24</w:t>
            </w:r>
          </w:p>
        </w:tc>
      </w:tr>
      <w:tr>
        <w:trPr>
          <w:cantSplit/>
          <w:trHeight w:val="20"/>
        </w:trPr>
        <w:tc>
          <w:tcPr>
            <w:tcW w:w="993" w:type="dxa"/>
            <w:vAlign w:val="center"/>
          </w:tcPr>
          <w:p>
            <w:pPr>
              <w:widowControl w:val="0"/>
              <w:jc w:val="center"/>
            </w:pPr>
            <w:r>
              <w:t>6</w:t>
            </w:r>
          </w:p>
        </w:tc>
        <w:tc>
          <w:tcPr>
            <w:tcW w:w="850" w:type="dxa"/>
            <w:vAlign w:val="center"/>
          </w:tcPr>
          <w:p>
            <w:pPr>
              <w:widowControl w:val="0"/>
              <w:jc w:val="center"/>
            </w:pPr>
            <w:r>
              <w:t>39</w:t>
            </w:r>
          </w:p>
        </w:tc>
        <w:tc>
          <w:tcPr>
            <w:tcW w:w="935" w:type="dxa"/>
            <w:vAlign w:val="center"/>
          </w:tcPr>
          <w:p>
            <w:pPr>
              <w:widowControl w:val="0"/>
              <w:jc w:val="center"/>
            </w:pPr>
            <w:r>
              <w:t>36</w:t>
            </w:r>
          </w:p>
        </w:tc>
        <w:tc>
          <w:tcPr>
            <w:tcW w:w="936" w:type="dxa"/>
            <w:vAlign w:val="center"/>
          </w:tcPr>
          <w:p>
            <w:pPr>
              <w:widowControl w:val="0"/>
              <w:jc w:val="center"/>
            </w:pPr>
            <w:r>
              <w:t>32</w:t>
            </w:r>
          </w:p>
        </w:tc>
        <w:tc>
          <w:tcPr>
            <w:tcW w:w="935" w:type="dxa"/>
            <w:vAlign w:val="center"/>
          </w:tcPr>
          <w:p>
            <w:pPr>
              <w:widowControl w:val="0"/>
              <w:jc w:val="center"/>
            </w:pPr>
            <w:r>
              <w:t>30</w:t>
            </w:r>
          </w:p>
        </w:tc>
        <w:tc>
          <w:tcPr>
            <w:tcW w:w="936" w:type="dxa"/>
            <w:vAlign w:val="center"/>
          </w:tcPr>
          <w:p>
            <w:pPr>
              <w:widowControl w:val="0"/>
              <w:jc w:val="center"/>
            </w:pPr>
            <w:r>
              <w:t>31</w:t>
            </w:r>
          </w:p>
        </w:tc>
        <w:tc>
          <w:tcPr>
            <w:tcW w:w="936" w:type="dxa"/>
            <w:vAlign w:val="center"/>
          </w:tcPr>
          <w:p>
            <w:pPr>
              <w:widowControl w:val="0"/>
              <w:jc w:val="center"/>
            </w:pPr>
            <w:r>
              <w:t>26</w:t>
            </w:r>
          </w:p>
        </w:tc>
      </w:tr>
      <w:tr>
        <w:trPr>
          <w:cantSplit/>
          <w:trHeight w:val="20"/>
        </w:trPr>
        <w:tc>
          <w:tcPr>
            <w:tcW w:w="993" w:type="dxa"/>
            <w:vAlign w:val="center"/>
          </w:tcPr>
          <w:p>
            <w:pPr>
              <w:widowControl w:val="0"/>
              <w:jc w:val="center"/>
            </w:pPr>
            <w:r>
              <w:t>8</w:t>
            </w:r>
          </w:p>
        </w:tc>
        <w:tc>
          <w:tcPr>
            <w:tcW w:w="850" w:type="dxa"/>
            <w:vAlign w:val="center"/>
          </w:tcPr>
          <w:p>
            <w:pPr>
              <w:widowControl w:val="0"/>
              <w:jc w:val="center"/>
            </w:pPr>
            <w:r>
              <w:t>46</w:t>
            </w:r>
          </w:p>
        </w:tc>
        <w:tc>
          <w:tcPr>
            <w:tcW w:w="935" w:type="dxa"/>
            <w:vAlign w:val="center"/>
          </w:tcPr>
          <w:p>
            <w:pPr>
              <w:widowControl w:val="0"/>
              <w:jc w:val="center"/>
            </w:pPr>
            <w:r>
              <w:t>43</w:t>
            </w:r>
          </w:p>
        </w:tc>
        <w:tc>
          <w:tcPr>
            <w:tcW w:w="936" w:type="dxa"/>
            <w:vAlign w:val="center"/>
          </w:tcPr>
          <w:p>
            <w:pPr>
              <w:widowControl w:val="0"/>
              <w:jc w:val="center"/>
            </w:pPr>
            <w:r>
              <w:t>40</w:t>
            </w:r>
          </w:p>
        </w:tc>
        <w:tc>
          <w:tcPr>
            <w:tcW w:w="935" w:type="dxa"/>
            <w:vAlign w:val="center"/>
          </w:tcPr>
          <w:p>
            <w:pPr>
              <w:widowControl w:val="0"/>
              <w:jc w:val="center"/>
            </w:pPr>
            <w:r>
              <w:t>37</w:t>
            </w:r>
          </w:p>
        </w:tc>
        <w:tc>
          <w:tcPr>
            <w:tcW w:w="936" w:type="dxa"/>
            <w:vAlign w:val="center"/>
          </w:tcPr>
          <w:p>
            <w:pPr>
              <w:widowControl w:val="0"/>
              <w:jc w:val="center"/>
            </w:pPr>
            <w:r>
              <w:t>38</w:t>
            </w:r>
          </w:p>
        </w:tc>
        <w:tc>
          <w:tcPr>
            <w:tcW w:w="936" w:type="dxa"/>
            <w:vAlign w:val="center"/>
          </w:tcPr>
          <w:p>
            <w:pPr>
              <w:widowControl w:val="0"/>
              <w:jc w:val="center"/>
            </w:pPr>
            <w:r>
              <w:t>32</w:t>
            </w:r>
          </w:p>
        </w:tc>
      </w:tr>
      <w:tr>
        <w:trPr>
          <w:cantSplit/>
          <w:trHeight w:val="20"/>
        </w:trPr>
        <w:tc>
          <w:tcPr>
            <w:tcW w:w="993" w:type="dxa"/>
            <w:vAlign w:val="center"/>
          </w:tcPr>
          <w:p>
            <w:pPr>
              <w:widowControl w:val="0"/>
              <w:jc w:val="center"/>
            </w:pPr>
            <w:r>
              <w:t>10</w:t>
            </w:r>
          </w:p>
        </w:tc>
        <w:tc>
          <w:tcPr>
            <w:tcW w:w="850" w:type="dxa"/>
            <w:vAlign w:val="center"/>
          </w:tcPr>
          <w:p>
            <w:pPr>
              <w:widowControl w:val="0"/>
              <w:jc w:val="center"/>
            </w:pPr>
            <w:r>
              <w:t>60</w:t>
            </w:r>
          </w:p>
        </w:tc>
        <w:tc>
          <w:tcPr>
            <w:tcW w:w="935" w:type="dxa"/>
            <w:vAlign w:val="center"/>
          </w:tcPr>
          <w:p>
            <w:pPr>
              <w:widowControl w:val="0"/>
              <w:jc w:val="center"/>
            </w:pPr>
            <w:r>
              <w:t>50</w:t>
            </w:r>
          </w:p>
        </w:tc>
        <w:tc>
          <w:tcPr>
            <w:tcW w:w="936" w:type="dxa"/>
            <w:vAlign w:val="center"/>
          </w:tcPr>
          <w:p>
            <w:pPr>
              <w:widowControl w:val="0"/>
              <w:jc w:val="center"/>
            </w:pPr>
            <w:r>
              <w:t>47</w:t>
            </w:r>
          </w:p>
        </w:tc>
        <w:tc>
          <w:tcPr>
            <w:tcW w:w="935" w:type="dxa"/>
            <w:vAlign w:val="center"/>
          </w:tcPr>
          <w:p>
            <w:pPr>
              <w:widowControl w:val="0"/>
              <w:jc w:val="center"/>
            </w:pPr>
            <w:r>
              <w:t>39</w:t>
            </w:r>
          </w:p>
        </w:tc>
        <w:tc>
          <w:tcPr>
            <w:tcW w:w="936" w:type="dxa"/>
            <w:vAlign w:val="center"/>
          </w:tcPr>
          <w:p>
            <w:pPr>
              <w:widowControl w:val="0"/>
              <w:jc w:val="center"/>
            </w:pPr>
            <w:r>
              <w:t>42</w:t>
            </w:r>
          </w:p>
        </w:tc>
        <w:tc>
          <w:tcPr>
            <w:tcW w:w="936" w:type="dxa"/>
            <w:vAlign w:val="center"/>
          </w:tcPr>
          <w:p>
            <w:pPr>
              <w:widowControl w:val="0"/>
              <w:jc w:val="center"/>
            </w:pPr>
            <w:r>
              <w:t>38</w:t>
            </w:r>
          </w:p>
        </w:tc>
      </w:tr>
      <w:tr>
        <w:trPr>
          <w:cantSplit/>
          <w:trHeight w:val="20"/>
        </w:trPr>
        <w:tc>
          <w:tcPr>
            <w:tcW w:w="993" w:type="dxa"/>
            <w:vAlign w:val="center"/>
          </w:tcPr>
          <w:p>
            <w:pPr>
              <w:widowControl w:val="0"/>
              <w:jc w:val="center"/>
            </w:pPr>
            <w:r>
              <w:t>16</w:t>
            </w:r>
          </w:p>
        </w:tc>
        <w:tc>
          <w:tcPr>
            <w:tcW w:w="850" w:type="dxa"/>
            <w:vAlign w:val="center"/>
          </w:tcPr>
          <w:p>
            <w:pPr>
              <w:widowControl w:val="0"/>
              <w:jc w:val="center"/>
            </w:pPr>
            <w:r>
              <w:t>75</w:t>
            </w:r>
          </w:p>
        </w:tc>
        <w:tc>
          <w:tcPr>
            <w:tcW w:w="935" w:type="dxa"/>
            <w:vAlign w:val="center"/>
          </w:tcPr>
          <w:p>
            <w:pPr>
              <w:widowControl w:val="0"/>
              <w:jc w:val="center"/>
            </w:pPr>
            <w:r>
              <w:t>60</w:t>
            </w:r>
          </w:p>
        </w:tc>
        <w:tc>
          <w:tcPr>
            <w:tcW w:w="936" w:type="dxa"/>
            <w:vAlign w:val="center"/>
          </w:tcPr>
          <w:p>
            <w:pPr>
              <w:widowControl w:val="0"/>
              <w:jc w:val="center"/>
            </w:pPr>
            <w:r>
              <w:t>60</w:t>
            </w:r>
          </w:p>
        </w:tc>
        <w:tc>
          <w:tcPr>
            <w:tcW w:w="935" w:type="dxa"/>
            <w:vAlign w:val="center"/>
          </w:tcPr>
          <w:p>
            <w:pPr>
              <w:widowControl w:val="0"/>
              <w:jc w:val="center"/>
            </w:pPr>
            <w:r>
              <w:t>55</w:t>
            </w:r>
          </w:p>
        </w:tc>
        <w:tc>
          <w:tcPr>
            <w:tcW w:w="936" w:type="dxa"/>
            <w:vAlign w:val="center"/>
          </w:tcPr>
          <w:p>
            <w:pPr>
              <w:widowControl w:val="0"/>
              <w:jc w:val="center"/>
            </w:pPr>
            <w:r>
              <w:t>60</w:t>
            </w:r>
          </w:p>
        </w:tc>
        <w:tc>
          <w:tcPr>
            <w:tcW w:w="936" w:type="dxa"/>
            <w:vAlign w:val="center"/>
          </w:tcPr>
          <w:p>
            <w:pPr>
              <w:widowControl w:val="0"/>
              <w:jc w:val="center"/>
            </w:pPr>
            <w:r>
              <w:t>55</w:t>
            </w:r>
          </w:p>
        </w:tc>
      </w:tr>
      <w:tr>
        <w:trPr>
          <w:cantSplit/>
          <w:trHeight w:val="20"/>
        </w:trPr>
        <w:tc>
          <w:tcPr>
            <w:tcW w:w="993" w:type="dxa"/>
            <w:vAlign w:val="center"/>
          </w:tcPr>
          <w:p>
            <w:pPr>
              <w:widowControl w:val="0"/>
              <w:jc w:val="center"/>
            </w:pPr>
            <w:r>
              <w:t>25</w:t>
            </w:r>
          </w:p>
        </w:tc>
        <w:tc>
          <w:tcPr>
            <w:tcW w:w="850" w:type="dxa"/>
            <w:vAlign w:val="center"/>
          </w:tcPr>
          <w:p>
            <w:pPr>
              <w:widowControl w:val="0"/>
              <w:jc w:val="center"/>
            </w:pPr>
            <w:r>
              <w:t>105</w:t>
            </w:r>
          </w:p>
        </w:tc>
        <w:tc>
          <w:tcPr>
            <w:tcW w:w="935" w:type="dxa"/>
            <w:vAlign w:val="center"/>
          </w:tcPr>
          <w:p>
            <w:pPr>
              <w:widowControl w:val="0"/>
              <w:jc w:val="center"/>
            </w:pPr>
            <w:r>
              <w:t>85</w:t>
            </w:r>
          </w:p>
        </w:tc>
        <w:tc>
          <w:tcPr>
            <w:tcW w:w="936" w:type="dxa"/>
            <w:vAlign w:val="center"/>
          </w:tcPr>
          <w:p>
            <w:pPr>
              <w:widowControl w:val="0"/>
              <w:jc w:val="center"/>
            </w:pPr>
            <w:r>
              <w:t>80</w:t>
            </w:r>
          </w:p>
        </w:tc>
        <w:tc>
          <w:tcPr>
            <w:tcW w:w="935" w:type="dxa"/>
            <w:vAlign w:val="center"/>
          </w:tcPr>
          <w:p>
            <w:pPr>
              <w:widowControl w:val="0"/>
              <w:jc w:val="center"/>
            </w:pPr>
            <w:r>
              <w:t>70</w:t>
            </w:r>
          </w:p>
        </w:tc>
        <w:tc>
          <w:tcPr>
            <w:tcW w:w="936" w:type="dxa"/>
            <w:vAlign w:val="center"/>
          </w:tcPr>
          <w:p>
            <w:pPr>
              <w:widowControl w:val="0"/>
              <w:jc w:val="center"/>
            </w:pPr>
            <w:r>
              <w:t>75</w:t>
            </w:r>
          </w:p>
        </w:tc>
        <w:tc>
          <w:tcPr>
            <w:tcW w:w="936" w:type="dxa"/>
            <w:vAlign w:val="center"/>
          </w:tcPr>
          <w:p>
            <w:pPr>
              <w:widowControl w:val="0"/>
              <w:jc w:val="center"/>
            </w:pPr>
            <w:r>
              <w:t>65</w:t>
            </w:r>
          </w:p>
        </w:tc>
      </w:tr>
      <w:tr>
        <w:trPr>
          <w:cantSplit/>
          <w:trHeight w:val="20"/>
        </w:trPr>
        <w:tc>
          <w:tcPr>
            <w:tcW w:w="993" w:type="dxa"/>
            <w:vAlign w:val="center"/>
          </w:tcPr>
          <w:p>
            <w:pPr>
              <w:widowControl w:val="0"/>
              <w:jc w:val="center"/>
            </w:pPr>
            <w:r>
              <w:t>35</w:t>
            </w:r>
          </w:p>
        </w:tc>
        <w:tc>
          <w:tcPr>
            <w:tcW w:w="850" w:type="dxa"/>
            <w:vAlign w:val="center"/>
          </w:tcPr>
          <w:p>
            <w:pPr>
              <w:widowControl w:val="0"/>
              <w:jc w:val="center"/>
            </w:pPr>
            <w:r>
              <w:t>130</w:t>
            </w:r>
          </w:p>
        </w:tc>
        <w:tc>
          <w:tcPr>
            <w:tcW w:w="935" w:type="dxa"/>
            <w:vAlign w:val="center"/>
          </w:tcPr>
          <w:p>
            <w:pPr>
              <w:widowControl w:val="0"/>
              <w:jc w:val="center"/>
            </w:pPr>
            <w:r>
              <w:t>100</w:t>
            </w:r>
          </w:p>
        </w:tc>
        <w:tc>
          <w:tcPr>
            <w:tcW w:w="936" w:type="dxa"/>
            <w:vAlign w:val="center"/>
          </w:tcPr>
          <w:p>
            <w:pPr>
              <w:widowControl w:val="0"/>
              <w:jc w:val="center"/>
            </w:pPr>
            <w:r>
              <w:t>95</w:t>
            </w:r>
          </w:p>
        </w:tc>
        <w:tc>
          <w:tcPr>
            <w:tcW w:w="935" w:type="dxa"/>
            <w:vAlign w:val="center"/>
          </w:tcPr>
          <w:p>
            <w:pPr>
              <w:widowControl w:val="0"/>
              <w:jc w:val="center"/>
            </w:pPr>
            <w:r>
              <w:t>85</w:t>
            </w:r>
          </w:p>
        </w:tc>
        <w:tc>
          <w:tcPr>
            <w:tcW w:w="936" w:type="dxa"/>
            <w:vAlign w:val="center"/>
          </w:tcPr>
          <w:p>
            <w:pPr>
              <w:widowControl w:val="0"/>
              <w:jc w:val="center"/>
            </w:pPr>
            <w:r>
              <w:t>95</w:t>
            </w:r>
          </w:p>
        </w:tc>
        <w:tc>
          <w:tcPr>
            <w:tcW w:w="936" w:type="dxa"/>
            <w:vAlign w:val="center"/>
          </w:tcPr>
          <w:p>
            <w:pPr>
              <w:widowControl w:val="0"/>
              <w:jc w:val="center"/>
            </w:pPr>
            <w:r>
              <w:t>75</w:t>
            </w:r>
          </w:p>
        </w:tc>
      </w:tr>
      <w:tr>
        <w:trPr>
          <w:cantSplit/>
          <w:trHeight w:val="20"/>
        </w:trPr>
        <w:tc>
          <w:tcPr>
            <w:tcW w:w="993" w:type="dxa"/>
            <w:vAlign w:val="center"/>
          </w:tcPr>
          <w:p>
            <w:pPr>
              <w:widowControl w:val="0"/>
              <w:jc w:val="center"/>
            </w:pPr>
            <w:r>
              <w:t>50</w:t>
            </w:r>
          </w:p>
        </w:tc>
        <w:tc>
          <w:tcPr>
            <w:tcW w:w="850" w:type="dxa"/>
            <w:vAlign w:val="center"/>
          </w:tcPr>
          <w:p>
            <w:pPr>
              <w:widowControl w:val="0"/>
              <w:jc w:val="center"/>
            </w:pPr>
            <w:r>
              <w:t>165</w:t>
            </w:r>
          </w:p>
        </w:tc>
        <w:tc>
          <w:tcPr>
            <w:tcW w:w="935" w:type="dxa"/>
            <w:vAlign w:val="center"/>
          </w:tcPr>
          <w:p>
            <w:pPr>
              <w:widowControl w:val="0"/>
              <w:jc w:val="center"/>
            </w:pPr>
            <w:r>
              <w:t>140</w:t>
            </w:r>
          </w:p>
        </w:tc>
        <w:tc>
          <w:tcPr>
            <w:tcW w:w="936" w:type="dxa"/>
            <w:vAlign w:val="center"/>
          </w:tcPr>
          <w:p>
            <w:pPr>
              <w:widowControl w:val="0"/>
              <w:jc w:val="center"/>
            </w:pPr>
            <w:r>
              <w:t>130</w:t>
            </w:r>
          </w:p>
        </w:tc>
        <w:tc>
          <w:tcPr>
            <w:tcW w:w="935" w:type="dxa"/>
            <w:vAlign w:val="center"/>
          </w:tcPr>
          <w:p>
            <w:pPr>
              <w:widowControl w:val="0"/>
              <w:jc w:val="center"/>
            </w:pPr>
            <w:r>
              <w:t>120</w:t>
            </w:r>
          </w:p>
        </w:tc>
        <w:tc>
          <w:tcPr>
            <w:tcW w:w="936" w:type="dxa"/>
            <w:vAlign w:val="center"/>
          </w:tcPr>
          <w:p>
            <w:pPr>
              <w:widowControl w:val="0"/>
              <w:jc w:val="center"/>
            </w:pPr>
            <w:r>
              <w:t>125</w:t>
            </w:r>
          </w:p>
        </w:tc>
        <w:tc>
          <w:tcPr>
            <w:tcW w:w="936" w:type="dxa"/>
            <w:vAlign w:val="center"/>
          </w:tcPr>
          <w:p>
            <w:pPr>
              <w:widowControl w:val="0"/>
              <w:jc w:val="center"/>
            </w:pPr>
            <w:r>
              <w:t>105</w:t>
            </w:r>
          </w:p>
        </w:tc>
      </w:tr>
      <w:tr>
        <w:trPr>
          <w:cantSplit/>
          <w:trHeight w:val="20"/>
        </w:trPr>
        <w:tc>
          <w:tcPr>
            <w:tcW w:w="993" w:type="dxa"/>
            <w:vAlign w:val="center"/>
          </w:tcPr>
          <w:p>
            <w:pPr>
              <w:widowControl w:val="0"/>
              <w:jc w:val="center"/>
            </w:pPr>
            <w:r>
              <w:t>70</w:t>
            </w:r>
          </w:p>
        </w:tc>
        <w:tc>
          <w:tcPr>
            <w:tcW w:w="850" w:type="dxa"/>
            <w:vAlign w:val="center"/>
          </w:tcPr>
          <w:p>
            <w:pPr>
              <w:widowControl w:val="0"/>
              <w:jc w:val="center"/>
            </w:pPr>
            <w:r>
              <w:t>210</w:t>
            </w:r>
          </w:p>
        </w:tc>
        <w:tc>
          <w:tcPr>
            <w:tcW w:w="935" w:type="dxa"/>
            <w:vAlign w:val="center"/>
          </w:tcPr>
          <w:p>
            <w:pPr>
              <w:widowControl w:val="0"/>
              <w:jc w:val="center"/>
            </w:pPr>
            <w:r>
              <w:t>175</w:t>
            </w:r>
          </w:p>
        </w:tc>
        <w:tc>
          <w:tcPr>
            <w:tcW w:w="936" w:type="dxa"/>
            <w:vAlign w:val="center"/>
          </w:tcPr>
          <w:p>
            <w:pPr>
              <w:widowControl w:val="0"/>
              <w:jc w:val="center"/>
            </w:pPr>
            <w:r>
              <w:t>165</w:t>
            </w:r>
          </w:p>
        </w:tc>
        <w:tc>
          <w:tcPr>
            <w:tcW w:w="935" w:type="dxa"/>
            <w:vAlign w:val="center"/>
          </w:tcPr>
          <w:p>
            <w:pPr>
              <w:widowControl w:val="0"/>
              <w:jc w:val="center"/>
            </w:pPr>
            <w:r>
              <w:t>140</w:t>
            </w:r>
          </w:p>
        </w:tc>
        <w:tc>
          <w:tcPr>
            <w:tcW w:w="936" w:type="dxa"/>
            <w:vAlign w:val="center"/>
          </w:tcPr>
          <w:p>
            <w:pPr>
              <w:widowControl w:val="0"/>
              <w:jc w:val="center"/>
            </w:pPr>
            <w:r>
              <w:t>150</w:t>
            </w:r>
          </w:p>
        </w:tc>
        <w:tc>
          <w:tcPr>
            <w:tcW w:w="936" w:type="dxa"/>
            <w:vAlign w:val="center"/>
          </w:tcPr>
          <w:p>
            <w:pPr>
              <w:widowControl w:val="0"/>
              <w:jc w:val="center"/>
            </w:pPr>
            <w:r>
              <w:t>135</w:t>
            </w:r>
          </w:p>
        </w:tc>
      </w:tr>
      <w:tr>
        <w:trPr>
          <w:cantSplit/>
          <w:trHeight w:val="20"/>
        </w:trPr>
        <w:tc>
          <w:tcPr>
            <w:tcW w:w="993" w:type="dxa"/>
            <w:vAlign w:val="center"/>
          </w:tcPr>
          <w:p>
            <w:pPr>
              <w:widowControl w:val="0"/>
              <w:jc w:val="center"/>
            </w:pPr>
            <w:r>
              <w:t>95</w:t>
            </w:r>
          </w:p>
        </w:tc>
        <w:tc>
          <w:tcPr>
            <w:tcW w:w="850" w:type="dxa"/>
            <w:vAlign w:val="center"/>
          </w:tcPr>
          <w:p>
            <w:pPr>
              <w:widowControl w:val="0"/>
              <w:jc w:val="center"/>
            </w:pPr>
            <w:r>
              <w:t>255</w:t>
            </w:r>
          </w:p>
        </w:tc>
        <w:tc>
          <w:tcPr>
            <w:tcW w:w="935" w:type="dxa"/>
            <w:vAlign w:val="center"/>
          </w:tcPr>
          <w:p>
            <w:pPr>
              <w:widowControl w:val="0"/>
              <w:jc w:val="center"/>
            </w:pPr>
            <w:r>
              <w:t>215</w:t>
            </w:r>
          </w:p>
        </w:tc>
        <w:tc>
          <w:tcPr>
            <w:tcW w:w="936" w:type="dxa"/>
            <w:vAlign w:val="center"/>
          </w:tcPr>
          <w:p>
            <w:pPr>
              <w:widowControl w:val="0"/>
              <w:jc w:val="center"/>
            </w:pPr>
            <w:r>
              <w:t>200</w:t>
            </w:r>
          </w:p>
        </w:tc>
        <w:tc>
          <w:tcPr>
            <w:tcW w:w="935" w:type="dxa"/>
            <w:vAlign w:val="center"/>
          </w:tcPr>
          <w:p>
            <w:pPr>
              <w:widowControl w:val="0"/>
              <w:jc w:val="center"/>
            </w:pPr>
            <w:r>
              <w:t>175</w:t>
            </w:r>
          </w:p>
        </w:tc>
        <w:tc>
          <w:tcPr>
            <w:tcW w:w="936" w:type="dxa"/>
            <w:vAlign w:val="center"/>
          </w:tcPr>
          <w:p>
            <w:pPr>
              <w:widowControl w:val="0"/>
              <w:jc w:val="center"/>
            </w:pPr>
            <w:r>
              <w:t>190</w:t>
            </w:r>
          </w:p>
        </w:tc>
        <w:tc>
          <w:tcPr>
            <w:tcW w:w="936" w:type="dxa"/>
            <w:vAlign w:val="center"/>
          </w:tcPr>
          <w:p>
            <w:pPr>
              <w:widowControl w:val="0"/>
              <w:jc w:val="center"/>
            </w:pPr>
            <w:r>
              <w:t>165</w:t>
            </w:r>
          </w:p>
        </w:tc>
      </w:tr>
      <w:tr>
        <w:trPr>
          <w:cantSplit/>
          <w:trHeight w:val="20"/>
        </w:trPr>
        <w:tc>
          <w:tcPr>
            <w:tcW w:w="993" w:type="dxa"/>
            <w:vAlign w:val="center"/>
          </w:tcPr>
          <w:p>
            <w:pPr>
              <w:widowControl w:val="0"/>
              <w:jc w:val="center"/>
            </w:pPr>
            <w:r>
              <w:t>120</w:t>
            </w:r>
          </w:p>
        </w:tc>
        <w:tc>
          <w:tcPr>
            <w:tcW w:w="850" w:type="dxa"/>
            <w:vAlign w:val="center"/>
          </w:tcPr>
          <w:p>
            <w:pPr>
              <w:widowControl w:val="0"/>
              <w:jc w:val="center"/>
            </w:pPr>
            <w:r>
              <w:t>295</w:t>
            </w:r>
          </w:p>
        </w:tc>
        <w:tc>
          <w:tcPr>
            <w:tcW w:w="935" w:type="dxa"/>
            <w:vAlign w:val="center"/>
          </w:tcPr>
          <w:p>
            <w:pPr>
              <w:widowControl w:val="0"/>
              <w:jc w:val="center"/>
            </w:pPr>
            <w:r>
              <w:t>245</w:t>
            </w:r>
          </w:p>
        </w:tc>
        <w:tc>
          <w:tcPr>
            <w:tcW w:w="936" w:type="dxa"/>
            <w:vAlign w:val="center"/>
          </w:tcPr>
          <w:p>
            <w:pPr>
              <w:widowControl w:val="0"/>
              <w:jc w:val="center"/>
            </w:pPr>
            <w:r>
              <w:t>220</w:t>
            </w:r>
          </w:p>
        </w:tc>
        <w:tc>
          <w:tcPr>
            <w:tcW w:w="935" w:type="dxa"/>
            <w:vAlign w:val="center"/>
          </w:tcPr>
          <w:p>
            <w:pPr>
              <w:widowControl w:val="0"/>
              <w:jc w:val="center"/>
            </w:pPr>
            <w:r>
              <w:t>200</w:t>
            </w:r>
          </w:p>
        </w:tc>
        <w:tc>
          <w:tcPr>
            <w:tcW w:w="936" w:type="dxa"/>
            <w:vAlign w:val="center"/>
          </w:tcPr>
          <w:p>
            <w:pPr>
              <w:widowControl w:val="0"/>
              <w:jc w:val="center"/>
            </w:pPr>
            <w:r>
              <w:t>230</w:t>
            </w:r>
          </w:p>
        </w:tc>
        <w:tc>
          <w:tcPr>
            <w:tcW w:w="936" w:type="dxa"/>
            <w:vAlign w:val="center"/>
          </w:tcPr>
          <w:p>
            <w:pPr>
              <w:widowControl w:val="0"/>
              <w:jc w:val="center"/>
            </w:pPr>
            <w:r>
              <w:t>190</w:t>
            </w:r>
          </w:p>
        </w:tc>
      </w:tr>
      <w:tr>
        <w:trPr>
          <w:cantSplit/>
          <w:trHeight w:val="20"/>
        </w:trPr>
        <w:tc>
          <w:tcPr>
            <w:tcW w:w="993" w:type="dxa"/>
            <w:vAlign w:val="center"/>
          </w:tcPr>
          <w:p>
            <w:pPr>
              <w:widowControl w:val="0"/>
              <w:jc w:val="center"/>
            </w:pPr>
            <w:r>
              <w:t>150</w:t>
            </w:r>
          </w:p>
        </w:tc>
        <w:tc>
          <w:tcPr>
            <w:tcW w:w="850" w:type="dxa"/>
            <w:vAlign w:val="center"/>
          </w:tcPr>
          <w:p>
            <w:pPr>
              <w:widowControl w:val="0"/>
              <w:jc w:val="center"/>
            </w:pPr>
            <w:r>
              <w:t>340</w:t>
            </w:r>
          </w:p>
        </w:tc>
        <w:tc>
          <w:tcPr>
            <w:tcW w:w="935" w:type="dxa"/>
            <w:vAlign w:val="center"/>
          </w:tcPr>
          <w:p>
            <w:pPr>
              <w:widowControl w:val="0"/>
              <w:jc w:val="center"/>
            </w:pPr>
            <w:r>
              <w:t>275</w:t>
            </w:r>
          </w:p>
        </w:tc>
        <w:tc>
          <w:tcPr>
            <w:tcW w:w="936" w:type="dxa"/>
            <w:vAlign w:val="center"/>
          </w:tcPr>
          <w:p>
            <w:pPr>
              <w:widowControl w:val="0"/>
              <w:jc w:val="center"/>
            </w:pPr>
            <w:r>
              <w:t>255</w:t>
            </w:r>
          </w:p>
        </w:tc>
        <w:tc>
          <w:tcPr>
            <w:tcW w:w="935" w:type="dxa"/>
            <w:vAlign w:val="center"/>
          </w:tcPr>
          <w:p>
            <w:pPr>
              <w:widowControl w:val="0"/>
              <w:jc w:val="center"/>
            </w:pPr>
            <w:r>
              <w:t>–</w:t>
            </w:r>
          </w:p>
        </w:tc>
        <w:tc>
          <w:tcPr>
            <w:tcW w:w="936" w:type="dxa"/>
            <w:vAlign w:val="center"/>
          </w:tcPr>
          <w:p>
            <w:pPr>
              <w:widowControl w:val="0"/>
              <w:jc w:val="center"/>
            </w:pPr>
            <w:r>
              <w:t>–</w:t>
            </w:r>
          </w:p>
        </w:tc>
        <w:tc>
          <w:tcPr>
            <w:tcW w:w="936" w:type="dxa"/>
            <w:vAlign w:val="center"/>
          </w:tcPr>
          <w:p>
            <w:pPr>
              <w:widowControl w:val="0"/>
              <w:jc w:val="center"/>
            </w:pPr>
            <w:r>
              <w:t>–</w:t>
            </w:r>
          </w:p>
        </w:tc>
      </w:tr>
    </w:tbl>
    <w:p>
      <w:pPr>
        <w:widowControl w:val="0"/>
        <w:jc w:val="both"/>
      </w:pPr>
    </w:p>
    <w:p>
      <w:pPr>
        <w:widowControl w:val="0"/>
        <w:ind w:firstLine="567"/>
        <w:jc w:val="both"/>
        <w:rPr>
          <w:b/>
          <w:bCs/>
        </w:rPr>
      </w:pPr>
      <w:r>
        <w:rPr>
          <w:b/>
          <w:bCs/>
        </w:rPr>
        <w:t>6 lentelė. Žemėje arba ore tiesiamų iki 1000 V įtampos šarvuotų ir nešarvuotų varinių kabelių gumine izoliacija švininiame, polivinilchloridiniame arba guminiame apvalkale ir varinių laidų gumine izoliacija metaliniame apvalkale leistinoji ilgalaikė srovė</w:t>
      </w:r>
    </w:p>
    <w:p>
      <w:pPr>
        <w:widowControl w:val="0"/>
        <w:ind w:firstLine="567"/>
        <w:jc w:val="both"/>
      </w:pPr>
    </w:p>
    <w:p>
      <w:pPr>
        <w:widowControl w:val="0"/>
        <w:ind w:firstLine="567"/>
        <w:jc w:val="both"/>
      </w:pPr>
      <w:r>
        <w:t xml:space="preserve">Temperatūra: kabelių ir laidų +65 </w:t>
      </w:r>
      <w:r>
        <w:rPr>
          <w:vertAlign w:val="superscript"/>
        </w:rPr>
        <w:t>o</w:t>
      </w:r>
      <w:r>
        <w:t xml:space="preserve">C, oro +25 </w:t>
      </w:r>
      <w:r>
        <w:rPr>
          <w:vertAlign w:val="superscript"/>
        </w:rPr>
        <w:t>o</w:t>
      </w:r>
      <w:r>
        <w:t xml:space="preserve">C, žemės +15 </w:t>
      </w:r>
      <w:r>
        <w:rPr>
          <w:vertAlign w:val="superscript"/>
        </w:rPr>
        <w:t>o</w:t>
      </w:r>
      <w:r>
        <w:t>C.</w:t>
      </w:r>
    </w:p>
    <w:p>
      <w:pPr>
        <w:widowControl w:val="0"/>
        <w:ind w:firstLine="567"/>
        <w:jc w:val="both"/>
      </w:pPr>
      <w:r>
        <w:t>Žemės savitoji šiluminė varža 1,2 K·m/W.</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5"/>
        <w:gridCol w:w="1455"/>
        <w:gridCol w:w="1515"/>
        <w:gridCol w:w="1495"/>
        <w:gridCol w:w="1565"/>
        <w:gridCol w:w="1575"/>
      </w:tblGrid>
      <w:tr>
        <w:trPr>
          <w:cantSplit/>
          <w:trHeight w:val="20"/>
          <w:tblHeader/>
        </w:trPr>
        <w:tc>
          <w:tcPr>
            <w:tcW w:w="1323" w:type="dxa"/>
            <w:vMerge w:val="restart"/>
            <w:vAlign w:val="center"/>
          </w:tcPr>
          <w:p>
            <w:pPr>
              <w:widowControl w:val="0"/>
              <w:jc w:val="center"/>
              <w:rPr>
                <w:vertAlign w:val="superscript"/>
              </w:rPr>
            </w:pPr>
            <w:r>
              <w:t>Kabelio skerspjūvis, mm</w:t>
            </w:r>
            <w:r>
              <w:rPr>
                <w:vertAlign w:val="superscript"/>
              </w:rPr>
              <w:t>2</w:t>
            </w:r>
          </w:p>
        </w:tc>
        <w:tc>
          <w:tcPr>
            <w:tcW w:w="6867" w:type="dxa"/>
            <w:gridSpan w:val="5"/>
            <w:vAlign w:val="center"/>
          </w:tcPr>
          <w:p>
            <w:pPr>
              <w:widowControl w:val="0"/>
              <w:jc w:val="center"/>
            </w:pPr>
            <w:r>
              <w:t>Kabelių leistinoji ilgalaikė srovė, A</w:t>
            </w:r>
          </w:p>
        </w:tc>
      </w:tr>
      <w:tr>
        <w:trPr>
          <w:cantSplit/>
          <w:trHeight w:val="20"/>
          <w:tblHeader/>
        </w:trPr>
        <w:tc>
          <w:tcPr>
            <w:tcW w:w="1323" w:type="dxa"/>
            <w:vMerge/>
            <w:vAlign w:val="center"/>
          </w:tcPr>
          <w:p>
            <w:pPr>
              <w:widowControl w:val="0"/>
              <w:jc w:val="center"/>
            </w:pPr>
          </w:p>
        </w:tc>
        <w:tc>
          <w:tcPr>
            <w:tcW w:w="4032" w:type="dxa"/>
            <w:gridSpan w:val="3"/>
            <w:vAlign w:val="center"/>
          </w:tcPr>
          <w:p>
            <w:pPr>
              <w:widowControl w:val="0"/>
              <w:jc w:val="center"/>
            </w:pPr>
            <w:r>
              <w:t>ore</w:t>
            </w:r>
          </w:p>
        </w:tc>
        <w:tc>
          <w:tcPr>
            <w:tcW w:w="2835" w:type="dxa"/>
            <w:gridSpan w:val="2"/>
            <w:vAlign w:val="center"/>
          </w:tcPr>
          <w:p>
            <w:pPr>
              <w:widowControl w:val="0"/>
              <w:jc w:val="center"/>
            </w:pPr>
            <w:r>
              <w:t>žemėje</w:t>
            </w:r>
          </w:p>
        </w:tc>
      </w:tr>
      <w:tr>
        <w:trPr>
          <w:cantSplit/>
          <w:trHeight w:val="20"/>
          <w:tblHeader/>
        </w:trPr>
        <w:tc>
          <w:tcPr>
            <w:tcW w:w="1323" w:type="dxa"/>
            <w:vMerge/>
            <w:vAlign w:val="center"/>
          </w:tcPr>
          <w:p>
            <w:pPr>
              <w:widowControl w:val="0"/>
              <w:jc w:val="center"/>
            </w:pPr>
          </w:p>
        </w:tc>
        <w:tc>
          <w:tcPr>
            <w:tcW w:w="1314" w:type="dxa"/>
            <w:vAlign w:val="center"/>
          </w:tcPr>
          <w:p>
            <w:pPr>
              <w:widowControl w:val="0"/>
              <w:jc w:val="center"/>
            </w:pPr>
            <w:r>
              <w:t>viengyslių</w:t>
            </w:r>
          </w:p>
        </w:tc>
        <w:tc>
          <w:tcPr>
            <w:tcW w:w="1368" w:type="dxa"/>
            <w:vAlign w:val="center"/>
          </w:tcPr>
          <w:p>
            <w:pPr>
              <w:widowControl w:val="0"/>
              <w:jc w:val="center"/>
            </w:pPr>
            <w:r>
              <w:t>dvigyslių</w:t>
            </w:r>
          </w:p>
        </w:tc>
        <w:tc>
          <w:tcPr>
            <w:tcW w:w="1350" w:type="dxa"/>
            <w:vAlign w:val="center"/>
          </w:tcPr>
          <w:p>
            <w:pPr>
              <w:widowControl w:val="0"/>
              <w:jc w:val="center"/>
            </w:pPr>
            <w:r>
              <w:t>trigyslių</w:t>
            </w:r>
          </w:p>
        </w:tc>
        <w:tc>
          <w:tcPr>
            <w:tcW w:w="1413" w:type="dxa"/>
            <w:vAlign w:val="center"/>
          </w:tcPr>
          <w:p>
            <w:pPr>
              <w:widowControl w:val="0"/>
              <w:jc w:val="center"/>
            </w:pPr>
            <w:r>
              <w:t>dvigyslių</w:t>
            </w:r>
          </w:p>
        </w:tc>
        <w:tc>
          <w:tcPr>
            <w:tcW w:w="1422" w:type="dxa"/>
            <w:vAlign w:val="center"/>
          </w:tcPr>
          <w:p>
            <w:pPr>
              <w:widowControl w:val="0"/>
              <w:jc w:val="center"/>
            </w:pPr>
            <w:r>
              <w:t>trigyslių</w:t>
            </w:r>
          </w:p>
        </w:tc>
      </w:tr>
      <w:tr>
        <w:trPr>
          <w:cantSplit/>
          <w:trHeight w:val="20"/>
        </w:trPr>
        <w:tc>
          <w:tcPr>
            <w:tcW w:w="1323" w:type="dxa"/>
            <w:vAlign w:val="center"/>
          </w:tcPr>
          <w:p>
            <w:pPr>
              <w:widowControl w:val="0"/>
              <w:jc w:val="center"/>
            </w:pPr>
            <w:r>
              <w:t>1,5</w:t>
            </w:r>
          </w:p>
        </w:tc>
        <w:tc>
          <w:tcPr>
            <w:tcW w:w="1314" w:type="dxa"/>
            <w:vAlign w:val="center"/>
          </w:tcPr>
          <w:p>
            <w:pPr>
              <w:widowControl w:val="0"/>
              <w:jc w:val="center"/>
            </w:pPr>
            <w:r>
              <w:t>23</w:t>
            </w:r>
          </w:p>
        </w:tc>
        <w:tc>
          <w:tcPr>
            <w:tcW w:w="1368" w:type="dxa"/>
            <w:vAlign w:val="center"/>
          </w:tcPr>
          <w:p>
            <w:pPr>
              <w:widowControl w:val="0"/>
              <w:jc w:val="center"/>
            </w:pPr>
            <w:r>
              <w:t>19</w:t>
            </w:r>
          </w:p>
        </w:tc>
        <w:tc>
          <w:tcPr>
            <w:tcW w:w="1350" w:type="dxa"/>
            <w:vAlign w:val="center"/>
          </w:tcPr>
          <w:p>
            <w:pPr>
              <w:widowControl w:val="0"/>
              <w:jc w:val="center"/>
            </w:pPr>
            <w:r>
              <w:t>19</w:t>
            </w:r>
          </w:p>
        </w:tc>
        <w:tc>
          <w:tcPr>
            <w:tcW w:w="1413" w:type="dxa"/>
            <w:vAlign w:val="center"/>
          </w:tcPr>
          <w:p>
            <w:pPr>
              <w:widowControl w:val="0"/>
              <w:jc w:val="center"/>
            </w:pPr>
            <w:r>
              <w:t>33</w:t>
            </w:r>
          </w:p>
        </w:tc>
        <w:tc>
          <w:tcPr>
            <w:tcW w:w="1422" w:type="dxa"/>
            <w:vAlign w:val="center"/>
          </w:tcPr>
          <w:p>
            <w:pPr>
              <w:widowControl w:val="0"/>
              <w:jc w:val="center"/>
            </w:pPr>
            <w:r>
              <w:t>27</w:t>
            </w:r>
          </w:p>
        </w:tc>
      </w:tr>
      <w:tr>
        <w:trPr>
          <w:cantSplit/>
          <w:trHeight w:val="20"/>
        </w:trPr>
        <w:tc>
          <w:tcPr>
            <w:tcW w:w="1323" w:type="dxa"/>
            <w:vAlign w:val="center"/>
          </w:tcPr>
          <w:p>
            <w:pPr>
              <w:widowControl w:val="0"/>
              <w:jc w:val="center"/>
            </w:pPr>
            <w:r>
              <w:t>2,5</w:t>
            </w:r>
          </w:p>
        </w:tc>
        <w:tc>
          <w:tcPr>
            <w:tcW w:w="1314" w:type="dxa"/>
            <w:vAlign w:val="center"/>
          </w:tcPr>
          <w:p>
            <w:pPr>
              <w:widowControl w:val="0"/>
              <w:jc w:val="center"/>
            </w:pPr>
            <w:r>
              <w:t>30</w:t>
            </w:r>
          </w:p>
        </w:tc>
        <w:tc>
          <w:tcPr>
            <w:tcW w:w="1368" w:type="dxa"/>
            <w:vAlign w:val="center"/>
          </w:tcPr>
          <w:p>
            <w:pPr>
              <w:widowControl w:val="0"/>
              <w:jc w:val="center"/>
            </w:pPr>
            <w:r>
              <w:t>27</w:t>
            </w:r>
          </w:p>
        </w:tc>
        <w:tc>
          <w:tcPr>
            <w:tcW w:w="1350" w:type="dxa"/>
            <w:vAlign w:val="center"/>
          </w:tcPr>
          <w:p>
            <w:pPr>
              <w:widowControl w:val="0"/>
              <w:jc w:val="center"/>
            </w:pPr>
            <w:r>
              <w:t>25</w:t>
            </w:r>
          </w:p>
        </w:tc>
        <w:tc>
          <w:tcPr>
            <w:tcW w:w="1413" w:type="dxa"/>
            <w:vAlign w:val="center"/>
          </w:tcPr>
          <w:p>
            <w:pPr>
              <w:widowControl w:val="0"/>
              <w:jc w:val="center"/>
            </w:pPr>
            <w:r>
              <w:t>44</w:t>
            </w:r>
          </w:p>
        </w:tc>
        <w:tc>
          <w:tcPr>
            <w:tcW w:w="1422" w:type="dxa"/>
            <w:vAlign w:val="center"/>
          </w:tcPr>
          <w:p>
            <w:pPr>
              <w:widowControl w:val="0"/>
              <w:jc w:val="center"/>
            </w:pPr>
            <w:r>
              <w:t>38</w:t>
            </w:r>
          </w:p>
        </w:tc>
      </w:tr>
      <w:tr>
        <w:trPr>
          <w:cantSplit/>
          <w:trHeight w:val="20"/>
        </w:trPr>
        <w:tc>
          <w:tcPr>
            <w:tcW w:w="1323" w:type="dxa"/>
            <w:vAlign w:val="center"/>
          </w:tcPr>
          <w:p>
            <w:pPr>
              <w:widowControl w:val="0"/>
              <w:jc w:val="center"/>
            </w:pPr>
            <w:r>
              <w:t>4</w:t>
            </w:r>
          </w:p>
        </w:tc>
        <w:tc>
          <w:tcPr>
            <w:tcW w:w="1314" w:type="dxa"/>
            <w:vAlign w:val="center"/>
          </w:tcPr>
          <w:p>
            <w:pPr>
              <w:widowControl w:val="0"/>
              <w:jc w:val="center"/>
            </w:pPr>
            <w:r>
              <w:t>41</w:t>
            </w:r>
          </w:p>
        </w:tc>
        <w:tc>
          <w:tcPr>
            <w:tcW w:w="1368" w:type="dxa"/>
            <w:vAlign w:val="center"/>
          </w:tcPr>
          <w:p>
            <w:pPr>
              <w:widowControl w:val="0"/>
              <w:jc w:val="center"/>
            </w:pPr>
            <w:r>
              <w:t>38</w:t>
            </w:r>
          </w:p>
        </w:tc>
        <w:tc>
          <w:tcPr>
            <w:tcW w:w="1350" w:type="dxa"/>
            <w:vAlign w:val="center"/>
          </w:tcPr>
          <w:p>
            <w:pPr>
              <w:widowControl w:val="0"/>
              <w:jc w:val="center"/>
            </w:pPr>
            <w:r>
              <w:t>35</w:t>
            </w:r>
          </w:p>
        </w:tc>
        <w:tc>
          <w:tcPr>
            <w:tcW w:w="1413" w:type="dxa"/>
            <w:vAlign w:val="center"/>
          </w:tcPr>
          <w:p>
            <w:pPr>
              <w:widowControl w:val="0"/>
              <w:jc w:val="center"/>
            </w:pPr>
            <w:r>
              <w:t>55</w:t>
            </w:r>
          </w:p>
        </w:tc>
        <w:tc>
          <w:tcPr>
            <w:tcW w:w="1422" w:type="dxa"/>
            <w:vAlign w:val="center"/>
          </w:tcPr>
          <w:p>
            <w:pPr>
              <w:widowControl w:val="0"/>
              <w:jc w:val="center"/>
            </w:pPr>
            <w:r>
              <w:t>49</w:t>
            </w:r>
          </w:p>
        </w:tc>
      </w:tr>
      <w:tr>
        <w:trPr>
          <w:cantSplit/>
          <w:trHeight w:val="20"/>
        </w:trPr>
        <w:tc>
          <w:tcPr>
            <w:tcW w:w="1323" w:type="dxa"/>
            <w:vAlign w:val="center"/>
          </w:tcPr>
          <w:p>
            <w:pPr>
              <w:widowControl w:val="0"/>
              <w:jc w:val="center"/>
            </w:pPr>
            <w:r>
              <w:t>6</w:t>
            </w:r>
          </w:p>
        </w:tc>
        <w:tc>
          <w:tcPr>
            <w:tcW w:w="1314" w:type="dxa"/>
            <w:vAlign w:val="center"/>
          </w:tcPr>
          <w:p>
            <w:pPr>
              <w:widowControl w:val="0"/>
              <w:jc w:val="center"/>
            </w:pPr>
            <w:r>
              <w:t>50</w:t>
            </w:r>
          </w:p>
        </w:tc>
        <w:tc>
          <w:tcPr>
            <w:tcW w:w="1368" w:type="dxa"/>
            <w:vAlign w:val="center"/>
          </w:tcPr>
          <w:p>
            <w:pPr>
              <w:widowControl w:val="0"/>
              <w:jc w:val="center"/>
            </w:pPr>
            <w:r>
              <w:t>50</w:t>
            </w:r>
          </w:p>
        </w:tc>
        <w:tc>
          <w:tcPr>
            <w:tcW w:w="1350" w:type="dxa"/>
            <w:vAlign w:val="center"/>
          </w:tcPr>
          <w:p>
            <w:pPr>
              <w:widowControl w:val="0"/>
              <w:jc w:val="center"/>
            </w:pPr>
            <w:r>
              <w:t>42</w:t>
            </w:r>
          </w:p>
        </w:tc>
        <w:tc>
          <w:tcPr>
            <w:tcW w:w="1413" w:type="dxa"/>
            <w:vAlign w:val="center"/>
          </w:tcPr>
          <w:p>
            <w:pPr>
              <w:widowControl w:val="0"/>
              <w:jc w:val="center"/>
            </w:pPr>
            <w:r>
              <w:t>70</w:t>
            </w:r>
          </w:p>
        </w:tc>
        <w:tc>
          <w:tcPr>
            <w:tcW w:w="1422" w:type="dxa"/>
            <w:vAlign w:val="center"/>
          </w:tcPr>
          <w:p>
            <w:pPr>
              <w:widowControl w:val="0"/>
              <w:jc w:val="center"/>
            </w:pPr>
            <w:r>
              <w:t>60</w:t>
            </w:r>
          </w:p>
        </w:tc>
      </w:tr>
      <w:tr>
        <w:trPr>
          <w:cantSplit/>
          <w:trHeight w:val="20"/>
        </w:trPr>
        <w:tc>
          <w:tcPr>
            <w:tcW w:w="1323" w:type="dxa"/>
            <w:vAlign w:val="center"/>
          </w:tcPr>
          <w:p>
            <w:pPr>
              <w:widowControl w:val="0"/>
              <w:jc w:val="center"/>
            </w:pPr>
            <w:r>
              <w:t>10</w:t>
            </w:r>
          </w:p>
        </w:tc>
        <w:tc>
          <w:tcPr>
            <w:tcW w:w="1314" w:type="dxa"/>
            <w:vAlign w:val="center"/>
          </w:tcPr>
          <w:p>
            <w:pPr>
              <w:widowControl w:val="0"/>
              <w:jc w:val="center"/>
            </w:pPr>
            <w:r>
              <w:t>80</w:t>
            </w:r>
          </w:p>
        </w:tc>
        <w:tc>
          <w:tcPr>
            <w:tcW w:w="1368" w:type="dxa"/>
            <w:vAlign w:val="center"/>
          </w:tcPr>
          <w:p>
            <w:pPr>
              <w:widowControl w:val="0"/>
              <w:jc w:val="center"/>
            </w:pPr>
            <w:r>
              <w:t>70</w:t>
            </w:r>
          </w:p>
        </w:tc>
        <w:tc>
          <w:tcPr>
            <w:tcW w:w="1350" w:type="dxa"/>
            <w:vAlign w:val="center"/>
          </w:tcPr>
          <w:p>
            <w:pPr>
              <w:widowControl w:val="0"/>
              <w:jc w:val="center"/>
            </w:pPr>
            <w:r>
              <w:t>55</w:t>
            </w:r>
          </w:p>
        </w:tc>
        <w:tc>
          <w:tcPr>
            <w:tcW w:w="1413" w:type="dxa"/>
            <w:vAlign w:val="center"/>
          </w:tcPr>
          <w:p>
            <w:pPr>
              <w:widowControl w:val="0"/>
              <w:jc w:val="center"/>
            </w:pPr>
            <w:r>
              <w:t>105</w:t>
            </w:r>
          </w:p>
        </w:tc>
        <w:tc>
          <w:tcPr>
            <w:tcW w:w="1422" w:type="dxa"/>
            <w:vAlign w:val="center"/>
          </w:tcPr>
          <w:p>
            <w:pPr>
              <w:widowControl w:val="0"/>
              <w:jc w:val="center"/>
            </w:pPr>
            <w:r>
              <w:t>90</w:t>
            </w:r>
          </w:p>
        </w:tc>
      </w:tr>
      <w:tr>
        <w:trPr>
          <w:cantSplit/>
          <w:trHeight w:val="20"/>
        </w:trPr>
        <w:tc>
          <w:tcPr>
            <w:tcW w:w="1323" w:type="dxa"/>
            <w:vAlign w:val="center"/>
          </w:tcPr>
          <w:p>
            <w:pPr>
              <w:widowControl w:val="0"/>
              <w:jc w:val="center"/>
            </w:pPr>
            <w:r>
              <w:t>16</w:t>
            </w:r>
          </w:p>
        </w:tc>
        <w:tc>
          <w:tcPr>
            <w:tcW w:w="1314" w:type="dxa"/>
            <w:vAlign w:val="center"/>
          </w:tcPr>
          <w:p>
            <w:pPr>
              <w:widowControl w:val="0"/>
              <w:jc w:val="center"/>
            </w:pPr>
            <w:r>
              <w:t>100</w:t>
            </w:r>
          </w:p>
        </w:tc>
        <w:tc>
          <w:tcPr>
            <w:tcW w:w="1368" w:type="dxa"/>
            <w:vAlign w:val="center"/>
          </w:tcPr>
          <w:p>
            <w:pPr>
              <w:widowControl w:val="0"/>
              <w:jc w:val="center"/>
            </w:pPr>
            <w:r>
              <w:t>90</w:t>
            </w:r>
          </w:p>
        </w:tc>
        <w:tc>
          <w:tcPr>
            <w:tcW w:w="1350" w:type="dxa"/>
            <w:vAlign w:val="center"/>
          </w:tcPr>
          <w:p>
            <w:pPr>
              <w:widowControl w:val="0"/>
              <w:jc w:val="center"/>
            </w:pPr>
            <w:r>
              <w:t>75</w:t>
            </w:r>
          </w:p>
        </w:tc>
        <w:tc>
          <w:tcPr>
            <w:tcW w:w="1413" w:type="dxa"/>
            <w:vAlign w:val="center"/>
          </w:tcPr>
          <w:p>
            <w:pPr>
              <w:widowControl w:val="0"/>
              <w:jc w:val="center"/>
            </w:pPr>
            <w:r>
              <w:t>135</w:t>
            </w:r>
          </w:p>
        </w:tc>
        <w:tc>
          <w:tcPr>
            <w:tcW w:w="1422" w:type="dxa"/>
            <w:vAlign w:val="center"/>
          </w:tcPr>
          <w:p>
            <w:pPr>
              <w:widowControl w:val="0"/>
              <w:jc w:val="center"/>
            </w:pPr>
            <w:r>
              <w:t>115</w:t>
            </w:r>
          </w:p>
        </w:tc>
      </w:tr>
      <w:tr>
        <w:trPr>
          <w:cantSplit/>
          <w:trHeight w:val="20"/>
        </w:trPr>
        <w:tc>
          <w:tcPr>
            <w:tcW w:w="1323" w:type="dxa"/>
            <w:vAlign w:val="center"/>
          </w:tcPr>
          <w:p>
            <w:pPr>
              <w:widowControl w:val="0"/>
              <w:jc w:val="center"/>
            </w:pPr>
            <w:r>
              <w:t>25</w:t>
            </w:r>
          </w:p>
        </w:tc>
        <w:tc>
          <w:tcPr>
            <w:tcW w:w="1314" w:type="dxa"/>
            <w:vAlign w:val="center"/>
          </w:tcPr>
          <w:p>
            <w:pPr>
              <w:widowControl w:val="0"/>
              <w:jc w:val="center"/>
            </w:pPr>
            <w:r>
              <w:t>140</w:t>
            </w:r>
          </w:p>
        </w:tc>
        <w:tc>
          <w:tcPr>
            <w:tcW w:w="1368" w:type="dxa"/>
            <w:vAlign w:val="center"/>
          </w:tcPr>
          <w:p>
            <w:pPr>
              <w:widowControl w:val="0"/>
              <w:jc w:val="center"/>
            </w:pPr>
            <w:r>
              <w:t>115</w:t>
            </w:r>
          </w:p>
        </w:tc>
        <w:tc>
          <w:tcPr>
            <w:tcW w:w="1350" w:type="dxa"/>
            <w:vAlign w:val="center"/>
          </w:tcPr>
          <w:p>
            <w:pPr>
              <w:widowControl w:val="0"/>
              <w:jc w:val="center"/>
            </w:pPr>
            <w:r>
              <w:t>95</w:t>
            </w:r>
          </w:p>
        </w:tc>
        <w:tc>
          <w:tcPr>
            <w:tcW w:w="1413" w:type="dxa"/>
            <w:vAlign w:val="center"/>
          </w:tcPr>
          <w:p>
            <w:pPr>
              <w:widowControl w:val="0"/>
              <w:jc w:val="center"/>
            </w:pPr>
            <w:r>
              <w:t>175</w:t>
            </w:r>
          </w:p>
        </w:tc>
        <w:tc>
          <w:tcPr>
            <w:tcW w:w="1422" w:type="dxa"/>
            <w:vAlign w:val="center"/>
          </w:tcPr>
          <w:p>
            <w:pPr>
              <w:widowControl w:val="0"/>
              <w:jc w:val="center"/>
            </w:pPr>
            <w:r>
              <w:t>150</w:t>
            </w:r>
          </w:p>
        </w:tc>
      </w:tr>
      <w:tr>
        <w:trPr>
          <w:cantSplit/>
          <w:trHeight w:val="20"/>
        </w:trPr>
        <w:tc>
          <w:tcPr>
            <w:tcW w:w="1323" w:type="dxa"/>
            <w:vAlign w:val="center"/>
          </w:tcPr>
          <w:p>
            <w:pPr>
              <w:widowControl w:val="0"/>
              <w:jc w:val="center"/>
            </w:pPr>
            <w:r>
              <w:t>35</w:t>
            </w:r>
          </w:p>
        </w:tc>
        <w:tc>
          <w:tcPr>
            <w:tcW w:w="1314" w:type="dxa"/>
            <w:vAlign w:val="center"/>
          </w:tcPr>
          <w:p>
            <w:pPr>
              <w:widowControl w:val="0"/>
              <w:jc w:val="center"/>
            </w:pPr>
            <w:r>
              <w:t>170</w:t>
            </w:r>
          </w:p>
        </w:tc>
        <w:tc>
          <w:tcPr>
            <w:tcW w:w="1368" w:type="dxa"/>
            <w:vAlign w:val="center"/>
          </w:tcPr>
          <w:p>
            <w:pPr>
              <w:widowControl w:val="0"/>
              <w:jc w:val="center"/>
            </w:pPr>
            <w:r>
              <w:t>140</w:t>
            </w:r>
          </w:p>
        </w:tc>
        <w:tc>
          <w:tcPr>
            <w:tcW w:w="1350" w:type="dxa"/>
            <w:vAlign w:val="center"/>
          </w:tcPr>
          <w:p>
            <w:pPr>
              <w:widowControl w:val="0"/>
              <w:jc w:val="center"/>
            </w:pPr>
            <w:r>
              <w:t>120</w:t>
            </w:r>
          </w:p>
        </w:tc>
        <w:tc>
          <w:tcPr>
            <w:tcW w:w="1413" w:type="dxa"/>
            <w:vAlign w:val="center"/>
          </w:tcPr>
          <w:p>
            <w:pPr>
              <w:widowControl w:val="0"/>
              <w:jc w:val="center"/>
            </w:pPr>
            <w:r>
              <w:t>210</w:t>
            </w:r>
          </w:p>
        </w:tc>
        <w:tc>
          <w:tcPr>
            <w:tcW w:w="1422" w:type="dxa"/>
            <w:vAlign w:val="center"/>
          </w:tcPr>
          <w:p>
            <w:pPr>
              <w:widowControl w:val="0"/>
              <w:jc w:val="center"/>
            </w:pPr>
            <w:r>
              <w:t>180</w:t>
            </w:r>
          </w:p>
        </w:tc>
      </w:tr>
      <w:tr>
        <w:trPr>
          <w:cantSplit/>
          <w:trHeight w:val="20"/>
        </w:trPr>
        <w:tc>
          <w:tcPr>
            <w:tcW w:w="1323" w:type="dxa"/>
            <w:vAlign w:val="center"/>
          </w:tcPr>
          <w:p>
            <w:pPr>
              <w:widowControl w:val="0"/>
              <w:jc w:val="center"/>
            </w:pPr>
            <w:r>
              <w:t>50</w:t>
            </w:r>
          </w:p>
        </w:tc>
        <w:tc>
          <w:tcPr>
            <w:tcW w:w="1314" w:type="dxa"/>
            <w:vAlign w:val="center"/>
          </w:tcPr>
          <w:p>
            <w:pPr>
              <w:widowControl w:val="0"/>
              <w:jc w:val="center"/>
            </w:pPr>
            <w:r>
              <w:t>215</w:t>
            </w:r>
          </w:p>
        </w:tc>
        <w:tc>
          <w:tcPr>
            <w:tcW w:w="1368" w:type="dxa"/>
            <w:vAlign w:val="center"/>
          </w:tcPr>
          <w:p>
            <w:pPr>
              <w:widowControl w:val="0"/>
              <w:jc w:val="center"/>
            </w:pPr>
            <w:r>
              <w:t>175</w:t>
            </w:r>
          </w:p>
        </w:tc>
        <w:tc>
          <w:tcPr>
            <w:tcW w:w="1350" w:type="dxa"/>
            <w:vAlign w:val="center"/>
          </w:tcPr>
          <w:p>
            <w:pPr>
              <w:widowControl w:val="0"/>
              <w:jc w:val="center"/>
            </w:pPr>
            <w:r>
              <w:t>145</w:t>
            </w:r>
          </w:p>
        </w:tc>
        <w:tc>
          <w:tcPr>
            <w:tcW w:w="1413" w:type="dxa"/>
            <w:vAlign w:val="center"/>
          </w:tcPr>
          <w:p>
            <w:pPr>
              <w:widowControl w:val="0"/>
              <w:jc w:val="center"/>
            </w:pPr>
            <w:r>
              <w:t>265</w:t>
            </w:r>
          </w:p>
        </w:tc>
        <w:tc>
          <w:tcPr>
            <w:tcW w:w="1422" w:type="dxa"/>
            <w:vAlign w:val="center"/>
          </w:tcPr>
          <w:p>
            <w:pPr>
              <w:widowControl w:val="0"/>
              <w:jc w:val="center"/>
            </w:pPr>
            <w:r>
              <w:t>225</w:t>
            </w:r>
          </w:p>
        </w:tc>
      </w:tr>
      <w:tr>
        <w:trPr>
          <w:cantSplit/>
          <w:trHeight w:val="20"/>
        </w:trPr>
        <w:tc>
          <w:tcPr>
            <w:tcW w:w="1323" w:type="dxa"/>
            <w:vAlign w:val="center"/>
          </w:tcPr>
          <w:p>
            <w:pPr>
              <w:widowControl w:val="0"/>
              <w:jc w:val="center"/>
            </w:pPr>
            <w:r>
              <w:t>70</w:t>
            </w:r>
          </w:p>
        </w:tc>
        <w:tc>
          <w:tcPr>
            <w:tcW w:w="1314" w:type="dxa"/>
            <w:vAlign w:val="center"/>
          </w:tcPr>
          <w:p>
            <w:pPr>
              <w:widowControl w:val="0"/>
              <w:jc w:val="center"/>
            </w:pPr>
            <w:r>
              <w:t>270</w:t>
            </w:r>
          </w:p>
        </w:tc>
        <w:tc>
          <w:tcPr>
            <w:tcW w:w="1368" w:type="dxa"/>
            <w:vAlign w:val="center"/>
          </w:tcPr>
          <w:p>
            <w:pPr>
              <w:widowControl w:val="0"/>
              <w:jc w:val="center"/>
            </w:pPr>
            <w:r>
              <w:t>215</w:t>
            </w:r>
          </w:p>
        </w:tc>
        <w:tc>
          <w:tcPr>
            <w:tcW w:w="1350" w:type="dxa"/>
            <w:vAlign w:val="center"/>
          </w:tcPr>
          <w:p>
            <w:pPr>
              <w:widowControl w:val="0"/>
              <w:jc w:val="center"/>
            </w:pPr>
            <w:r>
              <w:t>180</w:t>
            </w:r>
          </w:p>
        </w:tc>
        <w:tc>
          <w:tcPr>
            <w:tcW w:w="1413" w:type="dxa"/>
            <w:vAlign w:val="center"/>
          </w:tcPr>
          <w:p>
            <w:pPr>
              <w:widowControl w:val="0"/>
              <w:jc w:val="center"/>
            </w:pPr>
            <w:r>
              <w:t>320</w:t>
            </w:r>
          </w:p>
        </w:tc>
        <w:tc>
          <w:tcPr>
            <w:tcW w:w="1422" w:type="dxa"/>
            <w:vAlign w:val="center"/>
          </w:tcPr>
          <w:p>
            <w:pPr>
              <w:widowControl w:val="0"/>
              <w:jc w:val="center"/>
            </w:pPr>
            <w:r>
              <w:t>275</w:t>
            </w:r>
          </w:p>
        </w:tc>
      </w:tr>
      <w:tr>
        <w:trPr>
          <w:cantSplit/>
          <w:trHeight w:val="20"/>
        </w:trPr>
        <w:tc>
          <w:tcPr>
            <w:tcW w:w="1323" w:type="dxa"/>
            <w:vAlign w:val="center"/>
          </w:tcPr>
          <w:p>
            <w:pPr>
              <w:widowControl w:val="0"/>
              <w:jc w:val="center"/>
            </w:pPr>
            <w:r>
              <w:t>95</w:t>
            </w:r>
          </w:p>
        </w:tc>
        <w:tc>
          <w:tcPr>
            <w:tcW w:w="1314" w:type="dxa"/>
            <w:vAlign w:val="center"/>
          </w:tcPr>
          <w:p>
            <w:pPr>
              <w:widowControl w:val="0"/>
              <w:jc w:val="center"/>
            </w:pPr>
            <w:r>
              <w:t>325</w:t>
            </w:r>
          </w:p>
        </w:tc>
        <w:tc>
          <w:tcPr>
            <w:tcW w:w="1368" w:type="dxa"/>
            <w:vAlign w:val="center"/>
          </w:tcPr>
          <w:p>
            <w:pPr>
              <w:widowControl w:val="0"/>
              <w:jc w:val="center"/>
            </w:pPr>
            <w:r>
              <w:t>260</w:t>
            </w:r>
          </w:p>
        </w:tc>
        <w:tc>
          <w:tcPr>
            <w:tcW w:w="1350" w:type="dxa"/>
            <w:vAlign w:val="center"/>
          </w:tcPr>
          <w:p>
            <w:pPr>
              <w:widowControl w:val="0"/>
              <w:jc w:val="center"/>
            </w:pPr>
            <w:r>
              <w:t>220</w:t>
            </w:r>
          </w:p>
        </w:tc>
        <w:tc>
          <w:tcPr>
            <w:tcW w:w="1413" w:type="dxa"/>
            <w:vAlign w:val="center"/>
          </w:tcPr>
          <w:p>
            <w:pPr>
              <w:widowControl w:val="0"/>
              <w:jc w:val="center"/>
            </w:pPr>
            <w:r>
              <w:t>385</w:t>
            </w:r>
          </w:p>
        </w:tc>
        <w:tc>
          <w:tcPr>
            <w:tcW w:w="1422" w:type="dxa"/>
            <w:vAlign w:val="center"/>
          </w:tcPr>
          <w:p>
            <w:pPr>
              <w:widowControl w:val="0"/>
              <w:jc w:val="center"/>
            </w:pPr>
            <w:r>
              <w:t>330</w:t>
            </w:r>
          </w:p>
        </w:tc>
      </w:tr>
      <w:tr>
        <w:trPr>
          <w:cantSplit/>
          <w:trHeight w:val="20"/>
        </w:trPr>
        <w:tc>
          <w:tcPr>
            <w:tcW w:w="1323" w:type="dxa"/>
            <w:vAlign w:val="center"/>
          </w:tcPr>
          <w:p>
            <w:pPr>
              <w:widowControl w:val="0"/>
              <w:jc w:val="center"/>
            </w:pPr>
            <w:r>
              <w:t>120</w:t>
            </w:r>
          </w:p>
        </w:tc>
        <w:tc>
          <w:tcPr>
            <w:tcW w:w="1314" w:type="dxa"/>
            <w:vAlign w:val="center"/>
          </w:tcPr>
          <w:p>
            <w:pPr>
              <w:widowControl w:val="0"/>
              <w:jc w:val="center"/>
            </w:pPr>
            <w:r>
              <w:t>385</w:t>
            </w:r>
          </w:p>
        </w:tc>
        <w:tc>
          <w:tcPr>
            <w:tcW w:w="1368" w:type="dxa"/>
            <w:vAlign w:val="center"/>
          </w:tcPr>
          <w:p>
            <w:pPr>
              <w:widowControl w:val="0"/>
              <w:jc w:val="center"/>
            </w:pPr>
            <w:r>
              <w:t>300</w:t>
            </w:r>
          </w:p>
        </w:tc>
        <w:tc>
          <w:tcPr>
            <w:tcW w:w="1350" w:type="dxa"/>
            <w:vAlign w:val="center"/>
          </w:tcPr>
          <w:p>
            <w:pPr>
              <w:widowControl w:val="0"/>
              <w:jc w:val="center"/>
            </w:pPr>
            <w:r>
              <w:t>260</w:t>
            </w:r>
          </w:p>
        </w:tc>
        <w:tc>
          <w:tcPr>
            <w:tcW w:w="1413" w:type="dxa"/>
            <w:vAlign w:val="center"/>
          </w:tcPr>
          <w:p>
            <w:pPr>
              <w:widowControl w:val="0"/>
              <w:jc w:val="center"/>
            </w:pPr>
            <w:r>
              <w:t>445</w:t>
            </w:r>
          </w:p>
        </w:tc>
        <w:tc>
          <w:tcPr>
            <w:tcW w:w="1422" w:type="dxa"/>
            <w:vAlign w:val="center"/>
          </w:tcPr>
          <w:p>
            <w:pPr>
              <w:widowControl w:val="0"/>
              <w:jc w:val="center"/>
            </w:pPr>
            <w:r>
              <w:t>385</w:t>
            </w:r>
          </w:p>
        </w:tc>
      </w:tr>
      <w:tr>
        <w:trPr>
          <w:cantSplit/>
          <w:trHeight w:val="20"/>
        </w:trPr>
        <w:tc>
          <w:tcPr>
            <w:tcW w:w="1323" w:type="dxa"/>
            <w:vAlign w:val="center"/>
          </w:tcPr>
          <w:p>
            <w:pPr>
              <w:widowControl w:val="0"/>
              <w:jc w:val="center"/>
            </w:pPr>
            <w:r>
              <w:t>150</w:t>
            </w:r>
          </w:p>
        </w:tc>
        <w:tc>
          <w:tcPr>
            <w:tcW w:w="1314" w:type="dxa"/>
            <w:vAlign w:val="center"/>
          </w:tcPr>
          <w:p>
            <w:pPr>
              <w:widowControl w:val="0"/>
              <w:jc w:val="center"/>
            </w:pPr>
            <w:r>
              <w:t>440</w:t>
            </w:r>
          </w:p>
        </w:tc>
        <w:tc>
          <w:tcPr>
            <w:tcW w:w="1368" w:type="dxa"/>
            <w:vAlign w:val="center"/>
          </w:tcPr>
          <w:p>
            <w:pPr>
              <w:widowControl w:val="0"/>
              <w:jc w:val="center"/>
            </w:pPr>
            <w:r>
              <w:t>350</w:t>
            </w:r>
          </w:p>
        </w:tc>
        <w:tc>
          <w:tcPr>
            <w:tcW w:w="1350" w:type="dxa"/>
            <w:vAlign w:val="center"/>
          </w:tcPr>
          <w:p>
            <w:pPr>
              <w:widowControl w:val="0"/>
              <w:jc w:val="center"/>
            </w:pPr>
            <w:r>
              <w:t>305</w:t>
            </w:r>
          </w:p>
        </w:tc>
        <w:tc>
          <w:tcPr>
            <w:tcW w:w="1413" w:type="dxa"/>
            <w:vAlign w:val="center"/>
          </w:tcPr>
          <w:p>
            <w:pPr>
              <w:widowControl w:val="0"/>
              <w:jc w:val="center"/>
            </w:pPr>
            <w:r>
              <w:t>505</w:t>
            </w:r>
          </w:p>
        </w:tc>
        <w:tc>
          <w:tcPr>
            <w:tcW w:w="1422" w:type="dxa"/>
            <w:vAlign w:val="center"/>
          </w:tcPr>
          <w:p>
            <w:pPr>
              <w:widowControl w:val="0"/>
              <w:jc w:val="center"/>
            </w:pPr>
            <w:r>
              <w:t>435</w:t>
            </w:r>
          </w:p>
        </w:tc>
      </w:tr>
      <w:tr>
        <w:trPr>
          <w:cantSplit/>
          <w:trHeight w:val="20"/>
        </w:trPr>
        <w:tc>
          <w:tcPr>
            <w:tcW w:w="1323" w:type="dxa"/>
            <w:vAlign w:val="center"/>
          </w:tcPr>
          <w:p>
            <w:pPr>
              <w:widowControl w:val="0"/>
              <w:jc w:val="center"/>
            </w:pPr>
            <w:r>
              <w:t>185</w:t>
            </w:r>
          </w:p>
        </w:tc>
        <w:tc>
          <w:tcPr>
            <w:tcW w:w="1314" w:type="dxa"/>
            <w:vAlign w:val="center"/>
          </w:tcPr>
          <w:p>
            <w:pPr>
              <w:widowControl w:val="0"/>
              <w:jc w:val="center"/>
            </w:pPr>
            <w:r>
              <w:t>510</w:t>
            </w:r>
          </w:p>
        </w:tc>
        <w:tc>
          <w:tcPr>
            <w:tcW w:w="1368" w:type="dxa"/>
            <w:vAlign w:val="center"/>
          </w:tcPr>
          <w:p>
            <w:pPr>
              <w:widowControl w:val="0"/>
              <w:jc w:val="center"/>
            </w:pPr>
            <w:r>
              <w:t>405</w:t>
            </w:r>
          </w:p>
        </w:tc>
        <w:tc>
          <w:tcPr>
            <w:tcW w:w="1350" w:type="dxa"/>
            <w:vAlign w:val="center"/>
          </w:tcPr>
          <w:p>
            <w:pPr>
              <w:widowControl w:val="0"/>
              <w:jc w:val="center"/>
            </w:pPr>
            <w:r>
              <w:t>350</w:t>
            </w:r>
          </w:p>
        </w:tc>
        <w:tc>
          <w:tcPr>
            <w:tcW w:w="1413" w:type="dxa"/>
            <w:vAlign w:val="center"/>
          </w:tcPr>
          <w:p>
            <w:pPr>
              <w:widowControl w:val="0"/>
              <w:jc w:val="center"/>
            </w:pPr>
            <w:r>
              <w:t>570</w:t>
            </w:r>
          </w:p>
        </w:tc>
        <w:tc>
          <w:tcPr>
            <w:tcW w:w="1422" w:type="dxa"/>
            <w:vAlign w:val="center"/>
          </w:tcPr>
          <w:p>
            <w:pPr>
              <w:widowControl w:val="0"/>
              <w:jc w:val="center"/>
            </w:pPr>
            <w:r>
              <w:t>500</w:t>
            </w:r>
          </w:p>
        </w:tc>
      </w:tr>
    </w:tbl>
    <w:p>
      <w:pPr>
        <w:widowControl w:val="0"/>
        <w:ind w:firstLine="567"/>
        <w:jc w:val="both"/>
        <w:rPr>
          <w:bCs/>
        </w:rPr>
      </w:pPr>
    </w:p>
    <w:p>
      <w:pPr>
        <w:widowControl w:val="0"/>
        <w:ind w:firstLine="567"/>
        <w:jc w:val="both"/>
        <w:rPr>
          <w:b/>
          <w:bCs/>
        </w:rPr>
      </w:pPr>
      <w:r>
        <w:rPr>
          <w:b/>
          <w:bCs/>
        </w:rPr>
        <w:t>7 lentelė. Žemėje arba ore tiesiamų iki 1000 V įtampos šarvuotų ir nešarvuotų aliumininių kabelių gumine ir plastikine izoliacija švininiame, polivinilchloridiniame arba guminiame apvalkale leistinoji ilgalaikė srovė</w:t>
      </w:r>
    </w:p>
    <w:p>
      <w:pPr>
        <w:widowControl w:val="0"/>
        <w:ind w:firstLine="567"/>
        <w:jc w:val="both"/>
      </w:pPr>
    </w:p>
    <w:p>
      <w:pPr>
        <w:widowControl w:val="0"/>
        <w:ind w:firstLine="567"/>
        <w:jc w:val="both"/>
      </w:pPr>
      <w:r>
        <w:t xml:space="preserve">Temperatūra: kabelių +65 </w:t>
      </w:r>
      <w:r>
        <w:rPr>
          <w:vertAlign w:val="superscript"/>
        </w:rPr>
        <w:t>o</w:t>
      </w:r>
      <w:r>
        <w:t xml:space="preserve">C, oro +25 oc, žemės +15 </w:t>
      </w:r>
      <w:r>
        <w:rPr>
          <w:vertAlign w:val="superscript"/>
        </w:rPr>
        <w:t>o</w:t>
      </w:r>
      <w:r>
        <w:t>C.</w:t>
      </w:r>
    </w:p>
    <w:p>
      <w:pPr>
        <w:widowControl w:val="0"/>
        <w:ind w:firstLine="567"/>
        <w:jc w:val="both"/>
      </w:pPr>
      <w:r>
        <w:t>Žemės savitoji šiluminė varža 1,2 K·m/W.</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3"/>
        <w:gridCol w:w="1418"/>
        <w:gridCol w:w="1420"/>
        <w:gridCol w:w="1304"/>
        <w:gridCol w:w="1535"/>
        <w:gridCol w:w="1420"/>
      </w:tblGrid>
      <w:tr>
        <w:trPr>
          <w:cantSplit/>
        </w:trPr>
        <w:tc>
          <w:tcPr>
            <w:tcW w:w="1806" w:type="dxa"/>
            <w:vMerge w:val="restart"/>
            <w:vAlign w:val="center"/>
          </w:tcPr>
          <w:p>
            <w:pPr>
              <w:widowControl w:val="0"/>
              <w:jc w:val="center"/>
              <w:rPr>
                <w:vertAlign w:val="superscript"/>
              </w:rPr>
            </w:pPr>
            <w:r>
              <w:t>Kabelio skerspjūvis, mm</w:t>
            </w:r>
            <w:r>
              <w:rPr>
                <w:vertAlign w:val="superscript"/>
              </w:rPr>
              <w:t>2</w:t>
            </w:r>
          </w:p>
        </w:tc>
        <w:tc>
          <w:tcPr>
            <w:tcW w:w="6501" w:type="dxa"/>
            <w:gridSpan w:val="5"/>
            <w:vAlign w:val="center"/>
          </w:tcPr>
          <w:p>
            <w:pPr>
              <w:widowControl w:val="0"/>
              <w:jc w:val="center"/>
            </w:pPr>
            <w:r>
              <w:t>Kabelių leistinoji ilgalaikė srovė, A</w:t>
            </w:r>
          </w:p>
        </w:tc>
      </w:tr>
      <w:tr>
        <w:trPr>
          <w:cantSplit/>
        </w:trPr>
        <w:tc>
          <w:tcPr>
            <w:tcW w:w="1806" w:type="dxa"/>
            <w:vMerge/>
            <w:vAlign w:val="center"/>
          </w:tcPr>
          <w:p>
            <w:pPr>
              <w:widowControl w:val="0"/>
              <w:jc w:val="center"/>
            </w:pPr>
          </w:p>
        </w:tc>
        <w:tc>
          <w:tcPr>
            <w:tcW w:w="3794" w:type="dxa"/>
            <w:gridSpan w:val="3"/>
            <w:vAlign w:val="center"/>
          </w:tcPr>
          <w:p>
            <w:pPr>
              <w:widowControl w:val="0"/>
              <w:jc w:val="center"/>
            </w:pPr>
            <w:r>
              <w:t>ore</w:t>
            </w:r>
          </w:p>
        </w:tc>
        <w:tc>
          <w:tcPr>
            <w:tcW w:w="2707" w:type="dxa"/>
            <w:gridSpan w:val="2"/>
            <w:vAlign w:val="center"/>
          </w:tcPr>
          <w:p>
            <w:pPr>
              <w:widowControl w:val="0"/>
              <w:jc w:val="center"/>
            </w:pPr>
            <w:r>
              <w:t>žemėje</w:t>
            </w:r>
          </w:p>
        </w:tc>
      </w:tr>
      <w:tr>
        <w:trPr>
          <w:cantSplit/>
        </w:trPr>
        <w:tc>
          <w:tcPr>
            <w:tcW w:w="1806" w:type="dxa"/>
            <w:vMerge/>
            <w:vAlign w:val="center"/>
          </w:tcPr>
          <w:p>
            <w:pPr>
              <w:widowControl w:val="0"/>
              <w:jc w:val="center"/>
            </w:pPr>
          </w:p>
        </w:tc>
        <w:tc>
          <w:tcPr>
            <w:tcW w:w="1299" w:type="dxa"/>
            <w:vAlign w:val="center"/>
          </w:tcPr>
          <w:p>
            <w:pPr>
              <w:widowControl w:val="0"/>
              <w:jc w:val="center"/>
            </w:pPr>
            <w:r>
              <w:t>viengyslių</w:t>
            </w:r>
          </w:p>
        </w:tc>
        <w:tc>
          <w:tcPr>
            <w:tcW w:w="1301" w:type="dxa"/>
            <w:vAlign w:val="center"/>
          </w:tcPr>
          <w:p>
            <w:pPr>
              <w:widowControl w:val="0"/>
              <w:jc w:val="center"/>
            </w:pPr>
            <w:r>
              <w:t>dvigyslių</w:t>
            </w:r>
          </w:p>
        </w:tc>
        <w:tc>
          <w:tcPr>
            <w:tcW w:w="1194" w:type="dxa"/>
            <w:vAlign w:val="center"/>
          </w:tcPr>
          <w:p>
            <w:pPr>
              <w:widowControl w:val="0"/>
              <w:jc w:val="center"/>
            </w:pPr>
            <w:r>
              <w:t>trigyslių</w:t>
            </w:r>
          </w:p>
        </w:tc>
        <w:tc>
          <w:tcPr>
            <w:tcW w:w="1406" w:type="dxa"/>
            <w:vAlign w:val="center"/>
          </w:tcPr>
          <w:p>
            <w:pPr>
              <w:widowControl w:val="0"/>
              <w:jc w:val="center"/>
            </w:pPr>
            <w:r>
              <w:t>dvigyslių</w:t>
            </w:r>
          </w:p>
        </w:tc>
        <w:tc>
          <w:tcPr>
            <w:tcW w:w="1301" w:type="dxa"/>
            <w:vAlign w:val="center"/>
          </w:tcPr>
          <w:p>
            <w:pPr>
              <w:widowControl w:val="0"/>
              <w:jc w:val="center"/>
            </w:pPr>
            <w:r>
              <w:t>trigyslių</w:t>
            </w:r>
          </w:p>
        </w:tc>
      </w:tr>
      <w:tr>
        <w:trPr>
          <w:cantSplit/>
        </w:trPr>
        <w:tc>
          <w:tcPr>
            <w:tcW w:w="1806" w:type="dxa"/>
            <w:vAlign w:val="center"/>
          </w:tcPr>
          <w:p>
            <w:pPr>
              <w:widowControl w:val="0"/>
              <w:jc w:val="center"/>
            </w:pPr>
            <w:r>
              <w:t>2,5</w:t>
            </w:r>
          </w:p>
        </w:tc>
        <w:tc>
          <w:tcPr>
            <w:tcW w:w="1299" w:type="dxa"/>
            <w:vAlign w:val="center"/>
          </w:tcPr>
          <w:p>
            <w:pPr>
              <w:widowControl w:val="0"/>
              <w:jc w:val="center"/>
            </w:pPr>
            <w:r>
              <w:t>23</w:t>
            </w:r>
          </w:p>
        </w:tc>
        <w:tc>
          <w:tcPr>
            <w:tcW w:w="1301" w:type="dxa"/>
            <w:vAlign w:val="center"/>
          </w:tcPr>
          <w:p>
            <w:pPr>
              <w:widowControl w:val="0"/>
              <w:jc w:val="center"/>
            </w:pPr>
            <w:r>
              <w:t>21</w:t>
            </w:r>
          </w:p>
        </w:tc>
        <w:tc>
          <w:tcPr>
            <w:tcW w:w="1194" w:type="dxa"/>
            <w:vAlign w:val="center"/>
          </w:tcPr>
          <w:p>
            <w:pPr>
              <w:widowControl w:val="0"/>
              <w:jc w:val="center"/>
            </w:pPr>
            <w:r>
              <w:t>19</w:t>
            </w:r>
          </w:p>
        </w:tc>
        <w:tc>
          <w:tcPr>
            <w:tcW w:w="1406" w:type="dxa"/>
            <w:vAlign w:val="center"/>
          </w:tcPr>
          <w:p>
            <w:pPr>
              <w:widowControl w:val="0"/>
              <w:jc w:val="center"/>
            </w:pPr>
            <w:r>
              <w:t>34</w:t>
            </w:r>
          </w:p>
        </w:tc>
        <w:tc>
          <w:tcPr>
            <w:tcW w:w="1301" w:type="dxa"/>
            <w:vAlign w:val="center"/>
          </w:tcPr>
          <w:p>
            <w:pPr>
              <w:widowControl w:val="0"/>
              <w:jc w:val="center"/>
            </w:pPr>
            <w:r>
              <w:t>29</w:t>
            </w:r>
          </w:p>
        </w:tc>
      </w:tr>
      <w:tr>
        <w:trPr>
          <w:cantSplit/>
        </w:trPr>
        <w:tc>
          <w:tcPr>
            <w:tcW w:w="1806" w:type="dxa"/>
            <w:vAlign w:val="center"/>
          </w:tcPr>
          <w:p>
            <w:pPr>
              <w:widowControl w:val="0"/>
              <w:jc w:val="center"/>
            </w:pPr>
            <w:r>
              <w:t>4</w:t>
            </w:r>
          </w:p>
        </w:tc>
        <w:tc>
          <w:tcPr>
            <w:tcW w:w="1299" w:type="dxa"/>
            <w:vAlign w:val="center"/>
          </w:tcPr>
          <w:p>
            <w:pPr>
              <w:widowControl w:val="0"/>
              <w:jc w:val="center"/>
            </w:pPr>
            <w:r>
              <w:t>31</w:t>
            </w:r>
          </w:p>
        </w:tc>
        <w:tc>
          <w:tcPr>
            <w:tcW w:w="1301" w:type="dxa"/>
            <w:vAlign w:val="center"/>
          </w:tcPr>
          <w:p>
            <w:pPr>
              <w:widowControl w:val="0"/>
              <w:jc w:val="center"/>
            </w:pPr>
            <w:r>
              <w:t>29</w:t>
            </w:r>
          </w:p>
        </w:tc>
        <w:tc>
          <w:tcPr>
            <w:tcW w:w="1194" w:type="dxa"/>
            <w:vAlign w:val="center"/>
          </w:tcPr>
          <w:p>
            <w:pPr>
              <w:widowControl w:val="0"/>
              <w:jc w:val="center"/>
            </w:pPr>
            <w:r>
              <w:t>27</w:t>
            </w:r>
          </w:p>
        </w:tc>
        <w:tc>
          <w:tcPr>
            <w:tcW w:w="1406" w:type="dxa"/>
            <w:vAlign w:val="center"/>
          </w:tcPr>
          <w:p>
            <w:pPr>
              <w:widowControl w:val="0"/>
              <w:jc w:val="center"/>
            </w:pPr>
            <w:r>
              <w:t>42</w:t>
            </w:r>
          </w:p>
        </w:tc>
        <w:tc>
          <w:tcPr>
            <w:tcW w:w="1301" w:type="dxa"/>
            <w:vAlign w:val="center"/>
          </w:tcPr>
          <w:p>
            <w:pPr>
              <w:widowControl w:val="0"/>
              <w:jc w:val="center"/>
            </w:pPr>
            <w:r>
              <w:t>38</w:t>
            </w:r>
          </w:p>
        </w:tc>
      </w:tr>
      <w:tr>
        <w:trPr>
          <w:cantSplit/>
        </w:trPr>
        <w:tc>
          <w:tcPr>
            <w:tcW w:w="1806" w:type="dxa"/>
            <w:vAlign w:val="center"/>
          </w:tcPr>
          <w:p>
            <w:pPr>
              <w:widowControl w:val="0"/>
              <w:jc w:val="center"/>
            </w:pPr>
            <w:r>
              <w:t>6</w:t>
            </w:r>
          </w:p>
        </w:tc>
        <w:tc>
          <w:tcPr>
            <w:tcW w:w="1299" w:type="dxa"/>
            <w:vAlign w:val="center"/>
          </w:tcPr>
          <w:p>
            <w:pPr>
              <w:widowControl w:val="0"/>
              <w:jc w:val="center"/>
            </w:pPr>
            <w:r>
              <w:t>38</w:t>
            </w:r>
          </w:p>
        </w:tc>
        <w:tc>
          <w:tcPr>
            <w:tcW w:w="1301" w:type="dxa"/>
            <w:vAlign w:val="center"/>
          </w:tcPr>
          <w:p>
            <w:pPr>
              <w:widowControl w:val="0"/>
              <w:jc w:val="center"/>
            </w:pPr>
            <w:r>
              <w:t>38</w:t>
            </w:r>
          </w:p>
        </w:tc>
        <w:tc>
          <w:tcPr>
            <w:tcW w:w="1194" w:type="dxa"/>
            <w:vAlign w:val="center"/>
          </w:tcPr>
          <w:p>
            <w:pPr>
              <w:widowControl w:val="0"/>
              <w:jc w:val="center"/>
            </w:pPr>
            <w:r>
              <w:t>32</w:t>
            </w:r>
          </w:p>
        </w:tc>
        <w:tc>
          <w:tcPr>
            <w:tcW w:w="1406" w:type="dxa"/>
            <w:vAlign w:val="center"/>
          </w:tcPr>
          <w:p>
            <w:pPr>
              <w:widowControl w:val="0"/>
              <w:jc w:val="center"/>
            </w:pPr>
            <w:r>
              <w:t>55</w:t>
            </w:r>
          </w:p>
        </w:tc>
        <w:tc>
          <w:tcPr>
            <w:tcW w:w="1301" w:type="dxa"/>
            <w:vAlign w:val="center"/>
          </w:tcPr>
          <w:p>
            <w:pPr>
              <w:widowControl w:val="0"/>
              <w:jc w:val="center"/>
            </w:pPr>
            <w:r>
              <w:t>46</w:t>
            </w:r>
          </w:p>
        </w:tc>
      </w:tr>
      <w:tr>
        <w:trPr>
          <w:cantSplit/>
        </w:trPr>
        <w:tc>
          <w:tcPr>
            <w:tcW w:w="1806" w:type="dxa"/>
            <w:vAlign w:val="center"/>
          </w:tcPr>
          <w:p>
            <w:pPr>
              <w:widowControl w:val="0"/>
              <w:jc w:val="center"/>
            </w:pPr>
            <w:r>
              <w:t>10</w:t>
            </w:r>
          </w:p>
        </w:tc>
        <w:tc>
          <w:tcPr>
            <w:tcW w:w="1299" w:type="dxa"/>
            <w:vAlign w:val="center"/>
          </w:tcPr>
          <w:p>
            <w:pPr>
              <w:widowControl w:val="0"/>
              <w:jc w:val="center"/>
            </w:pPr>
            <w:r>
              <w:t>60</w:t>
            </w:r>
          </w:p>
        </w:tc>
        <w:tc>
          <w:tcPr>
            <w:tcW w:w="1301" w:type="dxa"/>
            <w:vAlign w:val="center"/>
          </w:tcPr>
          <w:p>
            <w:pPr>
              <w:widowControl w:val="0"/>
              <w:jc w:val="center"/>
            </w:pPr>
            <w:r>
              <w:t>55</w:t>
            </w:r>
          </w:p>
        </w:tc>
        <w:tc>
          <w:tcPr>
            <w:tcW w:w="1194" w:type="dxa"/>
            <w:vAlign w:val="center"/>
          </w:tcPr>
          <w:p>
            <w:pPr>
              <w:widowControl w:val="0"/>
              <w:jc w:val="center"/>
            </w:pPr>
            <w:r>
              <w:t>42</w:t>
            </w:r>
          </w:p>
        </w:tc>
        <w:tc>
          <w:tcPr>
            <w:tcW w:w="1406" w:type="dxa"/>
            <w:vAlign w:val="center"/>
          </w:tcPr>
          <w:p>
            <w:pPr>
              <w:widowControl w:val="0"/>
              <w:jc w:val="center"/>
            </w:pPr>
            <w:r>
              <w:t>80</w:t>
            </w:r>
          </w:p>
        </w:tc>
        <w:tc>
          <w:tcPr>
            <w:tcW w:w="1301" w:type="dxa"/>
            <w:vAlign w:val="center"/>
          </w:tcPr>
          <w:p>
            <w:pPr>
              <w:widowControl w:val="0"/>
              <w:jc w:val="center"/>
            </w:pPr>
            <w:r>
              <w:t>70</w:t>
            </w:r>
          </w:p>
        </w:tc>
      </w:tr>
      <w:tr>
        <w:trPr>
          <w:cantSplit/>
        </w:trPr>
        <w:tc>
          <w:tcPr>
            <w:tcW w:w="1806" w:type="dxa"/>
            <w:vAlign w:val="center"/>
          </w:tcPr>
          <w:p>
            <w:pPr>
              <w:widowControl w:val="0"/>
              <w:jc w:val="center"/>
            </w:pPr>
            <w:r>
              <w:t>16</w:t>
            </w:r>
          </w:p>
        </w:tc>
        <w:tc>
          <w:tcPr>
            <w:tcW w:w="1299" w:type="dxa"/>
            <w:vAlign w:val="center"/>
          </w:tcPr>
          <w:p>
            <w:pPr>
              <w:widowControl w:val="0"/>
              <w:jc w:val="center"/>
            </w:pPr>
            <w:r>
              <w:t>75</w:t>
            </w:r>
          </w:p>
        </w:tc>
        <w:tc>
          <w:tcPr>
            <w:tcW w:w="1301" w:type="dxa"/>
            <w:vAlign w:val="center"/>
          </w:tcPr>
          <w:p>
            <w:pPr>
              <w:widowControl w:val="0"/>
              <w:jc w:val="center"/>
            </w:pPr>
            <w:r>
              <w:t>70</w:t>
            </w:r>
          </w:p>
        </w:tc>
        <w:tc>
          <w:tcPr>
            <w:tcW w:w="1194" w:type="dxa"/>
            <w:vAlign w:val="center"/>
          </w:tcPr>
          <w:p>
            <w:pPr>
              <w:widowControl w:val="0"/>
              <w:jc w:val="center"/>
            </w:pPr>
            <w:r>
              <w:t>60</w:t>
            </w:r>
          </w:p>
        </w:tc>
        <w:tc>
          <w:tcPr>
            <w:tcW w:w="1406" w:type="dxa"/>
            <w:vAlign w:val="center"/>
          </w:tcPr>
          <w:p>
            <w:pPr>
              <w:widowControl w:val="0"/>
              <w:jc w:val="center"/>
            </w:pPr>
            <w:r>
              <w:t>105</w:t>
            </w:r>
          </w:p>
        </w:tc>
        <w:tc>
          <w:tcPr>
            <w:tcW w:w="1301" w:type="dxa"/>
            <w:vAlign w:val="center"/>
          </w:tcPr>
          <w:p>
            <w:pPr>
              <w:widowControl w:val="0"/>
              <w:jc w:val="center"/>
            </w:pPr>
            <w:r>
              <w:t>90</w:t>
            </w:r>
          </w:p>
        </w:tc>
      </w:tr>
      <w:tr>
        <w:trPr>
          <w:cantSplit/>
        </w:trPr>
        <w:tc>
          <w:tcPr>
            <w:tcW w:w="1806" w:type="dxa"/>
            <w:vAlign w:val="center"/>
          </w:tcPr>
          <w:p>
            <w:pPr>
              <w:widowControl w:val="0"/>
              <w:jc w:val="center"/>
            </w:pPr>
            <w:r>
              <w:t>25</w:t>
            </w:r>
          </w:p>
        </w:tc>
        <w:tc>
          <w:tcPr>
            <w:tcW w:w="1299" w:type="dxa"/>
            <w:vAlign w:val="center"/>
          </w:tcPr>
          <w:p>
            <w:pPr>
              <w:widowControl w:val="0"/>
              <w:jc w:val="center"/>
            </w:pPr>
            <w:r>
              <w:t>105</w:t>
            </w:r>
          </w:p>
        </w:tc>
        <w:tc>
          <w:tcPr>
            <w:tcW w:w="1301" w:type="dxa"/>
            <w:vAlign w:val="center"/>
          </w:tcPr>
          <w:p>
            <w:pPr>
              <w:widowControl w:val="0"/>
              <w:jc w:val="center"/>
            </w:pPr>
            <w:r>
              <w:t>90</w:t>
            </w:r>
          </w:p>
        </w:tc>
        <w:tc>
          <w:tcPr>
            <w:tcW w:w="1194" w:type="dxa"/>
            <w:vAlign w:val="center"/>
          </w:tcPr>
          <w:p>
            <w:pPr>
              <w:widowControl w:val="0"/>
              <w:jc w:val="center"/>
            </w:pPr>
            <w:r>
              <w:t>75</w:t>
            </w:r>
          </w:p>
        </w:tc>
        <w:tc>
          <w:tcPr>
            <w:tcW w:w="1406" w:type="dxa"/>
            <w:vAlign w:val="center"/>
          </w:tcPr>
          <w:p>
            <w:pPr>
              <w:widowControl w:val="0"/>
              <w:jc w:val="center"/>
            </w:pPr>
            <w:r>
              <w:t>135</w:t>
            </w:r>
          </w:p>
        </w:tc>
        <w:tc>
          <w:tcPr>
            <w:tcW w:w="1301" w:type="dxa"/>
            <w:vAlign w:val="center"/>
          </w:tcPr>
          <w:p>
            <w:pPr>
              <w:widowControl w:val="0"/>
              <w:jc w:val="center"/>
            </w:pPr>
            <w:r>
              <w:t>115</w:t>
            </w:r>
          </w:p>
        </w:tc>
      </w:tr>
      <w:tr>
        <w:trPr>
          <w:cantSplit/>
        </w:trPr>
        <w:tc>
          <w:tcPr>
            <w:tcW w:w="1806" w:type="dxa"/>
            <w:vAlign w:val="center"/>
          </w:tcPr>
          <w:p>
            <w:pPr>
              <w:widowControl w:val="0"/>
              <w:jc w:val="center"/>
            </w:pPr>
            <w:r>
              <w:t>35</w:t>
            </w:r>
          </w:p>
        </w:tc>
        <w:tc>
          <w:tcPr>
            <w:tcW w:w="1299" w:type="dxa"/>
            <w:vAlign w:val="center"/>
          </w:tcPr>
          <w:p>
            <w:pPr>
              <w:widowControl w:val="0"/>
              <w:jc w:val="center"/>
            </w:pPr>
            <w:r>
              <w:t>130</w:t>
            </w:r>
          </w:p>
        </w:tc>
        <w:tc>
          <w:tcPr>
            <w:tcW w:w="1301" w:type="dxa"/>
            <w:vAlign w:val="center"/>
          </w:tcPr>
          <w:p>
            <w:pPr>
              <w:widowControl w:val="0"/>
              <w:jc w:val="center"/>
            </w:pPr>
            <w:r>
              <w:t>105</w:t>
            </w:r>
          </w:p>
        </w:tc>
        <w:tc>
          <w:tcPr>
            <w:tcW w:w="1194" w:type="dxa"/>
            <w:vAlign w:val="center"/>
          </w:tcPr>
          <w:p>
            <w:pPr>
              <w:widowControl w:val="0"/>
              <w:jc w:val="center"/>
            </w:pPr>
            <w:r>
              <w:t>90</w:t>
            </w:r>
          </w:p>
        </w:tc>
        <w:tc>
          <w:tcPr>
            <w:tcW w:w="1406" w:type="dxa"/>
            <w:vAlign w:val="center"/>
          </w:tcPr>
          <w:p>
            <w:pPr>
              <w:widowControl w:val="0"/>
              <w:jc w:val="center"/>
            </w:pPr>
            <w:r>
              <w:t>160</w:t>
            </w:r>
          </w:p>
        </w:tc>
        <w:tc>
          <w:tcPr>
            <w:tcW w:w="1301" w:type="dxa"/>
            <w:vAlign w:val="center"/>
          </w:tcPr>
          <w:p>
            <w:pPr>
              <w:widowControl w:val="0"/>
              <w:jc w:val="center"/>
            </w:pPr>
            <w:r>
              <w:t>140</w:t>
            </w:r>
          </w:p>
        </w:tc>
      </w:tr>
      <w:tr>
        <w:trPr>
          <w:cantSplit/>
        </w:trPr>
        <w:tc>
          <w:tcPr>
            <w:tcW w:w="1806" w:type="dxa"/>
            <w:vAlign w:val="center"/>
          </w:tcPr>
          <w:p>
            <w:pPr>
              <w:widowControl w:val="0"/>
              <w:jc w:val="center"/>
            </w:pPr>
            <w:r>
              <w:t>50</w:t>
            </w:r>
          </w:p>
        </w:tc>
        <w:tc>
          <w:tcPr>
            <w:tcW w:w="1299" w:type="dxa"/>
            <w:vAlign w:val="center"/>
          </w:tcPr>
          <w:p>
            <w:pPr>
              <w:widowControl w:val="0"/>
              <w:jc w:val="center"/>
            </w:pPr>
            <w:r>
              <w:t>165</w:t>
            </w:r>
          </w:p>
        </w:tc>
        <w:tc>
          <w:tcPr>
            <w:tcW w:w="1301" w:type="dxa"/>
            <w:vAlign w:val="center"/>
          </w:tcPr>
          <w:p>
            <w:pPr>
              <w:widowControl w:val="0"/>
              <w:jc w:val="center"/>
            </w:pPr>
            <w:r>
              <w:t>135</w:t>
            </w:r>
          </w:p>
        </w:tc>
        <w:tc>
          <w:tcPr>
            <w:tcW w:w="1194" w:type="dxa"/>
            <w:vAlign w:val="center"/>
          </w:tcPr>
          <w:p>
            <w:pPr>
              <w:widowControl w:val="0"/>
              <w:jc w:val="center"/>
            </w:pPr>
            <w:r>
              <w:t>110</w:t>
            </w:r>
          </w:p>
        </w:tc>
        <w:tc>
          <w:tcPr>
            <w:tcW w:w="1406" w:type="dxa"/>
            <w:vAlign w:val="center"/>
          </w:tcPr>
          <w:p>
            <w:pPr>
              <w:widowControl w:val="0"/>
              <w:jc w:val="center"/>
            </w:pPr>
            <w:r>
              <w:t>205</w:t>
            </w:r>
          </w:p>
        </w:tc>
        <w:tc>
          <w:tcPr>
            <w:tcW w:w="1301" w:type="dxa"/>
            <w:vAlign w:val="center"/>
          </w:tcPr>
          <w:p>
            <w:pPr>
              <w:widowControl w:val="0"/>
              <w:jc w:val="center"/>
            </w:pPr>
            <w:r>
              <w:t>175</w:t>
            </w:r>
          </w:p>
        </w:tc>
      </w:tr>
      <w:tr>
        <w:trPr>
          <w:cantSplit/>
        </w:trPr>
        <w:tc>
          <w:tcPr>
            <w:tcW w:w="1806" w:type="dxa"/>
            <w:vAlign w:val="center"/>
          </w:tcPr>
          <w:p>
            <w:pPr>
              <w:widowControl w:val="0"/>
              <w:jc w:val="center"/>
            </w:pPr>
            <w:r>
              <w:t>70</w:t>
            </w:r>
          </w:p>
        </w:tc>
        <w:tc>
          <w:tcPr>
            <w:tcW w:w="1299" w:type="dxa"/>
            <w:vAlign w:val="center"/>
          </w:tcPr>
          <w:p>
            <w:pPr>
              <w:widowControl w:val="0"/>
              <w:jc w:val="center"/>
            </w:pPr>
            <w:r>
              <w:t>210</w:t>
            </w:r>
          </w:p>
        </w:tc>
        <w:tc>
          <w:tcPr>
            <w:tcW w:w="1301" w:type="dxa"/>
            <w:vAlign w:val="center"/>
          </w:tcPr>
          <w:p>
            <w:pPr>
              <w:widowControl w:val="0"/>
              <w:jc w:val="center"/>
            </w:pPr>
            <w:r>
              <w:t>165</w:t>
            </w:r>
          </w:p>
        </w:tc>
        <w:tc>
          <w:tcPr>
            <w:tcW w:w="1194" w:type="dxa"/>
            <w:vAlign w:val="center"/>
          </w:tcPr>
          <w:p>
            <w:pPr>
              <w:widowControl w:val="0"/>
              <w:jc w:val="center"/>
            </w:pPr>
            <w:r>
              <w:t>140</w:t>
            </w:r>
          </w:p>
        </w:tc>
        <w:tc>
          <w:tcPr>
            <w:tcW w:w="1406" w:type="dxa"/>
            <w:vAlign w:val="center"/>
          </w:tcPr>
          <w:p>
            <w:pPr>
              <w:widowControl w:val="0"/>
              <w:jc w:val="center"/>
            </w:pPr>
            <w:r>
              <w:t>245</w:t>
            </w:r>
          </w:p>
        </w:tc>
        <w:tc>
          <w:tcPr>
            <w:tcW w:w="1301" w:type="dxa"/>
            <w:vAlign w:val="center"/>
          </w:tcPr>
          <w:p>
            <w:pPr>
              <w:widowControl w:val="0"/>
              <w:jc w:val="center"/>
            </w:pPr>
            <w:r>
              <w:t>210</w:t>
            </w:r>
          </w:p>
        </w:tc>
      </w:tr>
      <w:tr>
        <w:trPr>
          <w:cantSplit/>
        </w:trPr>
        <w:tc>
          <w:tcPr>
            <w:tcW w:w="1806" w:type="dxa"/>
            <w:vAlign w:val="center"/>
          </w:tcPr>
          <w:p>
            <w:pPr>
              <w:widowControl w:val="0"/>
              <w:jc w:val="center"/>
            </w:pPr>
            <w:r>
              <w:t>95</w:t>
            </w:r>
          </w:p>
        </w:tc>
        <w:tc>
          <w:tcPr>
            <w:tcW w:w="1299" w:type="dxa"/>
            <w:vAlign w:val="center"/>
          </w:tcPr>
          <w:p>
            <w:pPr>
              <w:widowControl w:val="0"/>
              <w:jc w:val="center"/>
            </w:pPr>
            <w:r>
              <w:t>250</w:t>
            </w:r>
          </w:p>
        </w:tc>
        <w:tc>
          <w:tcPr>
            <w:tcW w:w="1301" w:type="dxa"/>
            <w:vAlign w:val="center"/>
          </w:tcPr>
          <w:p>
            <w:pPr>
              <w:widowControl w:val="0"/>
              <w:jc w:val="center"/>
            </w:pPr>
            <w:r>
              <w:t>200</w:t>
            </w:r>
          </w:p>
        </w:tc>
        <w:tc>
          <w:tcPr>
            <w:tcW w:w="1194" w:type="dxa"/>
            <w:vAlign w:val="center"/>
          </w:tcPr>
          <w:p>
            <w:pPr>
              <w:widowControl w:val="0"/>
              <w:jc w:val="center"/>
            </w:pPr>
            <w:r>
              <w:t>170</w:t>
            </w:r>
          </w:p>
        </w:tc>
        <w:tc>
          <w:tcPr>
            <w:tcW w:w="1406" w:type="dxa"/>
            <w:vAlign w:val="center"/>
          </w:tcPr>
          <w:p>
            <w:pPr>
              <w:widowControl w:val="0"/>
              <w:jc w:val="center"/>
            </w:pPr>
            <w:r>
              <w:t>295</w:t>
            </w:r>
          </w:p>
        </w:tc>
        <w:tc>
          <w:tcPr>
            <w:tcW w:w="1301" w:type="dxa"/>
            <w:vAlign w:val="center"/>
          </w:tcPr>
          <w:p>
            <w:pPr>
              <w:widowControl w:val="0"/>
              <w:jc w:val="center"/>
            </w:pPr>
            <w:r>
              <w:t>255</w:t>
            </w:r>
          </w:p>
        </w:tc>
      </w:tr>
      <w:tr>
        <w:trPr>
          <w:cantSplit/>
        </w:trPr>
        <w:tc>
          <w:tcPr>
            <w:tcW w:w="1806" w:type="dxa"/>
            <w:vAlign w:val="center"/>
          </w:tcPr>
          <w:p>
            <w:pPr>
              <w:widowControl w:val="0"/>
              <w:jc w:val="center"/>
            </w:pPr>
            <w:r>
              <w:t>120</w:t>
            </w:r>
          </w:p>
        </w:tc>
        <w:tc>
          <w:tcPr>
            <w:tcW w:w="1299" w:type="dxa"/>
            <w:vAlign w:val="center"/>
          </w:tcPr>
          <w:p>
            <w:pPr>
              <w:widowControl w:val="0"/>
              <w:jc w:val="center"/>
            </w:pPr>
            <w:r>
              <w:t>295</w:t>
            </w:r>
          </w:p>
        </w:tc>
        <w:tc>
          <w:tcPr>
            <w:tcW w:w="1301" w:type="dxa"/>
            <w:vAlign w:val="center"/>
          </w:tcPr>
          <w:p>
            <w:pPr>
              <w:widowControl w:val="0"/>
              <w:jc w:val="center"/>
            </w:pPr>
            <w:r>
              <w:t>230</w:t>
            </w:r>
          </w:p>
        </w:tc>
        <w:tc>
          <w:tcPr>
            <w:tcW w:w="1194" w:type="dxa"/>
            <w:vAlign w:val="center"/>
          </w:tcPr>
          <w:p>
            <w:pPr>
              <w:widowControl w:val="0"/>
              <w:jc w:val="center"/>
            </w:pPr>
            <w:r>
              <w:t>200</w:t>
            </w:r>
          </w:p>
        </w:tc>
        <w:tc>
          <w:tcPr>
            <w:tcW w:w="1406" w:type="dxa"/>
            <w:vAlign w:val="center"/>
          </w:tcPr>
          <w:p>
            <w:pPr>
              <w:widowControl w:val="0"/>
              <w:jc w:val="center"/>
            </w:pPr>
            <w:r>
              <w:t>340</w:t>
            </w:r>
          </w:p>
        </w:tc>
        <w:tc>
          <w:tcPr>
            <w:tcW w:w="1301" w:type="dxa"/>
            <w:vAlign w:val="center"/>
          </w:tcPr>
          <w:p>
            <w:pPr>
              <w:widowControl w:val="0"/>
              <w:jc w:val="center"/>
            </w:pPr>
            <w:r>
              <w:t>295</w:t>
            </w:r>
          </w:p>
        </w:tc>
      </w:tr>
      <w:tr>
        <w:trPr>
          <w:cantSplit/>
        </w:trPr>
        <w:tc>
          <w:tcPr>
            <w:tcW w:w="1806" w:type="dxa"/>
            <w:vAlign w:val="center"/>
          </w:tcPr>
          <w:p>
            <w:pPr>
              <w:widowControl w:val="0"/>
              <w:jc w:val="center"/>
            </w:pPr>
            <w:r>
              <w:t>150</w:t>
            </w:r>
          </w:p>
        </w:tc>
        <w:tc>
          <w:tcPr>
            <w:tcW w:w="1299" w:type="dxa"/>
            <w:vAlign w:val="center"/>
          </w:tcPr>
          <w:p>
            <w:pPr>
              <w:widowControl w:val="0"/>
              <w:jc w:val="center"/>
            </w:pPr>
            <w:r>
              <w:t>340</w:t>
            </w:r>
          </w:p>
        </w:tc>
        <w:tc>
          <w:tcPr>
            <w:tcW w:w="1301" w:type="dxa"/>
            <w:vAlign w:val="center"/>
          </w:tcPr>
          <w:p>
            <w:pPr>
              <w:widowControl w:val="0"/>
              <w:jc w:val="center"/>
            </w:pPr>
            <w:r>
              <w:t>270</w:t>
            </w:r>
          </w:p>
        </w:tc>
        <w:tc>
          <w:tcPr>
            <w:tcW w:w="1194" w:type="dxa"/>
            <w:vAlign w:val="center"/>
          </w:tcPr>
          <w:p>
            <w:pPr>
              <w:widowControl w:val="0"/>
              <w:jc w:val="center"/>
            </w:pPr>
            <w:r>
              <w:t>235</w:t>
            </w:r>
          </w:p>
        </w:tc>
        <w:tc>
          <w:tcPr>
            <w:tcW w:w="1406" w:type="dxa"/>
            <w:vAlign w:val="center"/>
          </w:tcPr>
          <w:p>
            <w:pPr>
              <w:widowControl w:val="0"/>
              <w:jc w:val="center"/>
            </w:pPr>
            <w:r>
              <w:t>390</w:t>
            </w:r>
          </w:p>
        </w:tc>
        <w:tc>
          <w:tcPr>
            <w:tcW w:w="1301" w:type="dxa"/>
            <w:vAlign w:val="center"/>
          </w:tcPr>
          <w:p>
            <w:pPr>
              <w:widowControl w:val="0"/>
              <w:jc w:val="center"/>
            </w:pPr>
            <w:r>
              <w:t>335</w:t>
            </w:r>
          </w:p>
        </w:tc>
      </w:tr>
      <w:tr>
        <w:trPr>
          <w:cantSplit/>
        </w:trPr>
        <w:tc>
          <w:tcPr>
            <w:tcW w:w="1806" w:type="dxa"/>
            <w:vAlign w:val="center"/>
          </w:tcPr>
          <w:p>
            <w:pPr>
              <w:widowControl w:val="0"/>
              <w:jc w:val="center"/>
            </w:pPr>
            <w:r>
              <w:t>185</w:t>
            </w:r>
          </w:p>
        </w:tc>
        <w:tc>
          <w:tcPr>
            <w:tcW w:w="1299" w:type="dxa"/>
            <w:vAlign w:val="center"/>
          </w:tcPr>
          <w:p>
            <w:pPr>
              <w:widowControl w:val="0"/>
              <w:jc w:val="center"/>
            </w:pPr>
            <w:r>
              <w:t>390</w:t>
            </w:r>
          </w:p>
        </w:tc>
        <w:tc>
          <w:tcPr>
            <w:tcW w:w="1301" w:type="dxa"/>
            <w:vAlign w:val="center"/>
          </w:tcPr>
          <w:p>
            <w:pPr>
              <w:widowControl w:val="0"/>
              <w:jc w:val="center"/>
            </w:pPr>
            <w:r>
              <w:t>310</w:t>
            </w:r>
          </w:p>
        </w:tc>
        <w:tc>
          <w:tcPr>
            <w:tcW w:w="1194" w:type="dxa"/>
            <w:vAlign w:val="center"/>
          </w:tcPr>
          <w:p>
            <w:pPr>
              <w:widowControl w:val="0"/>
              <w:jc w:val="center"/>
            </w:pPr>
            <w:r>
              <w:t>270</w:t>
            </w:r>
          </w:p>
        </w:tc>
        <w:tc>
          <w:tcPr>
            <w:tcW w:w="1406" w:type="dxa"/>
            <w:vAlign w:val="center"/>
          </w:tcPr>
          <w:p>
            <w:pPr>
              <w:widowControl w:val="0"/>
              <w:jc w:val="center"/>
            </w:pPr>
            <w:r>
              <w:t>440</w:t>
            </w:r>
          </w:p>
        </w:tc>
        <w:tc>
          <w:tcPr>
            <w:tcW w:w="1301" w:type="dxa"/>
            <w:vAlign w:val="center"/>
          </w:tcPr>
          <w:p>
            <w:pPr>
              <w:widowControl w:val="0"/>
              <w:jc w:val="center"/>
            </w:pPr>
            <w:r>
              <w:t>385</w:t>
            </w:r>
          </w:p>
        </w:tc>
      </w:tr>
      <w:tr>
        <w:trPr>
          <w:cantSplit/>
        </w:trPr>
        <w:tc>
          <w:tcPr>
            <w:tcW w:w="1806" w:type="dxa"/>
            <w:vAlign w:val="center"/>
          </w:tcPr>
          <w:p>
            <w:pPr>
              <w:widowControl w:val="0"/>
              <w:jc w:val="center"/>
            </w:pPr>
            <w:r>
              <w:t>240</w:t>
            </w:r>
          </w:p>
        </w:tc>
        <w:tc>
          <w:tcPr>
            <w:tcW w:w="1299" w:type="dxa"/>
            <w:vAlign w:val="center"/>
          </w:tcPr>
          <w:p>
            <w:pPr>
              <w:widowControl w:val="0"/>
              <w:jc w:val="center"/>
            </w:pPr>
            <w:r>
              <w:t>465</w:t>
            </w:r>
          </w:p>
        </w:tc>
        <w:tc>
          <w:tcPr>
            <w:tcW w:w="1301" w:type="dxa"/>
            <w:vAlign w:val="center"/>
          </w:tcPr>
          <w:p>
            <w:pPr>
              <w:widowControl w:val="0"/>
              <w:jc w:val="center"/>
            </w:pPr>
            <w:r>
              <w:t>–</w:t>
            </w:r>
          </w:p>
        </w:tc>
        <w:tc>
          <w:tcPr>
            <w:tcW w:w="1194" w:type="dxa"/>
            <w:vAlign w:val="center"/>
          </w:tcPr>
          <w:p>
            <w:pPr>
              <w:widowControl w:val="0"/>
              <w:jc w:val="center"/>
            </w:pPr>
            <w:r>
              <w:t>–</w:t>
            </w:r>
          </w:p>
        </w:tc>
        <w:tc>
          <w:tcPr>
            <w:tcW w:w="1406" w:type="dxa"/>
            <w:vAlign w:val="center"/>
          </w:tcPr>
          <w:p>
            <w:pPr>
              <w:widowControl w:val="0"/>
              <w:jc w:val="center"/>
            </w:pPr>
            <w:r>
              <w:t>–</w:t>
            </w:r>
          </w:p>
        </w:tc>
        <w:tc>
          <w:tcPr>
            <w:tcW w:w="1301" w:type="dxa"/>
            <w:vAlign w:val="center"/>
          </w:tcPr>
          <w:p>
            <w:pPr>
              <w:widowControl w:val="0"/>
              <w:jc w:val="center"/>
            </w:pPr>
            <w:r>
              <w:t>–</w:t>
            </w:r>
          </w:p>
        </w:tc>
      </w:tr>
    </w:tbl>
    <w:p>
      <w:pPr>
        <w:widowControl w:val="0"/>
        <w:ind w:firstLine="567"/>
        <w:jc w:val="both"/>
        <w:rPr>
          <w:iCs/>
        </w:rPr>
      </w:pPr>
    </w:p>
    <w:p>
      <w:pPr>
        <w:widowControl w:val="0"/>
        <w:ind w:firstLine="567"/>
        <w:jc w:val="both"/>
        <w:rPr>
          <w:i/>
        </w:rPr>
      </w:pPr>
      <w:r>
        <w:t>PASTABA. Iki 1,0 kV įtampos keturgyslių kabelių plastikine izoliacija ilgalaikė leistinoji srovė nustatoma pagal 7 lentelę (kaip trigyslių kabelių), dauginant šias sroves iš pataisos koeficiento 0,92.</w:t>
      </w:r>
    </w:p>
    <w:p>
      <w:pPr>
        <w:widowControl w:val="0"/>
        <w:ind w:firstLine="567"/>
        <w:jc w:val="both"/>
        <w:rPr>
          <w:iCs/>
        </w:rPr>
      </w:pPr>
    </w:p>
    <w:p>
      <w:pPr>
        <w:widowControl w:val="0"/>
        <w:ind w:firstLine="567"/>
        <w:jc w:val="both"/>
        <w:rPr>
          <w:b/>
          <w:bCs/>
        </w:rPr>
      </w:pPr>
      <w:r>
        <w:rPr>
          <w:b/>
          <w:bCs/>
        </w:rPr>
        <w:t>8 lentelė. Iki 1000 V įtampos lanksčių kilnojamųjų varinių laidų, srovėlaidžių ir kabelių, šachtų ir prožektorių kabelių leistinoji ilgalaikė srovė</w:t>
      </w:r>
    </w:p>
    <w:p>
      <w:pPr>
        <w:widowControl w:val="0"/>
        <w:ind w:firstLine="567"/>
        <w:jc w:val="both"/>
      </w:pPr>
    </w:p>
    <w:p>
      <w:pPr>
        <w:widowControl w:val="0"/>
        <w:ind w:firstLine="567"/>
        <w:jc w:val="both"/>
      </w:pPr>
      <w:r>
        <w:t xml:space="preserve">Temperatūra: laidų ir kabelių +65 </w:t>
      </w:r>
      <w:r>
        <w:rPr>
          <w:vertAlign w:val="superscript"/>
        </w:rPr>
        <w:t>o</w:t>
      </w:r>
      <w:r>
        <w:t xml:space="preserve">C, oro +25 </w:t>
      </w:r>
      <w:r>
        <w:rPr>
          <w:vertAlign w:val="superscript"/>
        </w:rPr>
        <w:t>o</w:t>
      </w:r>
      <w:r>
        <w:t>C.</w:t>
      </w:r>
    </w:p>
    <w:p>
      <w:pPr>
        <w:widowControl w:val="0"/>
        <w:ind w:firstLine="567"/>
        <w:jc w:val="both"/>
        <w:rPr>
          <w:i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9"/>
        <w:gridCol w:w="2299"/>
        <w:gridCol w:w="2301"/>
        <w:gridCol w:w="2301"/>
      </w:tblGrid>
      <w:tr>
        <w:trPr>
          <w:cantSplit/>
          <w:trHeight w:val="20"/>
        </w:trPr>
        <w:tc>
          <w:tcPr>
            <w:tcW w:w="1560" w:type="dxa"/>
            <w:vMerge w:val="restart"/>
            <w:vAlign w:val="center"/>
          </w:tcPr>
          <w:p>
            <w:pPr>
              <w:widowControl w:val="0"/>
              <w:jc w:val="center"/>
            </w:pPr>
            <w:r>
              <w:t>Laidininko</w:t>
            </w:r>
          </w:p>
          <w:p>
            <w:pPr>
              <w:widowControl w:val="0"/>
              <w:jc w:val="center"/>
            </w:pPr>
            <w:r>
              <w:t>skerspjūvis, mm</w:t>
            </w:r>
            <w:r>
              <w:rPr>
                <w:vertAlign w:val="superscript"/>
              </w:rPr>
              <w:t>2</w:t>
            </w:r>
          </w:p>
        </w:tc>
        <w:tc>
          <w:tcPr>
            <w:tcW w:w="4961" w:type="dxa"/>
            <w:gridSpan w:val="3"/>
            <w:vAlign w:val="center"/>
          </w:tcPr>
          <w:p>
            <w:pPr>
              <w:widowControl w:val="0"/>
              <w:jc w:val="center"/>
            </w:pPr>
            <w:r>
              <w:t>Laidininkų leistinoji ilgalaikė srovė,</w:t>
            </w:r>
            <w:r>
              <w:rPr>
                <w:vertAlign w:val="superscript"/>
              </w:rPr>
              <w:t xml:space="preserve"> </w:t>
            </w:r>
            <w:r>
              <w:t>A</w:t>
            </w:r>
          </w:p>
        </w:tc>
      </w:tr>
      <w:tr>
        <w:trPr>
          <w:cantSplit/>
          <w:trHeight w:val="20"/>
        </w:trPr>
        <w:tc>
          <w:tcPr>
            <w:tcW w:w="1560" w:type="dxa"/>
            <w:vMerge/>
            <w:vAlign w:val="center"/>
          </w:tcPr>
          <w:p>
            <w:pPr>
              <w:widowControl w:val="0"/>
              <w:jc w:val="center"/>
            </w:pPr>
          </w:p>
        </w:tc>
        <w:tc>
          <w:tcPr>
            <w:tcW w:w="1653" w:type="dxa"/>
            <w:vAlign w:val="center"/>
          </w:tcPr>
          <w:p>
            <w:pPr>
              <w:widowControl w:val="0"/>
              <w:jc w:val="center"/>
            </w:pPr>
            <w:r>
              <w:t>viengyslių</w:t>
            </w:r>
          </w:p>
        </w:tc>
        <w:tc>
          <w:tcPr>
            <w:tcW w:w="1654" w:type="dxa"/>
            <w:vAlign w:val="center"/>
          </w:tcPr>
          <w:p>
            <w:pPr>
              <w:widowControl w:val="0"/>
              <w:jc w:val="center"/>
            </w:pPr>
            <w:r>
              <w:t>dvigyslių</w:t>
            </w:r>
          </w:p>
        </w:tc>
        <w:tc>
          <w:tcPr>
            <w:tcW w:w="1654" w:type="dxa"/>
            <w:vAlign w:val="center"/>
          </w:tcPr>
          <w:p>
            <w:pPr>
              <w:widowControl w:val="0"/>
              <w:jc w:val="center"/>
            </w:pPr>
            <w:r>
              <w:t>trigyslių</w:t>
            </w:r>
          </w:p>
        </w:tc>
      </w:tr>
      <w:tr>
        <w:trPr>
          <w:cantSplit/>
          <w:trHeight w:val="20"/>
        </w:trPr>
        <w:tc>
          <w:tcPr>
            <w:tcW w:w="1560" w:type="dxa"/>
            <w:vAlign w:val="center"/>
          </w:tcPr>
          <w:p>
            <w:pPr>
              <w:widowControl w:val="0"/>
              <w:jc w:val="center"/>
            </w:pPr>
            <w:r>
              <w:t>0,5</w:t>
            </w:r>
          </w:p>
        </w:tc>
        <w:tc>
          <w:tcPr>
            <w:tcW w:w="1653" w:type="dxa"/>
            <w:vAlign w:val="center"/>
          </w:tcPr>
          <w:p>
            <w:pPr>
              <w:widowControl w:val="0"/>
              <w:jc w:val="center"/>
            </w:pPr>
            <w:r>
              <w:t>–</w:t>
            </w:r>
          </w:p>
        </w:tc>
        <w:tc>
          <w:tcPr>
            <w:tcW w:w="1654" w:type="dxa"/>
            <w:vAlign w:val="center"/>
          </w:tcPr>
          <w:p>
            <w:pPr>
              <w:widowControl w:val="0"/>
              <w:jc w:val="center"/>
            </w:pPr>
            <w:r>
              <w:t>12</w:t>
            </w:r>
          </w:p>
        </w:tc>
        <w:tc>
          <w:tcPr>
            <w:tcW w:w="1654" w:type="dxa"/>
            <w:vAlign w:val="center"/>
          </w:tcPr>
          <w:p>
            <w:pPr>
              <w:widowControl w:val="0"/>
              <w:jc w:val="center"/>
            </w:pPr>
            <w:r>
              <w:t>10</w:t>
            </w:r>
          </w:p>
        </w:tc>
      </w:tr>
      <w:tr>
        <w:trPr>
          <w:cantSplit/>
          <w:trHeight w:val="20"/>
        </w:trPr>
        <w:tc>
          <w:tcPr>
            <w:tcW w:w="1560" w:type="dxa"/>
            <w:vAlign w:val="center"/>
          </w:tcPr>
          <w:p>
            <w:pPr>
              <w:widowControl w:val="0"/>
              <w:jc w:val="center"/>
            </w:pPr>
            <w:r>
              <w:t>0,75</w:t>
            </w:r>
          </w:p>
        </w:tc>
        <w:tc>
          <w:tcPr>
            <w:tcW w:w="1653" w:type="dxa"/>
            <w:vAlign w:val="center"/>
          </w:tcPr>
          <w:p>
            <w:pPr>
              <w:widowControl w:val="0"/>
              <w:jc w:val="center"/>
            </w:pPr>
            <w:r>
              <w:t>–</w:t>
            </w:r>
          </w:p>
        </w:tc>
        <w:tc>
          <w:tcPr>
            <w:tcW w:w="1654" w:type="dxa"/>
            <w:vAlign w:val="center"/>
          </w:tcPr>
          <w:p>
            <w:pPr>
              <w:widowControl w:val="0"/>
              <w:jc w:val="center"/>
            </w:pPr>
            <w:r>
              <w:t>16</w:t>
            </w:r>
          </w:p>
        </w:tc>
        <w:tc>
          <w:tcPr>
            <w:tcW w:w="1654" w:type="dxa"/>
            <w:vAlign w:val="center"/>
          </w:tcPr>
          <w:p>
            <w:pPr>
              <w:widowControl w:val="0"/>
              <w:jc w:val="center"/>
            </w:pPr>
            <w:r>
              <w:t>14</w:t>
            </w:r>
          </w:p>
        </w:tc>
      </w:tr>
      <w:tr>
        <w:trPr>
          <w:cantSplit/>
          <w:trHeight w:val="20"/>
        </w:trPr>
        <w:tc>
          <w:tcPr>
            <w:tcW w:w="1560" w:type="dxa"/>
            <w:vAlign w:val="center"/>
          </w:tcPr>
          <w:p>
            <w:pPr>
              <w:widowControl w:val="0"/>
              <w:jc w:val="center"/>
            </w:pPr>
            <w:r>
              <w:t>1,0</w:t>
            </w:r>
          </w:p>
        </w:tc>
        <w:tc>
          <w:tcPr>
            <w:tcW w:w="1653" w:type="dxa"/>
            <w:vAlign w:val="center"/>
          </w:tcPr>
          <w:p>
            <w:pPr>
              <w:widowControl w:val="0"/>
              <w:jc w:val="center"/>
            </w:pPr>
            <w:r>
              <w:t>–</w:t>
            </w:r>
          </w:p>
        </w:tc>
        <w:tc>
          <w:tcPr>
            <w:tcW w:w="1654" w:type="dxa"/>
            <w:vAlign w:val="center"/>
          </w:tcPr>
          <w:p>
            <w:pPr>
              <w:widowControl w:val="0"/>
              <w:jc w:val="center"/>
            </w:pPr>
            <w:r>
              <w:t>18</w:t>
            </w:r>
          </w:p>
        </w:tc>
        <w:tc>
          <w:tcPr>
            <w:tcW w:w="1654" w:type="dxa"/>
            <w:vAlign w:val="center"/>
          </w:tcPr>
          <w:p>
            <w:pPr>
              <w:widowControl w:val="0"/>
              <w:jc w:val="center"/>
            </w:pPr>
            <w:r>
              <w:t>16</w:t>
            </w:r>
          </w:p>
        </w:tc>
      </w:tr>
      <w:tr>
        <w:trPr>
          <w:cantSplit/>
          <w:trHeight w:val="20"/>
        </w:trPr>
        <w:tc>
          <w:tcPr>
            <w:tcW w:w="1560" w:type="dxa"/>
            <w:vAlign w:val="center"/>
          </w:tcPr>
          <w:p>
            <w:pPr>
              <w:widowControl w:val="0"/>
              <w:jc w:val="center"/>
            </w:pPr>
            <w:r>
              <w:t>1,5</w:t>
            </w:r>
          </w:p>
        </w:tc>
        <w:tc>
          <w:tcPr>
            <w:tcW w:w="1653" w:type="dxa"/>
            <w:vAlign w:val="center"/>
          </w:tcPr>
          <w:p>
            <w:pPr>
              <w:widowControl w:val="0"/>
              <w:jc w:val="center"/>
            </w:pPr>
            <w:r>
              <w:t>–</w:t>
            </w:r>
          </w:p>
        </w:tc>
        <w:tc>
          <w:tcPr>
            <w:tcW w:w="1654" w:type="dxa"/>
            <w:vAlign w:val="center"/>
          </w:tcPr>
          <w:p>
            <w:pPr>
              <w:widowControl w:val="0"/>
              <w:jc w:val="center"/>
            </w:pPr>
            <w:r>
              <w:t>23</w:t>
            </w:r>
          </w:p>
        </w:tc>
        <w:tc>
          <w:tcPr>
            <w:tcW w:w="1654" w:type="dxa"/>
            <w:vAlign w:val="center"/>
          </w:tcPr>
          <w:p>
            <w:pPr>
              <w:widowControl w:val="0"/>
              <w:jc w:val="center"/>
            </w:pPr>
            <w:r>
              <w:t>20</w:t>
            </w:r>
          </w:p>
        </w:tc>
      </w:tr>
      <w:tr>
        <w:trPr>
          <w:cantSplit/>
          <w:trHeight w:val="20"/>
        </w:trPr>
        <w:tc>
          <w:tcPr>
            <w:tcW w:w="1560" w:type="dxa"/>
            <w:vAlign w:val="center"/>
          </w:tcPr>
          <w:p>
            <w:pPr>
              <w:widowControl w:val="0"/>
              <w:jc w:val="center"/>
            </w:pPr>
            <w:r>
              <w:t>2,5</w:t>
            </w:r>
          </w:p>
        </w:tc>
        <w:tc>
          <w:tcPr>
            <w:tcW w:w="1653" w:type="dxa"/>
            <w:vAlign w:val="center"/>
          </w:tcPr>
          <w:p>
            <w:pPr>
              <w:widowControl w:val="0"/>
              <w:jc w:val="center"/>
            </w:pPr>
            <w:r>
              <w:t>40</w:t>
            </w:r>
          </w:p>
        </w:tc>
        <w:tc>
          <w:tcPr>
            <w:tcW w:w="1654" w:type="dxa"/>
            <w:vAlign w:val="center"/>
          </w:tcPr>
          <w:p>
            <w:pPr>
              <w:widowControl w:val="0"/>
              <w:jc w:val="center"/>
            </w:pPr>
            <w:r>
              <w:t>33</w:t>
            </w:r>
          </w:p>
        </w:tc>
        <w:tc>
          <w:tcPr>
            <w:tcW w:w="1654" w:type="dxa"/>
            <w:vAlign w:val="center"/>
          </w:tcPr>
          <w:p>
            <w:pPr>
              <w:widowControl w:val="0"/>
              <w:jc w:val="center"/>
            </w:pPr>
            <w:r>
              <w:t>28</w:t>
            </w:r>
          </w:p>
        </w:tc>
      </w:tr>
      <w:tr>
        <w:trPr>
          <w:cantSplit/>
          <w:trHeight w:val="20"/>
        </w:trPr>
        <w:tc>
          <w:tcPr>
            <w:tcW w:w="1560" w:type="dxa"/>
            <w:vAlign w:val="center"/>
          </w:tcPr>
          <w:p>
            <w:pPr>
              <w:widowControl w:val="0"/>
              <w:jc w:val="center"/>
            </w:pPr>
            <w:r>
              <w:t>4</w:t>
            </w:r>
          </w:p>
        </w:tc>
        <w:tc>
          <w:tcPr>
            <w:tcW w:w="1653" w:type="dxa"/>
            <w:vAlign w:val="center"/>
          </w:tcPr>
          <w:p>
            <w:pPr>
              <w:widowControl w:val="0"/>
              <w:jc w:val="center"/>
            </w:pPr>
            <w:r>
              <w:t>50</w:t>
            </w:r>
          </w:p>
        </w:tc>
        <w:tc>
          <w:tcPr>
            <w:tcW w:w="1654" w:type="dxa"/>
            <w:vAlign w:val="center"/>
          </w:tcPr>
          <w:p>
            <w:pPr>
              <w:widowControl w:val="0"/>
              <w:jc w:val="center"/>
            </w:pPr>
            <w:r>
              <w:t>43</w:t>
            </w:r>
          </w:p>
        </w:tc>
        <w:tc>
          <w:tcPr>
            <w:tcW w:w="1654" w:type="dxa"/>
            <w:vAlign w:val="center"/>
          </w:tcPr>
          <w:p>
            <w:pPr>
              <w:widowControl w:val="0"/>
              <w:jc w:val="center"/>
            </w:pPr>
            <w:r>
              <w:t>36</w:t>
            </w:r>
          </w:p>
        </w:tc>
      </w:tr>
      <w:tr>
        <w:trPr>
          <w:cantSplit/>
          <w:trHeight w:val="20"/>
        </w:trPr>
        <w:tc>
          <w:tcPr>
            <w:tcW w:w="1560" w:type="dxa"/>
            <w:vAlign w:val="center"/>
          </w:tcPr>
          <w:p>
            <w:pPr>
              <w:widowControl w:val="0"/>
              <w:jc w:val="center"/>
            </w:pPr>
            <w:r>
              <w:t>6</w:t>
            </w:r>
          </w:p>
        </w:tc>
        <w:tc>
          <w:tcPr>
            <w:tcW w:w="1653" w:type="dxa"/>
            <w:vAlign w:val="center"/>
          </w:tcPr>
          <w:p>
            <w:pPr>
              <w:widowControl w:val="0"/>
              <w:jc w:val="center"/>
            </w:pPr>
            <w:r>
              <w:t>65</w:t>
            </w:r>
          </w:p>
        </w:tc>
        <w:tc>
          <w:tcPr>
            <w:tcW w:w="1654" w:type="dxa"/>
            <w:vAlign w:val="center"/>
          </w:tcPr>
          <w:p>
            <w:pPr>
              <w:widowControl w:val="0"/>
              <w:jc w:val="center"/>
            </w:pPr>
            <w:r>
              <w:t>55</w:t>
            </w:r>
          </w:p>
        </w:tc>
        <w:tc>
          <w:tcPr>
            <w:tcW w:w="1654" w:type="dxa"/>
            <w:vAlign w:val="center"/>
          </w:tcPr>
          <w:p>
            <w:pPr>
              <w:widowControl w:val="0"/>
              <w:jc w:val="center"/>
            </w:pPr>
            <w:r>
              <w:t>45</w:t>
            </w:r>
          </w:p>
        </w:tc>
      </w:tr>
      <w:tr>
        <w:trPr>
          <w:cantSplit/>
          <w:trHeight w:val="20"/>
        </w:trPr>
        <w:tc>
          <w:tcPr>
            <w:tcW w:w="1560" w:type="dxa"/>
            <w:vAlign w:val="center"/>
          </w:tcPr>
          <w:p>
            <w:pPr>
              <w:widowControl w:val="0"/>
              <w:jc w:val="center"/>
            </w:pPr>
            <w:r>
              <w:t>10</w:t>
            </w:r>
          </w:p>
        </w:tc>
        <w:tc>
          <w:tcPr>
            <w:tcW w:w="1653" w:type="dxa"/>
            <w:vAlign w:val="center"/>
          </w:tcPr>
          <w:p>
            <w:pPr>
              <w:widowControl w:val="0"/>
              <w:jc w:val="center"/>
            </w:pPr>
            <w:r>
              <w:t>90</w:t>
            </w:r>
          </w:p>
        </w:tc>
        <w:tc>
          <w:tcPr>
            <w:tcW w:w="1654" w:type="dxa"/>
            <w:vAlign w:val="center"/>
          </w:tcPr>
          <w:p>
            <w:pPr>
              <w:widowControl w:val="0"/>
              <w:jc w:val="center"/>
            </w:pPr>
            <w:r>
              <w:t>75</w:t>
            </w:r>
          </w:p>
        </w:tc>
        <w:tc>
          <w:tcPr>
            <w:tcW w:w="1654" w:type="dxa"/>
            <w:vAlign w:val="center"/>
          </w:tcPr>
          <w:p>
            <w:pPr>
              <w:widowControl w:val="0"/>
              <w:jc w:val="center"/>
            </w:pPr>
            <w:r>
              <w:t>60</w:t>
            </w:r>
          </w:p>
        </w:tc>
      </w:tr>
      <w:tr>
        <w:trPr>
          <w:cantSplit/>
          <w:trHeight w:val="20"/>
        </w:trPr>
        <w:tc>
          <w:tcPr>
            <w:tcW w:w="1560" w:type="dxa"/>
            <w:vAlign w:val="center"/>
          </w:tcPr>
          <w:p>
            <w:pPr>
              <w:widowControl w:val="0"/>
              <w:jc w:val="center"/>
            </w:pPr>
            <w:r>
              <w:t>16</w:t>
            </w:r>
          </w:p>
        </w:tc>
        <w:tc>
          <w:tcPr>
            <w:tcW w:w="1653" w:type="dxa"/>
            <w:vAlign w:val="center"/>
          </w:tcPr>
          <w:p>
            <w:pPr>
              <w:widowControl w:val="0"/>
              <w:jc w:val="center"/>
            </w:pPr>
            <w:r>
              <w:t>120</w:t>
            </w:r>
          </w:p>
        </w:tc>
        <w:tc>
          <w:tcPr>
            <w:tcW w:w="1654" w:type="dxa"/>
            <w:vAlign w:val="center"/>
          </w:tcPr>
          <w:p>
            <w:pPr>
              <w:widowControl w:val="0"/>
              <w:jc w:val="center"/>
            </w:pPr>
            <w:r>
              <w:t>95</w:t>
            </w:r>
          </w:p>
        </w:tc>
        <w:tc>
          <w:tcPr>
            <w:tcW w:w="1654" w:type="dxa"/>
            <w:vAlign w:val="center"/>
          </w:tcPr>
          <w:p>
            <w:pPr>
              <w:widowControl w:val="0"/>
              <w:jc w:val="center"/>
            </w:pPr>
            <w:r>
              <w:t>80</w:t>
            </w:r>
          </w:p>
        </w:tc>
      </w:tr>
      <w:tr>
        <w:trPr>
          <w:cantSplit/>
          <w:trHeight w:val="20"/>
        </w:trPr>
        <w:tc>
          <w:tcPr>
            <w:tcW w:w="1560" w:type="dxa"/>
            <w:vAlign w:val="center"/>
          </w:tcPr>
          <w:p>
            <w:pPr>
              <w:widowControl w:val="0"/>
              <w:jc w:val="center"/>
            </w:pPr>
            <w:r>
              <w:t>25</w:t>
            </w:r>
          </w:p>
        </w:tc>
        <w:tc>
          <w:tcPr>
            <w:tcW w:w="1653" w:type="dxa"/>
            <w:vAlign w:val="center"/>
          </w:tcPr>
          <w:p>
            <w:pPr>
              <w:widowControl w:val="0"/>
              <w:jc w:val="center"/>
            </w:pPr>
            <w:r>
              <w:t>160</w:t>
            </w:r>
          </w:p>
        </w:tc>
        <w:tc>
          <w:tcPr>
            <w:tcW w:w="1654" w:type="dxa"/>
            <w:vAlign w:val="center"/>
          </w:tcPr>
          <w:p>
            <w:pPr>
              <w:widowControl w:val="0"/>
              <w:jc w:val="center"/>
            </w:pPr>
            <w:r>
              <w:t>125</w:t>
            </w:r>
          </w:p>
        </w:tc>
        <w:tc>
          <w:tcPr>
            <w:tcW w:w="1654" w:type="dxa"/>
            <w:vAlign w:val="center"/>
          </w:tcPr>
          <w:p>
            <w:pPr>
              <w:widowControl w:val="0"/>
              <w:jc w:val="center"/>
            </w:pPr>
            <w:r>
              <w:t>105</w:t>
            </w:r>
          </w:p>
        </w:tc>
      </w:tr>
      <w:tr>
        <w:trPr>
          <w:cantSplit/>
          <w:trHeight w:val="20"/>
        </w:trPr>
        <w:tc>
          <w:tcPr>
            <w:tcW w:w="1560" w:type="dxa"/>
            <w:vAlign w:val="center"/>
          </w:tcPr>
          <w:p>
            <w:pPr>
              <w:widowControl w:val="0"/>
              <w:jc w:val="center"/>
            </w:pPr>
            <w:r>
              <w:t>35</w:t>
            </w:r>
          </w:p>
        </w:tc>
        <w:tc>
          <w:tcPr>
            <w:tcW w:w="1653" w:type="dxa"/>
            <w:vAlign w:val="center"/>
          </w:tcPr>
          <w:p>
            <w:pPr>
              <w:widowControl w:val="0"/>
              <w:jc w:val="center"/>
            </w:pPr>
            <w:r>
              <w:t>190</w:t>
            </w:r>
          </w:p>
        </w:tc>
        <w:tc>
          <w:tcPr>
            <w:tcW w:w="1654" w:type="dxa"/>
            <w:vAlign w:val="center"/>
          </w:tcPr>
          <w:p>
            <w:pPr>
              <w:widowControl w:val="0"/>
              <w:jc w:val="center"/>
            </w:pPr>
            <w:r>
              <w:t>150</w:t>
            </w:r>
          </w:p>
        </w:tc>
        <w:tc>
          <w:tcPr>
            <w:tcW w:w="1654" w:type="dxa"/>
            <w:vAlign w:val="center"/>
          </w:tcPr>
          <w:p>
            <w:pPr>
              <w:widowControl w:val="0"/>
              <w:jc w:val="center"/>
            </w:pPr>
            <w:r>
              <w:t>130</w:t>
            </w:r>
          </w:p>
        </w:tc>
      </w:tr>
      <w:tr>
        <w:trPr>
          <w:cantSplit/>
          <w:trHeight w:val="20"/>
        </w:trPr>
        <w:tc>
          <w:tcPr>
            <w:tcW w:w="1560" w:type="dxa"/>
            <w:vAlign w:val="center"/>
          </w:tcPr>
          <w:p>
            <w:pPr>
              <w:widowControl w:val="0"/>
              <w:jc w:val="center"/>
            </w:pPr>
            <w:r>
              <w:t>50</w:t>
            </w:r>
          </w:p>
        </w:tc>
        <w:tc>
          <w:tcPr>
            <w:tcW w:w="1653" w:type="dxa"/>
            <w:vAlign w:val="center"/>
          </w:tcPr>
          <w:p>
            <w:pPr>
              <w:widowControl w:val="0"/>
              <w:jc w:val="center"/>
            </w:pPr>
            <w:r>
              <w:t>235</w:t>
            </w:r>
          </w:p>
        </w:tc>
        <w:tc>
          <w:tcPr>
            <w:tcW w:w="1654" w:type="dxa"/>
            <w:vAlign w:val="center"/>
          </w:tcPr>
          <w:p>
            <w:pPr>
              <w:widowControl w:val="0"/>
              <w:jc w:val="center"/>
            </w:pPr>
            <w:r>
              <w:t>185</w:t>
            </w:r>
          </w:p>
        </w:tc>
        <w:tc>
          <w:tcPr>
            <w:tcW w:w="1654" w:type="dxa"/>
            <w:vAlign w:val="center"/>
          </w:tcPr>
          <w:p>
            <w:pPr>
              <w:widowControl w:val="0"/>
              <w:jc w:val="center"/>
            </w:pPr>
            <w:r>
              <w:t>160</w:t>
            </w:r>
          </w:p>
        </w:tc>
      </w:tr>
      <w:tr>
        <w:trPr>
          <w:cantSplit/>
          <w:trHeight w:val="20"/>
        </w:trPr>
        <w:tc>
          <w:tcPr>
            <w:tcW w:w="1560" w:type="dxa"/>
            <w:vAlign w:val="center"/>
          </w:tcPr>
          <w:p>
            <w:pPr>
              <w:widowControl w:val="0"/>
              <w:jc w:val="center"/>
            </w:pPr>
            <w:r>
              <w:t>70</w:t>
            </w:r>
          </w:p>
        </w:tc>
        <w:tc>
          <w:tcPr>
            <w:tcW w:w="1653" w:type="dxa"/>
            <w:vAlign w:val="center"/>
          </w:tcPr>
          <w:p>
            <w:pPr>
              <w:widowControl w:val="0"/>
              <w:jc w:val="center"/>
            </w:pPr>
            <w:r>
              <w:t>290</w:t>
            </w:r>
          </w:p>
        </w:tc>
        <w:tc>
          <w:tcPr>
            <w:tcW w:w="1654" w:type="dxa"/>
            <w:vAlign w:val="center"/>
          </w:tcPr>
          <w:p>
            <w:pPr>
              <w:widowControl w:val="0"/>
              <w:jc w:val="center"/>
            </w:pPr>
            <w:r>
              <w:t>235</w:t>
            </w:r>
          </w:p>
        </w:tc>
        <w:tc>
          <w:tcPr>
            <w:tcW w:w="1654" w:type="dxa"/>
            <w:vAlign w:val="center"/>
          </w:tcPr>
          <w:p>
            <w:pPr>
              <w:widowControl w:val="0"/>
              <w:jc w:val="center"/>
            </w:pPr>
            <w:r>
              <w:t>200</w:t>
            </w:r>
          </w:p>
        </w:tc>
      </w:tr>
    </w:tbl>
    <w:p>
      <w:pPr>
        <w:widowControl w:val="0"/>
        <w:ind w:firstLine="567"/>
        <w:jc w:val="both"/>
        <w:rPr>
          <w:b/>
          <w:bCs/>
        </w:rPr>
      </w:pPr>
    </w:p>
    <w:p>
      <w:pPr>
        <w:widowControl w:val="0"/>
        <w:ind w:firstLine="567"/>
        <w:jc w:val="both"/>
        <w:rPr>
          <w:b/>
          <w:bCs/>
        </w:rPr>
      </w:pPr>
      <w:r>
        <w:rPr>
          <w:b/>
          <w:bCs/>
        </w:rPr>
        <w:t>9 lentelė. Durpynuose naudojamų lanksčių kilnojamųjų varinių kabelių gumine izoliacija leistinoji ilgalaikė srovė</w:t>
      </w:r>
    </w:p>
    <w:p>
      <w:pPr>
        <w:widowControl w:val="0"/>
        <w:ind w:firstLine="567"/>
        <w:jc w:val="both"/>
      </w:pPr>
    </w:p>
    <w:p>
      <w:pPr>
        <w:widowControl w:val="0"/>
        <w:ind w:firstLine="567"/>
        <w:jc w:val="both"/>
      </w:pPr>
      <w:r>
        <w:t xml:space="preserve">Temperatūra: kabelių +65 </w:t>
      </w:r>
      <w:r>
        <w:rPr>
          <w:vertAlign w:val="superscript"/>
        </w:rPr>
        <w:t>o</w:t>
      </w:r>
      <w:r>
        <w:t xml:space="preserve">C, oro +25 </w:t>
      </w:r>
      <w:r>
        <w:rPr>
          <w:vertAlign w:val="superscript"/>
        </w:rPr>
        <w:t>o</w:t>
      </w:r>
      <w:r>
        <w:t>C.</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2259"/>
        <w:gridCol w:w="2259"/>
        <w:gridCol w:w="2259"/>
      </w:tblGrid>
      <w:tr>
        <w:trPr>
          <w:cantSplit/>
          <w:trHeight w:val="20"/>
        </w:trPr>
        <w:tc>
          <w:tcPr>
            <w:tcW w:w="2070" w:type="dxa"/>
            <w:vMerge w:val="restart"/>
            <w:vAlign w:val="center"/>
          </w:tcPr>
          <w:p>
            <w:pPr>
              <w:widowControl w:val="0"/>
              <w:jc w:val="center"/>
            </w:pPr>
            <w:r>
              <w:t>Kabelio</w:t>
            </w:r>
          </w:p>
          <w:p>
            <w:pPr>
              <w:widowControl w:val="0"/>
              <w:jc w:val="center"/>
            </w:pPr>
            <w:r>
              <w:t>skerspjūvis, mm</w:t>
            </w:r>
            <w:r>
              <w:rPr>
                <w:vertAlign w:val="superscript"/>
              </w:rPr>
              <w:t>2</w:t>
            </w:r>
          </w:p>
        </w:tc>
        <w:tc>
          <w:tcPr>
            <w:tcW w:w="6120" w:type="dxa"/>
            <w:gridSpan w:val="3"/>
            <w:vAlign w:val="center"/>
          </w:tcPr>
          <w:p>
            <w:pPr>
              <w:widowControl w:val="0"/>
              <w:jc w:val="center"/>
            </w:pPr>
            <w:r>
              <w:t>Kabelių leistinoji ilgalaikė srovė, A</w:t>
            </w:r>
          </w:p>
        </w:tc>
      </w:tr>
      <w:tr>
        <w:trPr>
          <w:cantSplit/>
          <w:trHeight w:val="20"/>
        </w:trPr>
        <w:tc>
          <w:tcPr>
            <w:tcW w:w="2070" w:type="dxa"/>
            <w:vMerge/>
            <w:vAlign w:val="center"/>
          </w:tcPr>
          <w:p>
            <w:pPr>
              <w:widowControl w:val="0"/>
              <w:jc w:val="center"/>
            </w:pPr>
          </w:p>
        </w:tc>
        <w:tc>
          <w:tcPr>
            <w:tcW w:w="2040" w:type="dxa"/>
            <w:vAlign w:val="center"/>
          </w:tcPr>
          <w:p>
            <w:pPr>
              <w:widowControl w:val="0"/>
              <w:jc w:val="center"/>
            </w:pPr>
            <w:r>
              <w:t>0,5 kV</w:t>
            </w:r>
          </w:p>
        </w:tc>
        <w:tc>
          <w:tcPr>
            <w:tcW w:w="2040" w:type="dxa"/>
            <w:vAlign w:val="center"/>
          </w:tcPr>
          <w:p>
            <w:pPr>
              <w:widowControl w:val="0"/>
              <w:jc w:val="center"/>
            </w:pPr>
            <w:r>
              <w:t>3 kV</w:t>
            </w:r>
          </w:p>
        </w:tc>
        <w:tc>
          <w:tcPr>
            <w:tcW w:w="2040" w:type="dxa"/>
            <w:vAlign w:val="center"/>
          </w:tcPr>
          <w:p>
            <w:pPr>
              <w:widowControl w:val="0"/>
              <w:jc w:val="center"/>
            </w:pPr>
            <w:r>
              <w:t>6 kV</w:t>
            </w:r>
          </w:p>
        </w:tc>
      </w:tr>
      <w:tr>
        <w:trPr>
          <w:cantSplit/>
          <w:trHeight w:val="20"/>
        </w:trPr>
        <w:tc>
          <w:tcPr>
            <w:tcW w:w="2070" w:type="dxa"/>
            <w:vAlign w:val="center"/>
          </w:tcPr>
          <w:p>
            <w:pPr>
              <w:widowControl w:val="0"/>
              <w:jc w:val="center"/>
            </w:pPr>
            <w:r>
              <w:t>6</w:t>
            </w:r>
          </w:p>
        </w:tc>
        <w:tc>
          <w:tcPr>
            <w:tcW w:w="2040" w:type="dxa"/>
            <w:vAlign w:val="center"/>
          </w:tcPr>
          <w:p>
            <w:pPr>
              <w:widowControl w:val="0"/>
              <w:jc w:val="center"/>
            </w:pPr>
            <w:r>
              <w:t>44</w:t>
            </w:r>
          </w:p>
        </w:tc>
        <w:tc>
          <w:tcPr>
            <w:tcW w:w="2040" w:type="dxa"/>
            <w:vAlign w:val="center"/>
          </w:tcPr>
          <w:p>
            <w:pPr>
              <w:widowControl w:val="0"/>
              <w:jc w:val="center"/>
            </w:pPr>
            <w:r>
              <w:t>45</w:t>
            </w:r>
          </w:p>
        </w:tc>
        <w:tc>
          <w:tcPr>
            <w:tcW w:w="2040" w:type="dxa"/>
            <w:vAlign w:val="center"/>
          </w:tcPr>
          <w:p>
            <w:pPr>
              <w:widowControl w:val="0"/>
              <w:jc w:val="center"/>
            </w:pPr>
            <w:r>
              <w:t>47</w:t>
            </w:r>
          </w:p>
        </w:tc>
      </w:tr>
      <w:tr>
        <w:trPr>
          <w:cantSplit/>
          <w:trHeight w:val="20"/>
        </w:trPr>
        <w:tc>
          <w:tcPr>
            <w:tcW w:w="2070" w:type="dxa"/>
            <w:vAlign w:val="center"/>
          </w:tcPr>
          <w:p>
            <w:pPr>
              <w:widowControl w:val="0"/>
              <w:jc w:val="center"/>
            </w:pPr>
            <w:r>
              <w:t>10</w:t>
            </w:r>
          </w:p>
        </w:tc>
        <w:tc>
          <w:tcPr>
            <w:tcW w:w="2040" w:type="dxa"/>
            <w:vAlign w:val="center"/>
          </w:tcPr>
          <w:p>
            <w:pPr>
              <w:widowControl w:val="0"/>
              <w:jc w:val="center"/>
            </w:pPr>
            <w:r>
              <w:t>60</w:t>
            </w:r>
          </w:p>
        </w:tc>
        <w:tc>
          <w:tcPr>
            <w:tcW w:w="2040" w:type="dxa"/>
            <w:vAlign w:val="center"/>
          </w:tcPr>
          <w:p>
            <w:pPr>
              <w:widowControl w:val="0"/>
              <w:jc w:val="center"/>
            </w:pPr>
            <w:r>
              <w:t>60</w:t>
            </w:r>
          </w:p>
        </w:tc>
        <w:tc>
          <w:tcPr>
            <w:tcW w:w="2040" w:type="dxa"/>
            <w:vAlign w:val="center"/>
          </w:tcPr>
          <w:p>
            <w:pPr>
              <w:widowControl w:val="0"/>
              <w:jc w:val="center"/>
            </w:pPr>
            <w:r>
              <w:t>65</w:t>
            </w:r>
          </w:p>
        </w:tc>
      </w:tr>
      <w:tr>
        <w:trPr>
          <w:cantSplit/>
          <w:trHeight w:val="20"/>
        </w:trPr>
        <w:tc>
          <w:tcPr>
            <w:tcW w:w="2070" w:type="dxa"/>
            <w:vAlign w:val="center"/>
          </w:tcPr>
          <w:p>
            <w:pPr>
              <w:widowControl w:val="0"/>
              <w:jc w:val="center"/>
            </w:pPr>
            <w:r>
              <w:t>16</w:t>
            </w:r>
          </w:p>
        </w:tc>
        <w:tc>
          <w:tcPr>
            <w:tcW w:w="2040" w:type="dxa"/>
            <w:vAlign w:val="center"/>
          </w:tcPr>
          <w:p>
            <w:pPr>
              <w:widowControl w:val="0"/>
              <w:jc w:val="center"/>
            </w:pPr>
            <w:r>
              <w:t>80</w:t>
            </w:r>
          </w:p>
        </w:tc>
        <w:tc>
          <w:tcPr>
            <w:tcW w:w="2040" w:type="dxa"/>
            <w:vAlign w:val="center"/>
          </w:tcPr>
          <w:p>
            <w:pPr>
              <w:widowControl w:val="0"/>
              <w:jc w:val="center"/>
            </w:pPr>
            <w:r>
              <w:t>80</w:t>
            </w:r>
          </w:p>
        </w:tc>
        <w:tc>
          <w:tcPr>
            <w:tcW w:w="2040" w:type="dxa"/>
            <w:vAlign w:val="center"/>
          </w:tcPr>
          <w:p>
            <w:pPr>
              <w:widowControl w:val="0"/>
              <w:jc w:val="center"/>
            </w:pPr>
            <w:r>
              <w:t>85</w:t>
            </w:r>
          </w:p>
        </w:tc>
      </w:tr>
      <w:tr>
        <w:trPr>
          <w:cantSplit/>
          <w:trHeight w:val="20"/>
        </w:trPr>
        <w:tc>
          <w:tcPr>
            <w:tcW w:w="2070" w:type="dxa"/>
            <w:vAlign w:val="center"/>
          </w:tcPr>
          <w:p>
            <w:pPr>
              <w:widowControl w:val="0"/>
              <w:jc w:val="center"/>
            </w:pPr>
            <w:r>
              <w:t>25</w:t>
            </w:r>
          </w:p>
        </w:tc>
        <w:tc>
          <w:tcPr>
            <w:tcW w:w="2040" w:type="dxa"/>
            <w:vAlign w:val="center"/>
          </w:tcPr>
          <w:p>
            <w:pPr>
              <w:widowControl w:val="0"/>
              <w:jc w:val="center"/>
            </w:pPr>
            <w:r>
              <w:t>100</w:t>
            </w:r>
          </w:p>
        </w:tc>
        <w:tc>
          <w:tcPr>
            <w:tcW w:w="2040" w:type="dxa"/>
            <w:vAlign w:val="center"/>
          </w:tcPr>
          <w:p>
            <w:pPr>
              <w:widowControl w:val="0"/>
              <w:jc w:val="center"/>
            </w:pPr>
            <w:r>
              <w:t>105</w:t>
            </w:r>
          </w:p>
        </w:tc>
        <w:tc>
          <w:tcPr>
            <w:tcW w:w="2040" w:type="dxa"/>
            <w:vAlign w:val="center"/>
          </w:tcPr>
          <w:p>
            <w:pPr>
              <w:widowControl w:val="0"/>
              <w:jc w:val="center"/>
            </w:pPr>
            <w:r>
              <w:t>105</w:t>
            </w:r>
          </w:p>
        </w:tc>
      </w:tr>
      <w:tr>
        <w:trPr>
          <w:cantSplit/>
          <w:trHeight w:val="20"/>
        </w:trPr>
        <w:tc>
          <w:tcPr>
            <w:tcW w:w="2070" w:type="dxa"/>
            <w:vAlign w:val="center"/>
          </w:tcPr>
          <w:p>
            <w:pPr>
              <w:widowControl w:val="0"/>
              <w:jc w:val="center"/>
            </w:pPr>
            <w:r>
              <w:t>35</w:t>
            </w:r>
          </w:p>
        </w:tc>
        <w:tc>
          <w:tcPr>
            <w:tcW w:w="2040" w:type="dxa"/>
            <w:vAlign w:val="center"/>
          </w:tcPr>
          <w:p>
            <w:pPr>
              <w:widowControl w:val="0"/>
              <w:jc w:val="center"/>
            </w:pPr>
            <w:r>
              <w:t>125</w:t>
            </w:r>
          </w:p>
        </w:tc>
        <w:tc>
          <w:tcPr>
            <w:tcW w:w="2040" w:type="dxa"/>
            <w:vAlign w:val="center"/>
          </w:tcPr>
          <w:p>
            <w:pPr>
              <w:widowControl w:val="0"/>
              <w:jc w:val="center"/>
            </w:pPr>
            <w:r>
              <w:t>125</w:t>
            </w:r>
          </w:p>
        </w:tc>
        <w:tc>
          <w:tcPr>
            <w:tcW w:w="2040" w:type="dxa"/>
            <w:vAlign w:val="center"/>
          </w:tcPr>
          <w:p>
            <w:pPr>
              <w:widowControl w:val="0"/>
              <w:jc w:val="center"/>
            </w:pPr>
            <w:r>
              <w:t>130</w:t>
            </w:r>
          </w:p>
        </w:tc>
      </w:tr>
      <w:tr>
        <w:trPr>
          <w:cantSplit/>
          <w:trHeight w:val="20"/>
        </w:trPr>
        <w:tc>
          <w:tcPr>
            <w:tcW w:w="2070" w:type="dxa"/>
            <w:vAlign w:val="center"/>
          </w:tcPr>
          <w:p>
            <w:pPr>
              <w:widowControl w:val="0"/>
              <w:jc w:val="center"/>
            </w:pPr>
            <w:r>
              <w:t>50</w:t>
            </w:r>
          </w:p>
        </w:tc>
        <w:tc>
          <w:tcPr>
            <w:tcW w:w="2040" w:type="dxa"/>
            <w:vAlign w:val="center"/>
          </w:tcPr>
          <w:p>
            <w:pPr>
              <w:widowControl w:val="0"/>
              <w:jc w:val="center"/>
            </w:pPr>
            <w:r>
              <w:t>155</w:t>
            </w:r>
          </w:p>
        </w:tc>
        <w:tc>
          <w:tcPr>
            <w:tcW w:w="2040" w:type="dxa"/>
            <w:vAlign w:val="center"/>
          </w:tcPr>
          <w:p>
            <w:pPr>
              <w:widowControl w:val="0"/>
              <w:jc w:val="center"/>
            </w:pPr>
            <w:r>
              <w:t>155</w:t>
            </w:r>
          </w:p>
        </w:tc>
        <w:tc>
          <w:tcPr>
            <w:tcW w:w="2040" w:type="dxa"/>
            <w:vAlign w:val="center"/>
          </w:tcPr>
          <w:p>
            <w:pPr>
              <w:widowControl w:val="0"/>
              <w:jc w:val="center"/>
            </w:pPr>
            <w:r>
              <w:t>160</w:t>
            </w:r>
          </w:p>
        </w:tc>
      </w:tr>
      <w:tr>
        <w:trPr>
          <w:cantSplit/>
          <w:trHeight w:val="20"/>
        </w:trPr>
        <w:tc>
          <w:tcPr>
            <w:tcW w:w="2070" w:type="dxa"/>
            <w:vAlign w:val="center"/>
          </w:tcPr>
          <w:p>
            <w:pPr>
              <w:widowControl w:val="0"/>
              <w:jc w:val="center"/>
            </w:pPr>
            <w:r>
              <w:t>70</w:t>
            </w:r>
          </w:p>
        </w:tc>
        <w:tc>
          <w:tcPr>
            <w:tcW w:w="2040" w:type="dxa"/>
            <w:vAlign w:val="center"/>
          </w:tcPr>
          <w:p>
            <w:pPr>
              <w:widowControl w:val="0"/>
              <w:jc w:val="center"/>
            </w:pPr>
            <w:r>
              <w:t>190</w:t>
            </w:r>
          </w:p>
        </w:tc>
        <w:tc>
          <w:tcPr>
            <w:tcW w:w="2040" w:type="dxa"/>
            <w:vAlign w:val="center"/>
          </w:tcPr>
          <w:p>
            <w:pPr>
              <w:widowControl w:val="0"/>
              <w:jc w:val="center"/>
            </w:pPr>
            <w:r>
              <w:t>195</w:t>
            </w:r>
          </w:p>
        </w:tc>
        <w:tc>
          <w:tcPr>
            <w:tcW w:w="2040" w:type="dxa"/>
            <w:vAlign w:val="center"/>
          </w:tcPr>
          <w:p>
            <w:pPr>
              <w:widowControl w:val="0"/>
              <w:jc w:val="center"/>
            </w:pPr>
            <w:r>
              <w:t>–</w:t>
            </w:r>
          </w:p>
        </w:tc>
      </w:tr>
    </w:tbl>
    <w:p>
      <w:pPr>
        <w:widowControl w:val="0"/>
        <w:ind w:firstLine="567"/>
        <w:jc w:val="both"/>
        <w:rPr>
          <w:i/>
        </w:rPr>
      </w:pPr>
    </w:p>
    <w:p>
      <w:pPr>
        <w:widowControl w:val="0"/>
        <w:ind w:firstLine="567"/>
        <w:jc w:val="both"/>
        <w:rPr>
          <w:b/>
          <w:bCs/>
        </w:rPr>
      </w:pPr>
      <w:r>
        <w:rPr>
          <w:b/>
          <w:bCs/>
        </w:rPr>
        <w:t>10 lentelė. Kilnojamiesiems elektros įrenginiams maitinti naudojamų lanksčių varinių kabelių gumine izoliacija leistinoji ilgalaikė srovė</w:t>
      </w:r>
    </w:p>
    <w:p>
      <w:pPr>
        <w:widowControl w:val="0"/>
        <w:ind w:firstLine="567"/>
        <w:jc w:val="both"/>
      </w:pPr>
    </w:p>
    <w:p>
      <w:pPr>
        <w:widowControl w:val="0"/>
        <w:ind w:firstLine="567"/>
        <w:jc w:val="both"/>
      </w:pPr>
      <w:r>
        <w:t xml:space="preserve">Temperatūra: kabelių +65 </w:t>
      </w:r>
      <w:r>
        <w:rPr>
          <w:vertAlign w:val="superscript"/>
        </w:rPr>
        <w:t>o</w:t>
      </w:r>
      <w:r>
        <w:t xml:space="preserve">C, oro +25 </w:t>
      </w:r>
      <w:r>
        <w:rPr>
          <w:vertAlign w:val="superscript"/>
        </w:rPr>
        <w:t>o</w:t>
      </w:r>
      <w:r>
        <w:t>C.</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1"/>
        <w:gridCol w:w="3354"/>
        <w:gridCol w:w="3355"/>
      </w:tblGrid>
      <w:tr>
        <w:trPr>
          <w:cantSplit/>
          <w:trHeight w:val="20"/>
          <w:tblHeader/>
        </w:trPr>
        <w:tc>
          <w:tcPr>
            <w:tcW w:w="2162" w:type="dxa"/>
            <w:vMerge w:val="restart"/>
            <w:vAlign w:val="center"/>
          </w:tcPr>
          <w:p>
            <w:pPr>
              <w:widowControl w:val="0"/>
              <w:jc w:val="center"/>
            </w:pPr>
            <w:r>
              <w:t>Kabelio</w:t>
            </w:r>
          </w:p>
          <w:p>
            <w:pPr>
              <w:widowControl w:val="0"/>
              <w:jc w:val="center"/>
            </w:pPr>
            <w:r>
              <w:t>skerspjūvis, mm</w:t>
            </w:r>
            <w:r>
              <w:rPr>
                <w:vertAlign w:val="superscript"/>
              </w:rPr>
              <w:t>2</w:t>
            </w:r>
          </w:p>
        </w:tc>
        <w:tc>
          <w:tcPr>
            <w:tcW w:w="6145" w:type="dxa"/>
            <w:gridSpan w:val="2"/>
            <w:vAlign w:val="center"/>
          </w:tcPr>
          <w:p>
            <w:pPr>
              <w:widowControl w:val="0"/>
              <w:jc w:val="center"/>
            </w:pPr>
            <w:r>
              <w:t>Kabelių leistinoji ilgalaikė srovė, A</w:t>
            </w:r>
          </w:p>
        </w:tc>
      </w:tr>
      <w:tr>
        <w:trPr>
          <w:cantSplit/>
          <w:trHeight w:val="20"/>
          <w:tblHeader/>
        </w:trPr>
        <w:tc>
          <w:tcPr>
            <w:tcW w:w="2162" w:type="dxa"/>
            <w:vMerge/>
            <w:vAlign w:val="center"/>
          </w:tcPr>
          <w:p>
            <w:pPr>
              <w:widowControl w:val="0"/>
              <w:jc w:val="center"/>
            </w:pPr>
          </w:p>
        </w:tc>
        <w:tc>
          <w:tcPr>
            <w:tcW w:w="3072" w:type="dxa"/>
            <w:vAlign w:val="center"/>
          </w:tcPr>
          <w:p>
            <w:pPr>
              <w:widowControl w:val="0"/>
              <w:jc w:val="center"/>
            </w:pPr>
            <w:r>
              <w:t>3 kV</w:t>
            </w:r>
          </w:p>
        </w:tc>
        <w:tc>
          <w:tcPr>
            <w:tcW w:w="3073" w:type="dxa"/>
            <w:vAlign w:val="center"/>
          </w:tcPr>
          <w:p>
            <w:pPr>
              <w:widowControl w:val="0"/>
              <w:jc w:val="center"/>
            </w:pPr>
            <w:r>
              <w:t>6 kV</w:t>
            </w:r>
          </w:p>
        </w:tc>
      </w:tr>
      <w:tr>
        <w:trPr>
          <w:cantSplit/>
          <w:trHeight w:val="20"/>
        </w:trPr>
        <w:tc>
          <w:tcPr>
            <w:tcW w:w="2162" w:type="dxa"/>
            <w:vAlign w:val="center"/>
          </w:tcPr>
          <w:p>
            <w:pPr>
              <w:widowControl w:val="0"/>
              <w:jc w:val="center"/>
            </w:pPr>
            <w:r>
              <w:t>16</w:t>
            </w:r>
          </w:p>
        </w:tc>
        <w:tc>
          <w:tcPr>
            <w:tcW w:w="3072" w:type="dxa"/>
            <w:vAlign w:val="center"/>
          </w:tcPr>
          <w:p>
            <w:pPr>
              <w:widowControl w:val="0"/>
              <w:jc w:val="center"/>
            </w:pPr>
            <w:r>
              <w:t>85</w:t>
            </w:r>
          </w:p>
        </w:tc>
        <w:tc>
          <w:tcPr>
            <w:tcW w:w="3073" w:type="dxa"/>
            <w:vAlign w:val="center"/>
          </w:tcPr>
          <w:p>
            <w:pPr>
              <w:widowControl w:val="0"/>
              <w:jc w:val="center"/>
            </w:pPr>
            <w:r>
              <w:t>90</w:t>
            </w:r>
          </w:p>
        </w:tc>
      </w:tr>
      <w:tr>
        <w:trPr>
          <w:cantSplit/>
          <w:trHeight w:val="20"/>
        </w:trPr>
        <w:tc>
          <w:tcPr>
            <w:tcW w:w="2162" w:type="dxa"/>
            <w:vAlign w:val="center"/>
          </w:tcPr>
          <w:p>
            <w:pPr>
              <w:widowControl w:val="0"/>
              <w:jc w:val="center"/>
            </w:pPr>
            <w:r>
              <w:t>25</w:t>
            </w:r>
          </w:p>
        </w:tc>
        <w:tc>
          <w:tcPr>
            <w:tcW w:w="3072" w:type="dxa"/>
            <w:vAlign w:val="center"/>
          </w:tcPr>
          <w:p>
            <w:pPr>
              <w:widowControl w:val="0"/>
              <w:jc w:val="center"/>
            </w:pPr>
            <w:r>
              <w:t>115</w:t>
            </w:r>
          </w:p>
        </w:tc>
        <w:tc>
          <w:tcPr>
            <w:tcW w:w="3073" w:type="dxa"/>
            <w:vAlign w:val="center"/>
          </w:tcPr>
          <w:p>
            <w:pPr>
              <w:widowControl w:val="0"/>
              <w:jc w:val="center"/>
            </w:pPr>
            <w:r>
              <w:t>120</w:t>
            </w:r>
          </w:p>
        </w:tc>
      </w:tr>
      <w:tr>
        <w:trPr>
          <w:cantSplit/>
          <w:trHeight w:val="20"/>
        </w:trPr>
        <w:tc>
          <w:tcPr>
            <w:tcW w:w="2162" w:type="dxa"/>
            <w:vAlign w:val="center"/>
          </w:tcPr>
          <w:p>
            <w:pPr>
              <w:widowControl w:val="0"/>
              <w:jc w:val="center"/>
            </w:pPr>
            <w:r>
              <w:t>35</w:t>
            </w:r>
          </w:p>
        </w:tc>
        <w:tc>
          <w:tcPr>
            <w:tcW w:w="3072" w:type="dxa"/>
            <w:vAlign w:val="center"/>
          </w:tcPr>
          <w:p>
            <w:pPr>
              <w:widowControl w:val="0"/>
              <w:jc w:val="center"/>
            </w:pPr>
            <w:r>
              <w:t>140</w:t>
            </w:r>
          </w:p>
        </w:tc>
        <w:tc>
          <w:tcPr>
            <w:tcW w:w="3073" w:type="dxa"/>
            <w:vAlign w:val="center"/>
          </w:tcPr>
          <w:p>
            <w:pPr>
              <w:widowControl w:val="0"/>
              <w:jc w:val="center"/>
            </w:pPr>
            <w:r>
              <w:t>145</w:t>
            </w:r>
          </w:p>
        </w:tc>
      </w:tr>
      <w:tr>
        <w:trPr>
          <w:cantSplit/>
          <w:trHeight w:val="20"/>
        </w:trPr>
        <w:tc>
          <w:tcPr>
            <w:tcW w:w="2162" w:type="dxa"/>
            <w:vAlign w:val="center"/>
          </w:tcPr>
          <w:p>
            <w:pPr>
              <w:widowControl w:val="0"/>
              <w:jc w:val="center"/>
            </w:pPr>
            <w:r>
              <w:t>50</w:t>
            </w:r>
          </w:p>
        </w:tc>
        <w:tc>
          <w:tcPr>
            <w:tcW w:w="3072" w:type="dxa"/>
            <w:vAlign w:val="center"/>
          </w:tcPr>
          <w:p>
            <w:pPr>
              <w:widowControl w:val="0"/>
              <w:jc w:val="center"/>
            </w:pPr>
            <w:r>
              <w:t>175</w:t>
            </w:r>
          </w:p>
        </w:tc>
        <w:tc>
          <w:tcPr>
            <w:tcW w:w="3073" w:type="dxa"/>
            <w:vAlign w:val="center"/>
          </w:tcPr>
          <w:p>
            <w:pPr>
              <w:widowControl w:val="0"/>
              <w:jc w:val="center"/>
            </w:pPr>
            <w:r>
              <w:t>180</w:t>
            </w:r>
          </w:p>
        </w:tc>
      </w:tr>
      <w:tr>
        <w:trPr>
          <w:cantSplit/>
          <w:trHeight w:val="20"/>
        </w:trPr>
        <w:tc>
          <w:tcPr>
            <w:tcW w:w="2162" w:type="dxa"/>
            <w:vAlign w:val="center"/>
          </w:tcPr>
          <w:p>
            <w:pPr>
              <w:widowControl w:val="0"/>
              <w:jc w:val="center"/>
            </w:pPr>
            <w:r>
              <w:t>70</w:t>
            </w:r>
          </w:p>
        </w:tc>
        <w:tc>
          <w:tcPr>
            <w:tcW w:w="3072" w:type="dxa"/>
            <w:vAlign w:val="center"/>
          </w:tcPr>
          <w:p>
            <w:pPr>
              <w:widowControl w:val="0"/>
              <w:jc w:val="center"/>
            </w:pPr>
            <w:r>
              <w:t>215</w:t>
            </w:r>
          </w:p>
        </w:tc>
        <w:tc>
          <w:tcPr>
            <w:tcW w:w="3073" w:type="dxa"/>
            <w:vAlign w:val="center"/>
          </w:tcPr>
          <w:p>
            <w:pPr>
              <w:widowControl w:val="0"/>
              <w:jc w:val="center"/>
            </w:pPr>
            <w:r>
              <w:t>220</w:t>
            </w:r>
          </w:p>
        </w:tc>
      </w:tr>
      <w:tr>
        <w:trPr>
          <w:cantSplit/>
          <w:trHeight w:val="20"/>
        </w:trPr>
        <w:tc>
          <w:tcPr>
            <w:tcW w:w="2162" w:type="dxa"/>
            <w:vAlign w:val="center"/>
          </w:tcPr>
          <w:p>
            <w:pPr>
              <w:widowControl w:val="0"/>
              <w:jc w:val="center"/>
            </w:pPr>
            <w:r>
              <w:t>95</w:t>
            </w:r>
          </w:p>
        </w:tc>
        <w:tc>
          <w:tcPr>
            <w:tcW w:w="3072" w:type="dxa"/>
            <w:vAlign w:val="center"/>
          </w:tcPr>
          <w:p>
            <w:pPr>
              <w:widowControl w:val="0"/>
              <w:jc w:val="center"/>
            </w:pPr>
            <w:r>
              <w:t>260</w:t>
            </w:r>
          </w:p>
        </w:tc>
        <w:tc>
          <w:tcPr>
            <w:tcW w:w="3073" w:type="dxa"/>
            <w:vAlign w:val="center"/>
          </w:tcPr>
          <w:p>
            <w:pPr>
              <w:widowControl w:val="0"/>
              <w:jc w:val="center"/>
            </w:pPr>
            <w:r>
              <w:t>265</w:t>
            </w:r>
          </w:p>
        </w:tc>
      </w:tr>
      <w:tr>
        <w:trPr>
          <w:cantSplit/>
          <w:trHeight w:val="20"/>
        </w:trPr>
        <w:tc>
          <w:tcPr>
            <w:tcW w:w="2162" w:type="dxa"/>
            <w:vAlign w:val="center"/>
          </w:tcPr>
          <w:p>
            <w:pPr>
              <w:widowControl w:val="0"/>
              <w:jc w:val="center"/>
            </w:pPr>
            <w:r>
              <w:t>120</w:t>
            </w:r>
          </w:p>
        </w:tc>
        <w:tc>
          <w:tcPr>
            <w:tcW w:w="3072" w:type="dxa"/>
            <w:vAlign w:val="center"/>
          </w:tcPr>
          <w:p>
            <w:pPr>
              <w:widowControl w:val="0"/>
              <w:jc w:val="center"/>
            </w:pPr>
            <w:r>
              <w:t>305</w:t>
            </w:r>
          </w:p>
        </w:tc>
        <w:tc>
          <w:tcPr>
            <w:tcW w:w="3073" w:type="dxa"/>
            <w:vAlign w:val="center"/>
          </w:tcPr>
          <w:p>
            <w:pPr>
              <w:widowControl w:val="0"/>
              <w:jc w:val="center"/>
            </w:pPr>
            <w:r>
              <w:t>310</w:t>
            </w:r>
          </w:p>
        </w:tc>
      </w:tr>
      <w:tr>
        <w:trPr>
          <w:cantSplit/>
          <w:trHeight w:val="20"/>
        </w:trPr>
        <w:tc>
          <w:tcPr>
            <w:tcW w:w="2162" w:type="dxa"/>
            <w:vAlign w:val="center"/>
          </w:tcPr>
          <w:p>
            <w:pPr>
              <w:widowControl w:val="0"/>
              <w:jc w:val="center"/>
            </w:pPr>
            <w:r>
              <w:t>150</w:t>
            </w:r>
          </w:p>
        </w:tc>
        <w:tc>
          <w:tcPr>
            <w:tcW w:w="3072" w:type="dxa"/>
            <w:vAlign w:val="center"/>
          </w:tcPr>
          <w:p>
            <w:pPr>
              <w:widowControl w:val="0"/>
              <w:jc w:val="center"/>
            </w:pPr>
            <w:r>
              <w:t>345</w:t>
            </w:r>
          </w:p>
        </w:tc>
        <w:tc>
          <w:tcPr>
            <w:tcW w:w="3073" w:type="dxa"/>
            <w:vAlign w:val="center"/>
          </w:tcPr>
          <w:p>
            <w:pPr>
              <w:widowControl w:val="0"/>
              <w:jc w:val="center"/>
            </w:pPr>
            <w:r>
              <w:t>350</w:t>
            </w:r>
          </w:p>
        </w:tc>
      </w:tr>
    </w:tbl>
    <w:p>
      <w:pPr>
        <w:widowControl w:val="0"/>
        <w:ind w:firstLine="567"/>
        <w:jc w:val="both"/>
      </w:pPr>
    </w:p>
    <w:p>
      <w:pPr>
        <w:widowControl w:val="0"/>
        <w:ind w:firstLine="567"/>
        <w:jc w:val="both"/>
        <w:rPr>
          <w:b/>
          <w:bCs/>
        </w:rPr>
      </w:pPr>
      <w:r>
        <w:rPr>
          <w:b/>
          <w:bCs/>
        </w:rPr>
        <w:t>11 lentelė. Elektrifikuotame transporte naudojamų 1,3 ir 4 kV įtampos varinių laidų gumine izoliacija leistinoji ilgalaikė srovė</w:t>
      </w:r>
    </w:p>
    <w:p>
      <w:pPr>
        <w:widowControl w:val="0"/>
        <w:ind w:firstLine="567"/>
        <w:jc w:val="both"/>
      </w:pPr>
    </w:p>
    <w:p>
      <w:pPr>
        <w:widowControl w:val="0"/>
        <w:ind w:firstLine="567"/>
        <w:jc w:val="both"/>
      </w:pPr>
      <w:r>
        <w:t xml:space="preserve">Temperatūra: laidų +65 </w:t>
      </w:r>
      <w:r>
        <w:rPr>
          <w:vertAlign w:val="superscript"/>
        </w:rPr>
        <w:t>o</w:t>
      </w:r>
      <w:r>
        <w:t xml:space="preserve">C, oro +25 </w:t>
      </w:r>
      <w:r>
        <w:rPr>
          <w:vertAlign w:val="superscript"/>
        </w:rPr>
        <w:t>o</w:t>
      </w:r>
      <w:r>
        <w:t>C.</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53"/>
        <w:gridCol w:w="2313"/>
        <w:gridCol w:w="171"/>
        <w:gridCol w:w="2137"/>
        <w:gridCol w:w="2096"/>
      </w:tblGrid>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Laido skerspjūvis, mm</w:t>
            </w:r>
            <w:r>
              <w:rPr>
                <w:vertAlign w:val="superscript"/>
              </w:rPr>
              <w:t>2</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Leistinoji ilgalaikė srovė, A</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Laido skerspjūvis, mm</w:t>
            </w:r>
            <w:r>
              <w:rPr>
                <w:vertAlign w:val="superscript"/>
              </w:rPr>
              <w:t>2</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Leistinoji ilgalaikė srovė, A</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1</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20</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50</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230</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1,5</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25</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70</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285</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2,5</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40</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95</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340</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4</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50</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120</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390</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6</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65</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150</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445</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10</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90</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185</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505</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16</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115</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240</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590</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25</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150</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300</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670</w:t>
            </w:r>
          </w:p>
        </w:tc>
      </w:tr>
      <w:tr>
        <w:trPr>
          <w:cantSplit/>
          <w:trHeight w:val="20"/>
        </w:trPr>
        <w:tc>
          <w:tcPr>
            <w:tcW w:w="2155" w:type="dxa"/>
            <w:tcBorders>
              <w:top w:val="single" w:sz="4" w:space="0" w:color="auto"/>
              <w:left w:val="single" w:sz="4" w:space="0" w:color="auto"/>
              <w:bottom w:val="single" w:sz="4" w:space="0" w:color="auto"/>
              <w:right w:val="single" w:sz="4" w:space="0" w:color="auto"/>
            </w:tcBorders>
            <w:vAlign w:val="center"/>
          </w:tcPr>
          <w:p>
            <w:pPr>
              <w:widowControl w:val="0"/>
              <w:jc w:val="center"/>
            </w:pPr>
            <w:r>
              <w:t>35</w:t>
            </w:r>
          </w:p>
        </w:tc>
        <w:tc>
          <w:tcPr>
            <w:tcW w:w="2118" w:type="dxa"/>
            <w:tcBorders>
              <w:top w:val="single" w:sz="4" w:space="0" w:color="auto"/>
              <w:left w:val="single" w:sz="4" w:space="0" w:color="auto"/>
              <w:bottom w:val="single" w:sz="4" w:space="0" w:color="auto"/>
              <w:right w:val="single" w:sz="4" w:space="0" w:color="auto"/>
            </w:tcBorders>
            <w:vAlign w:val="center"/>
          </w:tcPr>
          <w:p>
            <w:pPr>
              <w:widowControl w:val="0"/>
              <w:jc w:val="center"/>
            </w:pPr>
            <w:r>
              <w:t>185</w:t>
            </w:r>
          </w:p>
        </w:tc>
        <w:tc>
          <w:tcPr>
            <w:tcW w:w="157" w:type="dxa"/>
            <w:tcBorders>
              <w:top w:val="nil"/>
              <w:left w:val="single" w:sz="4" w:space="0" w:color="auto"/>
              <w:bottom w:val="nil"/>
              <w:right w:val="single" w:sz="4" w:space="0" w:color="auto"/>
            </w:tcBorders>
            <w:vAlign w:val="center"/>
          </w:tcPr>
          <w:p>
            <w:pPr>
              <w:widowControl w:val="0"/>
              <w:jc w:val="center"/>
            </w:pPr>
          </w:p>
        </w:tc>
        <w:tc>
          <w:tcPr>
            <w:tcW w:w="1957" w:type="dxa"/>
            <w:tcBorders>
              <w:top w:val="single" w:sz="4" w:space="0" w:color="auto"/>
              <w:left w:val="single" w:sz="4" w:space="0" w:color="auto"/>
              <w:bottom w:val="single" w:sz="4" w:space="0" w:color="auto"/>
              <w:right w:val="single" w:sz="4" w:space="0" w:color="auto"/>
            </w:tcBorders>
            <w:vAlign w:val="center"/>
          </w:tcPr>
          <w:p>
            <w:pPr>
              <w:widowControl w:val="0"/>
              <w:jc w:val="center"/>
            </w:pPr>
            <w:r>
              <w:t>350</w:t>
            </w:r>
          </w:p>
        </w:tc>
        <w:tc>
          <w:tcPr>
            <w:tcW w:w="1920" w:type="dxa"/>
            <w:tcBorders>
              <w:top w:val="single" w:sz="4" w:space="0" w:color="auto"/>
              <w:left w:val="single" w:sz="4" w:space="0" w:color="auto"/>
              <w:bottom w:val="single" w:sz="4" w:space="0" w:color="auto"/>
              <w:right w:val="single" w:sz="4" w:space="0" w:color="auto"/>
            </w:tcBorders>
            <w:vAlign w:val="center"/>
          </w:tcPr>
          <w:p>
            <w:pPr>
              <w:widowControl w:val="0"/>
              <w:jc w:val="center"/>
            </w:pPr>
            <w:r>
              <w:t>745</w:t>
            </w:r>
          </w:p>
        </w:tc>
      </w:tr>
    </w:tbl>
    <w:p>
      <w:pPr>
        <w:widowControl w:val="0"/>
        <w:ind w:firstLine="284"/>
        <w:jc w:val="both"/>
        <w:rPr>
          <w:b/>
          <w:bCs/>
        </w:rPr>
      </w:pPr>
    </w:p>
    <w:p>
      <w:pPr>
        <w:widowControl w:val="0"/>
        <w:ind w:firstLine="567"/>
        <w:jc w:val="both"/>
        <w:rPr>
          <w:b/>
          <w:bCs/>
        </w:rPr>
      </w:pPr>
      <w:r>
        <w:rPr>
          <w:b/>
          <w:bCs/>
        </w:rPr>
        <w:t>12 lentelė. Laidų ir kabelių, tiesiamų dengtuose loviuose, leistinosios ilgalaikės srovės pataisos koeficientai</w:t>
      </w:r>
    </w:p>
    <w:p>
      <w:pPr>
        <w:widowControl w:val="0"/>
        <w:jc w:val="both"/>
        <w:rPr>
          <w:iCs/>
        </w:rPr>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95"/>
        <w:gridCol w:w="1040"/>
        <w:gridCol w:w="994"/>
        <w:gridCol w:w="3053"/>
        <w:gridCol w:w="2788"/>
      </w:tblGrid>
      <w:tr>
        <w:trPr>
          <w:cantSplit/>
        </w:trPr>
        <w:tc>
          <w:tcPr>
            <w:tcW w:w="1304" w:type="dxa"/>
            <w:vMerge w:val="restart"/>
            <w:vAlign w:val="center"/>
          </w:tcPr>
          <w:p>
            <w:pPr>
              <w:widowControl w:val="0"/>
              <w:jc w:val="center"/>
            </w:pPr>
            <w:r>
              <w:t>Tiesimo būdas</w:t>
            </w:r>
          </w:p>
        </w:tc>
        <w:tc>
          <w:tcPr>
            <w:tcW w:w="2218" w:type="dxa"/>
            <w:gridSpan w:val="2"/>
            <w:vAlign w:val="center"/>
          </w:tcPr>
          <w:p>
            <w:pPr>
              <w:widowControl w:val="0"/>
              <w:jc w:val="center"/>
            </w:pPr>
            <w:r>
              <w:t>Laidų ar kabelių skaičius</w:t>
            </w:r>
          </w:p>
        </w:tc>
        <w:tc>
          <w:tcPr>
            <w:tcW w:w="6399" w:type="dxa"/>
            <w:gridSpan w:val="2"/>
            <w:vAlign w:val="center"/>
          </w:tcPr>
          <w:p>
            <w:pPr>
              <w:widowControl w:val="0"/>
              <w:jc w:val="center"/>
            </w:pPr>
            <w:r>
              <w:t>Pataisos koeficientas</w:t>
            </w:r>
          </w:p>
        </w:tc>
      </w:tr>
      <w:tr>
        <w:trPr>
          <w:cantSplit/>
        </w:trPr>
        <w:tc>
          <w:tcPr>
            <w:tcW w:w="1304" w:type="dxa"/>
            <w:vMerge/>
            <w:vAlign w:val="center"/>
          </w:tcPr>
          <w:p>
            <w:pPr>
              <w:widowControl w:val="0"/>
              <w:jc w:val="center"/>
            </w:pPr>
          </w:p>
        </w:tc>
        <w:tc>
          <w:tcPr>
            <w:tcW w:w="1134" w:type="dxa"/>
            <w:vAlign w:val="center"/>
          </w:tcPr>
          <w:p>
            <w:pPr>
              <w:widowControl w:val="0"/>
              <w:jc w:val="center"/>
            </w:pPr>
            <w:r>
              <w:t>viengyslių</w:t>
            </w:r>
          </w:p>
        </w:tc>
        <w:tc>
          <w:tcPr>
            <w:tcW w:w="1084" w:type="dxa"/>
            <w:vAlign w:val="center"/>
          </w:tcPr>
          <w:p>
            <w:pPr>
              <w:widowControl w:val="0"/>
              <w:jc w:val="center"/>
            </w:pPr>
            <w:r>
              <w:t>daugiagyslių</w:t>
            </w:r>
          </w:p>
        </w:tc>
        <w:tc>
          <w:tcPr>
            <w:tcW w:w="3345" w:type="dxa"/>
          </w:tcPr>
          <w:p>
            <w:pPr>
              <w:widowControl w:val="0"/>
              <w:jc w:val="center"/>
            </w:pPr>
            <w:r>
              <w:t>maitinantiems pavienius elektros imtuvus, kurių apkrovos koeficientas mažesnis kaip</w:t>
            </w:r>
          </w:p>
          <w:p>
            <w:pPr>
              <w:widowControl w:val="0"/>
              <w:jc w:val="center"/>
            </w:pPr>
            <w:r>
              <w:t>0,7</w:t>
            </w:r>
          </w:p>
        </w:tc>
        <w:tc>
          <w:tcPr>
            <w:tcW w:w="3054" w:type="dxa"/>
          </w:tcPr>
          <w:p>
            <w:pPr>
              <w:widowControl w:val="0"/>
              <w:jc w:val="center"/>
            </w:pPr>
            <w:r>
              <w:t>maitinantiems pavienius elektros imtuvus ar imtuvų grupę, kurių apkrovos koeficientas didesnis kaip 0,7</w:t>
            </w:r>
          </w:p>
        </w:tc>
      </w:tr>
      <w:tr>
        <w:trPr>
          <w:cantSplit/>
        </w:trPr>
        <w:tc>
          <w:tcPr>
            <w:tcW w:w="1304" w:type="dxa"/>
            <w:vMerge w:val="restart"/>
            <w:vAlign w:val="center"/>
          </w:tcPr>
          <w:p>
            <w:pPr>
              <w:widowControl w:val="0"/>
            </w:pPr>
            <w:r>
              <w:t>Daugiasluoksnis ir ryšuliais</w:t>
            </w:r>
          </w:p>
        </w:tc>
        <w:tc>
          <w:tcPr>
            <w:tcW w:w="1134" w:type="dxa"/>
            <w:vAlign w:val="center"/>
          </w:tcPr>
          <w:p>
            <w:pPr>
              <w:widowControl w:val="0"/>
              <w:jc w:val="center"/>
            </w:pPr>
            <w:r>
              <w:t>–</w:t>
            </w:r>
          </w:p>
        </w:tc>
        <w:tc>
          <w:tcPr>
            <w:tcW w:w="1084" w:type="dxa"/>
            <w:vAlign w:val="center"/>
          </w:tcPr>
          <w:p>
            <w:pPr>
              <w:widowControl w:val="0"/>
              <w:jc w:val="center"/>
            </w:pPr>
            <w:r>
              <w:t>iki 4</w:t>
            </w:r>
          </w:p>
        </w:tc>
        <w:tc>
          <w:tcPr>
            <w:tcW w:w="3345" w:type="dxa"/>
            <w:vAlign w:val="center"/>
          </w:tcPr>
          <w:p>
            <w:pPr>
              <w:widowControl w:val="0"/>
              <w:jc w:val="center"/>
            </w:pPr>
            <w:r>
              <w:t>1,0</w:t>
            </w:r>
          </w:p>
        </w:tc>
        <w:tc>
          <w:tcPr>
            <w:tcW w:w="3054" w:type="dxa"/>
            <w:vAlign w:val="center"/>
          </w:tcPr>
          <w:p>
            <w:pPr>
              <w:widowControl w:val="0"/>
              <w:jc w:val="center"/>
            </w:pPr>
            <w:r>
              <w:t>–</w:t>
            </w:r>
          </w:p>
        </w:tc>
      </w:tr>
      <w:tr>
        <w:trPr>
          <w:cantSplit/>
        </w:trPr>
        <w:tc>
          <w:tcPr>
            <w:tcW w:w="1304" w:type="dxa"/>
            <w:vMerge/>
            <w:vAlign w:val="center"/>
          </w:tcPr>
          <w:p>
            <w:pPr>
              <w:widowControl w:val="0"/>
            </w:pPr>
          </w:p>
        </w:tc>
        <w:tc>
          <w:tcPr>
            <w:tcW w:w="1134" w:type="dxa"/>
            <w:vAlign w:val="center"/>
          </w:tcPr>
          <w:p>
            <w:pPr>
              <w:widowControl w:val="0"/>
              <w:jc w:val="center"/>
            </w:pPr>
            <w:r>
              <w:t>2</w:t>
            </w:r>
          </w:p>
        </w:tc>
        <w:tc>
          <w:tcPr>
            <w:tcW w:w="1084" w:type="dxa"/>
            <w:vAlign w:val="center"/>
          </w:tcPr>
          <w:p>
            <w:pPr>
              <w:widowControl w:val="0"/>
              <w:jc w:val="center"/>
            </w:pPr>
            <w:r>
              <w:t>5–6</w:t>
            </w:r>
          </w:p>
        </w:tc>
        <w:tc>
          <w:tcPr>
            <w:tcW w:w="3345" w:type="dxa"/>
            <w:vAlign w:val="center"/>
          </w:tcPr>
          <w:p>
            <w:pPr>
              <w:widowControl w:val="0"/>
              <w:jc w:val="center"/>
            </w:pPr>
            <w:r>
              <w:t>0,85</w:t>
            </w:r>
          </w:p>
        </w:tc>
        <w:tc>
          <w:tcPr>
            <w:tcW w:w="3054" w:type="dxa"/>
            <w:vAlign w:val="center"/>
          </w:tcPr>
          <w:p>
            <w:pPr>
              <w:widowControl w:val="0"/>
              <w:jc w:val="center"/>
            </w:pPr>
            <w:r>
              <w:t>–</w:t>
            </w:r>
          </w:p>
        </w:tc>
      </w:tr>
      <w:tr>
        <w:trPr>
          <w:cantSplit/>
        </w:trPr>
        <w:tc>
          <w:tcPr>
            <w:tcW w:w="1304" w:type="dxa"/>
            <w:vMerge/>
            <w:vAlign w:val="center"/>
          </w:tcPr>
          <w:p>
            <w:pPr>
              <w:widowControl w:val="0"/>
            </w:pPr>
          </w:p>
        </w:tc>
        <w:tc>
          <w:tcPr>
            <w:tcW w:w="1134" w:type="dxa"/>
            <w:vAlign w:val="center"/>
          </w:tcPr>
          <w:p>
            <w:pPr>
              <w:widowControl w:val="0"/>
              <w:jc w:val="center"/>
            </w:pPr>
            <w:r>
              <w:t>3–9</w:t>
            </w:r>
          </w:p>
        </w:tc>
        <w:tc>
          <w:tcPr>
            <w:tcW w:w="1084" w:type="dxa"/>
            <w:vAlign w:val="center"/>
          </w:tcPr>
          <w:p>
            <w:pPr>
              <w:widowControl w:val="0"/>
              <w:jc w:val="center"/>
            </w:pPr>
            <w:r>
              <w:t>7–9</w:t>
            </w:r>
          </w:p>
        </w:tc>
        <w:tc>
          <w:tcPr>
            <w:tcW w:w="3345" w:type="dxa"/>
            <w:vAlign w:val="center"/>
          </w:tcPr>
          <w:p>
            <w:pPr>
              <w:widowControl w:val="0"/>
              <w:jc w:val="center"/>
            </w:pPr>
            <w:r>
              <w:t>0,75</w:t>
            </w:r>
          </w:p>
        </w:tc>
        <w:tc>
          <w:tcPr>
            <w:tcW w:w="3054" w:type="dxa"/>
            <w:vAlign w:val="center"/>
          </w:tcPr>
          <w:p>
            <w:pPr>
              <w:widowControl w:val="0"/>
              <w:jc w:val="center"/>
            </w:pPr>
            <w:r>
              <w:t>–</w:t>
            </w:r>
          </w:p>
        </w:tc>
      </w:tr>
      <w:tr>
        <w:trPr>
          <w:cantSplit/>
        </w:trPr>
        <w:tc>
          <w:tcPr>
            <w:tcW w:w="1304" w:type="dxa"/>
            <w:vMerge/>
            <w:vAlign w:val="center"/>
          </w:tcPr>
          <w:p>
            <w:pPr>
              <w:widowControl w:val="0"/>
            </w:pPr>
          </w:p>
        </w:tc>
        <w:tc>
          <w:tcPr>
            <w:tcW w:w="1134" w:type="dxa"/>
            <w:vAlign w:val="center"/>
          </w:tcPr>
          <w:p>
            <w:pPr>
              <w:widowControl w:val="0"/>
              <w:jc w:val="center"/>
            </w:pPr>
            <w:r>
              <w:t>10–11</w:t>
            </w:r>
          </w:p>
        </w:tc>
        <w:tc>
          <w:tcPr>
            <w:tcW w:w="1084" w:type="dxa"/>
            <w:vAlign w:val="center"/>
          </w:tcPr>
          <w:p>
            <w:pPr>
              <w:widowControl w:val="0"/>
              <w:jc w:val="center"/>
            </w:pPr>
            <w:r>
              <w:t>10–11</w:t>
            </w:r>
          </w:p>
        </w:tc>
        <w:tc>
          <w:tcPr>
            <w:tcW w:w="3345" w:type="dxa"/>
            <w:vAlign w:val="center"/>
          </w:tcPr>
          <w:p>
            <w:pPr>
              <w:widowControl w:val="0"/>
              <w:jc w:val="center"/>
            </w:pPr>
            <w:r>
              <w:t>0,7</w:t>
            </w:r>
          </w:p>
        </w:tc>
        <w:tc>
          <w:tcPr>
            <w:tcW w:w="3054" w:type="dxa"/>
            <w:vAlign w:val="center"/>
          </w:tcPr>
          <w:p>
            <w:pPr>
              <w:widowControl w:val="0"/>
              <w:jc w:val="center"/>
            </w:pPr>
            <w:r>
              <w:t>–</w:t>
            </w:r>
          </w:p>
        </w:tc>
      </w:tr>
      <w:tr>
        <w:trPr>
          <w:cantSplit/>
        </w:trPr>
        <w:tc>
          <w:tcPr>
            <w:tcW w:w="1304" w:type="dxa"/>
            <w:vMerge/>
            <w:vAlign w:val="center"/>
          </w:tcPr>
          <w:p>
            <w:pPr>
              <w:widowControl w:val="0"/>
            </w:pPr>
          </w:p>
        </w:tc>
        <w:tc>
          <w:tcPr>
            <w:tcW w:w="1134" w:type="dxa"/>
            <w:vAlign w:val="center"/>
          </w:tcPr>
          <w:p>
            <w:pPr>
              <w:widowControl w:val="0"/>
              <w:jc w:val="center"/>
            </w:pPr>
            <w:r>
              <w:t>12–14</w:t>
            </w:r>
          </w:p>
        </w:tc>
        <w:tc>
          <w:tcPr>
            <w:tcW w:w="1084" w:type="dxa"/>
            <w:vAlign w:val="center"/>
          </w:tcPr>
          <w:p>
            <w:pPr>
              <w:widowControl w:val="0"/>
              <w:jc w:val="center"/>
            </w:pPr>
            <w:r>
              <w:t>12–14</w:t>
            </w:r>
          </w:p>
        </w:tc>
        <w:tc>
          <w:tcPr>
            <w:tcW w:w="3345" w:type="dxa"/>
            <w:vAlign w:val="center"/>
          </w:tcPr>
          <w:p>
            <w:pPr>
              <w:widowControl w:val="0"/>
              <w:jc w:val="center"/>
            </w:pPr>
            <w:r>
              <w:t>0,65</w:t>
            </w:r>
          </w:p>
        </w:tc>
        <w:tc>
          <w:tcPr>
            <w:tcW w:w="3054" w:type="dxa"/>
            <w:vAlign w:val="center"/>
          </w:tcPr>
          <w:p>
            <w:pPr>
              <w:widowControl w:val="0"/>
              <w:jc w:val="center"/>
            </w:pPr>
            <w:r>
              <w:t>–</w:t>
            </w:r>
          </w:p>
        </w:tc>
      </w:tr>
      <w:tr>
        <w:trPr>
          <w:cantSplit/>
        </w:trPr>
        <w:tc>
          <w:tcPr>
            <w:tcW w:w="1304" w:type="dxa"/>
            <w:vMerge/>
            <w:vAlign w:val="center"/>
          </w:tcPr>
          <w:p>
            <w:pPr>
              <w:widowControl w:val="0"/>
            </w:pPr>
          </w:p>
        </w:tc>
        <w:tc>
          <w:tcPr>
            <w:tcW w:w="1134" w:type="dxa"/>
            <w:vAlign w:val="center"/>
          </w:tcPr>
          <w:p>
            <w:pPr>
              <w:widowControl w:val="0"/>
              <w:jc w:val="center"/>
            </w:pPr>
            <w:r>
              <w:t>15–18</w:t>
            </w:r>
          </w:p>
        </w:tc>
        <w:tc>
          <w:tcPr>
            <w:tcW w:w="1084" w:type="dxa"/>
            <w:vAlign w:val="center"/>
          </w:tcPr>
          <w:p>
            <w:pPr>
              <w:widowControl w:val="0"/>
              <w:jc w:val="center"/>
            </w:pPr>
            <w:r>
              <w:t>15–18</w:t>
            </w:r>
          </w:p>
        </w:tc>
        <w:tc>
          <w:tcPr>
            <w:tcW w:w="3345" w:type="dxa"/>
            <w:vAlign w:val="center"/>
          </w:tcPr>
          <w:p>
            <w:pPr>
              <w:widowControl w:val="0"/>
              <w:jc w:val="center"/>
            </w:pPr>
            <w:r>
              <w:t>0,6</w:t>
            </w:r>
          </w:p>
        </w:tc>
        <w:tc>
          <w:tcPr>
            <w:tcW w:w="3054" w:type="dxa"/>
            <w:vAlign w:val="center"/>
          </w:tcPr>
          <w:p>
            <w:pPr>
              <w:widowControl w:val="0"/>
              <w:jc w:val="center"/>
            </w:pPr>
            <w:r>
              <w:t>–</w:t>
            </w:r>
          </w:p>
        </w:tc>
      </w:tr>
      <w:tr>
        <w:trPr>
          <w:cantSplit/>
        </w:trPr>
        <w:tc>
          <w:tcPr>
            <w:tcW w:w="1304" w:type="dxa"/>
            <w:vMerge w:val="restart"/>
            <w:vAlign w:val="center"/>
          </w:tcPr>
          <w:p>
            <w:pPr>
              <w:widowControl w:val="0"/>
            </w:pPr>
            <w:r>
              <w:t>Vienasluoksnis</w:t>
            </w:r>
          </w:p>
        </w:tc>
        <w:tc>
          <w:tcPr>
            <w:tcW w:w="1134" w:type="dxa"/>
            <w:vAlign w:val="center"/>
          </w:tcPr>
          <w:p>
            <w:pPr>
              <w:widowControl w:val="0"/>
              <w:jc w:val="center"/>
            </w:pPr>
            <w:r>
              <w:t>2–4</w:t>
            </w:r>
          </w:p>
        </w:tc>
        <w:tc>
          <w:tcPr>
            <w:tcW w:w="1084" w:type="dxa"/>
            <w:vAlign w:val="center"/>
          </w:tcPr>
          <w:p>
            <w:pPr>
              <w:widowControl w:val="0"/>
              <w:jc w:val="center"/>
            </w:pPr>
            <w:r>
              <w:t>2–4</w:t>
            </w:r>
          </w:p>
        </w:tc>
        <w:tc>
          <w:tcPr>
            <w:tcW w:w="3345" w:type="dxa"/>
            <w:vAlign w:val="center"/>
          </w:tcPr>
          <w:p>
            <w:pPr>
              <w:widowControl w:val="0"/>
              <w:jc w:val="center"/>
            </w:pPr>
            <w:r>
              <w:t>–</w:t>
            </w:r>
          </w:p>
        </w:tc>
        <w:tc>
          <w:tcPr>
            <w:tcW w:w="3054" w:type="dxa"/>
            <w:vAlign w:val="center"/>
          </w:tcPr>
          <w:p>
            <w:pPr>
              <w:widowControl w:val="0"/>
              <w:jc w:val="center"/>
            </w:pPr>
            <w:r>
              <w:t>0,67</w:t>
            </w:r>
          </w:p>
        </w:tc>
      </w:tr>
      <w:tr>
        <w:trPr>
          <w:cantSplit/>
        </w:trPr>
        <w:tc>
          <w:tcPr>
            <w:tcW w:w="1304" w:type="dxa"/>
            <w:vMerge/>
            <w:vAlign w:val="center"/>
          </w:tcPr>
          <w:p>
            <w:pPr>
              <w:widowControl w:val="0"/>
              <w:jc w:val="center"/>
            </w:pPr>
          </w:p>
        </w:tc>
        <w:tc>
          <w:tcPr>
            <w:tcW w:w="1134" w:type="dxa"/>
            <w:vAlign w:val="center"/>
          </w:tcPr>
          <w:p>
            <w:pPr>
              <w:widowControl w:val="0"/>
              <w:jc w:val="center"/>
            </w:pPr>
            <w:r>
              <w:t>5</w:t>
            </w:r>
          </w:p>
        </w:tc>
        <w:tc>
          <w:tcPr>
            <w:tcW w:w="1084" w:type="dxa"/>
            <w:vAlign w:val="center"/>
          </w:tcPr>
          <w:p>
            <w:pPr>
              <w:widowControl w:val="0"/>
              <w:jc w:val="center"/>
            </w:pPr>
            <w:r>
              <w:t>5</w:t>
            </w:r>
          </w:p>
        </w:tc>
        <w:tc>
          <w:tcPr>
            <w:tcW w:w="3345" w:type="dxa"/>
            <w:vAlign w:val="center"/>
          </w:tcPr>
          <w:p>
            <w:pPr>
              <w:widowControl w:val="0"/>
              <w:jc w:val="center"/>
            </w:pPr>
            <w:r>
              <w:t>–</w:t>
            </w:r>
          </w:p>
        </w:tc>
        <w:tc>
          <w:tcPr>
            <w:tcW w:w="3054" w:type="dxa"/>
            <w:vAlign w:val="center"/>
          </w:tcPr>
          <w:p>
            <w:pPr>
              <w:widowControl w:val="0"/>
              <w:jc w:val="center"/>
            </w:pPr>
            <w:r>
              <w:t>0,6</w:t>
            </w:r>
          </w:p>
        </w:tc>
      </w:tr>
    </w:tbl>
    <w:p>
      <w:pPr>
        <w:widowControl w:val="0"/>
        <w:ind w:firstLine="567"/>
        <w:jc w:val="both"/>
        <w:rPr>
          <w:i/>
        </w:rPr>
      </w:pPr>
    </w:p>
    <w:p>
      <w:pPr>
        <w:widowControl w:val="0"/>
        <w:ind w:firstLine="567"/>
        <w:jc w:val="both"/>
        <w:rPr>
          <w:b/>
          <w:bCs/>
        </w:rPr>
      </w:pPr>
      <w:r>
        <w:rPr>
          <w:b/>
          <w:bCs/>
        </w:rPr>
        <w:t>13 lentelė. Žemėje klojamų iki 10 kV įtampos varinių kabelių švininiu apvalkalu, netakia mase įmirkyta popierine izoliacija, leistinoji ilgalaikė srovė</w:t>
      </w:r>
    </w:p>
    <w:p>
      <w:pPr>
        <w:widowControl w:val="0"/>
        <w:ind w:firstLine="567"/>
        <w:jc w:val="both"/>
      </w:pPr>
    </w:p>
    <w:p>
      <w:pPr>
        <w:widowControl w:val="0"/>
        <w:ind w:firstLine="567"/>
        <w:jc w:val="both"/>
      </w:pPr>
      <w:r>
        <w:t xml:space="preserve">Temperatūra: kabelių pagal – Taisyklių 68 punktą, žemės +15 </w:t>
      </w:r>
      <w:r>
        <w:rPr>
          <w:vertAlign w:val="superscript"/>
        </w:rPr>
        <w:t>o</w:t>
      </w:r>
      <w:r>
        <w:t>C.</w:t>
      </w:r>
    </w:p>
    <w:p>
      <w:pPr>
        <w:widowControl w:val="0"/>
        <w:ind w:firstLine="567"/>
        <w:jc w:val="both"/>
      </w:pPr>
      <w:r>
        <w:t>Žemės savitoji šiluminė varža 1,2 K·m/W.</w:t>
      </w:r>
    </w:p>
    <w:p>
      <w:pPr>
        <w:widowControl w:val="0"/>
        <w:ind w:firstLine="567"/>
        <w:jc w:val="both"/>
        <w:rPr>
          <w:i/>
        </w:rPr>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71"/>
        <w:gridCol w:w="1447"/>
        <w:gridCol w:w="1448"/>
        <w:gridCol w:w="1448"/>
        <w:gridCol w:w="1052"/>
        <w:gridCol w:w="1052"/>
        <w:gridCol w:w="1052"/>
      </w:tblGrid>
      <w:tr>
        <w:trPr>
          <w:cantSplit/>
          <w:trHeight w:val="20"/>
          <w:tblHeader/>
        </w:trPr>
        <w:tc>
          <w:tcPr>
            <w:tcW w:w="1130" w:type="dxa"/>
            <w:vMerge w:val="restart"/>
            <w:vAlign w:val="center"/>
          </w:tcPr>
          <w:p>
            <w:pPr>
              <w:widowControl w:val="0"/>
              <w:jc w:val="center"/>
            </w:pPr>
            <w:r>
              <w:t>Kabelio skerspjūvis,</w:t>
            </w:r>
          </w:p>
          <w:p>
            <w:pPr>
              <w:widowControl w:val="0"/>
              <w:jc w:val="center"/>
            </w:pPr>
            <w:r>
              <w:t>mm</w:t>
            </w:r>
            <w:r>
              <w:rPr>
                <w:vertAlign w:val="superscript"/>
              </w:rPr>
              <w:t>2</w:t>
            </w:r>
          </w:p>
        </w:tc>
        <w:tc>
          <w:tcPr>
            <w:tcW w:w="5391" w:type="dxa"/>
            <w:gridSpan w:val="6"/>
            <w:vAlign w:val="center"/>
          </w:tcPr>
          <w:p>
            <w:pPr>
              <w:widowControl w:val="0"/>
              <w:jc w:val="center"/>
            </w:pPr>
            <w:r>
              <w:t>Kabelių leistinoji ilgalaikė srovė, A</w:t>
            </w:r>
          </w:p>
        </w:tc>
      </w:tr>
      <w:tr>
        <w:trPr>
          <w:cantSplit/>
          <w:trHeight w:val="20"/>
          <w:tblHeader/>
        </w:trPr>
        <w:tc>
          <w:tcPr>
            <w:tcW w:w="1130" w:type="dxa"/>
            <w:vMerge/>
            <w:vAlign w:val="center"/>
          </w:tcPr>
          <w:p>
            <w:pPr>
              <w:widowControl w:val="0"/>
              <w:jc w:val="center"/>
            </w:pPr>
          </w:p>
        </w:tc>
        <w:tc>
          <w:tcPr>
            <w:tcW w:w="1041" w:type="dxa"/>
            <w:vMerge w:val="restart"/>
            <w:vAlign w:val="center"/>
          </w:tcPr>
          <w:p>
            <w:pPr>
              <w:widowControl w:val="0"/>
              <w:jc w:val="center"/>
            </w:pPr>
            <w:r>
              <w:t>viengyslių</w:t>
            </w:r>
          </w:p>
          <w:p>
            <w:pPr>
              <w:widowControl w:val="0"/>
              <w:jc w:val="center"/>
            </w:pPr>
            <w:r>
              <w:t>iki 1 kV</w:t>
            </w:r>
          </w:p>
        </w:tc>
        <w:tc>
          <w:tcPr>
            <w:tcW w:w="1041" w:type="dxa"/>
            <w:vMerge w:val="restart"/>
            <w:vAlign w:val="center"/>
          </w:tcPr>
          <w:p>
            <w:pPr>
              <w:widowControl w:val="0"/>
              <w:jc w:val="center"/>
            </w:pPr>
            <w:r>
              <w:t>dvigyslių</w:t>
            </w:r>
          </w:p>
          <w:p>
            <w:pPr>
              <w:widowControl w:val="0"/>
              <w:jc w:val="center"/>
            </w:pPr>
            <w:r>
              <w:t>iki 1 kV</w:t>
            </w:r>
          </w:p>
        </w:tc>
        <w:tc>
          <w:tcPr>
            <w:tcW w:w="1041" w:type="dxa"/>
            <w:vMerge w:val="restart"/>
            <w:vAlign w:val="center"/>
          </w:tcPr>
          <w:p>
            <w:pPr>
              <w:widowControl w:val="0"/>
              <w:jc w:val="center"/>
            </w:pPr>
            <w:r>
              <w:t>keturgyslių</w:t>
            </w:r>
          </w:p>
          <w:p>
            <w:pPr>
              <w:widowControl w:val="0"/>
              <w:jc w:val="center"/>
            </w:pPr>
            <w:r>
              <w:t>iki 1 kV</w:t>
            </w:r>
          </w:p>
        </w:tc>
        <w:tc>
          <w:tcPr>
            <w:tcW w:w="2268" w:type="dxa"/>
            <w:gridSpan w:val="3"/>
            <w:vAlign w:val="center"/>
          </w:tcPr>
          <w:p>
            <w:pPr>
              <w:widowControl w:val="0"/>
              <w:jc w:val="center"/>
            </w:pPr>
            <w:r>
              <w:t>trigyslių</w:t>
            </w:r>
          </w:p>
        </w:tc>
      </w:tr>
      <w:tr>
        <w:trPr>
          <w:cantSplit/>
          <w:trHeight w:val="20"/>
          <w:tblHeader/>
        </w:trPr>
        <w:tc>
          <w:tcPr>
            <w:tcW w:w="1130" w:type="dxa"/>
            <w:vMerge/>
            <w:vAlign w:val="center"/>
          </w:tcPr>
          <w:p>
            <w:pPr>
              <w:widowControl w:val="0"/>
              <w:jc w:val="center"/>
            </w:pPr>
          </w:p>
        </w:tc>
        <w:tc>
          <w:tcPr>
            <w:tcW w:w="1041" w:type="dxa"/>
            <w:vMerge/>
            <w:vAlign w:val="center"/>
          </w:tcPr>
          <w:p>
            <w:pPr>
              <w:widowControl w:val="0"/>
              <w:jc w:val="center"/>
            </w:pPr>
          </w:p>
        </w:tc>
        <w:tc>
          <w:tcPr>
            <w:tcW w:w="1041" w:type="dxa"/>
            <w:vMerge/>
            <w:vAlign w:val="center"/>
          </w:tcPr>
          <w:p>
            <w:pPr>
              <w:widowControl w:val="0"/>
              <w:jc w:val="center"/>
            </w:pPr>
          </w:p>
        </w:tc>
        <w:tc>
          <w:tcPr>
            <w:tcW w:w="1041" w:type="dxa"/>
            <w:vMerge/>
            <w:vAlign w:val="center"/>
          </w:tcPr>
          <w:p>
            <w:pPr>
              <w:widowControl w:val="0"/>
              <w:jc w:val="center"/>
            </w:pPr>
          </w:p>
        </w:tc>
        <w:tc>
          <w:tcPr>
            <w:tcW w:w="756" w:type="dxa"/>
            <w:vAlign w:val="center"/>
          </w:tcPr>
          <w:p>
            <w:pPr>
              <w:widowControl w:val="0"/>
              <w:jc w:val="center"/>
            </w:pPr>
            <w:r>
              <w:t>3 kV</w:t>
            </w:r>
          </w:p>
        </w:tc>
        <w:tc>
          <w:tcPr>
            <w:tcW w:w="756" w:type="dxa"/>
            <w:vAlign w:val="center"/>
          </w:tcPr>
          <w:p>
            <w:pPr>
              <w:widowControl w:val="0"/>
              <w:jc w:val="center"/>
            </w:pPr>
            <w:r>
              <w:t>6 kV</w:t>
            </w:r>
          </w:p>
        </w:tc>
        <w:tc>
          <w:tcPr>
            <w:tcW w:w="756" w:type="dxa"/>
            <w:vAlign w:val="center"/>
          </w:tcPr>
          <w:p>
            <w:pPr>
              <w:widowControl w:val="0"/>
              <w:jc w:val="center"/>
            </w:pPr>
            <w:r>
              <w:t>10 kV</w:t>
            </w:r>
          </w:p>
        </w:tc>
      </w:tr>
      <w:tr>
        <w:trPr>
          <w:cantSplit/>
          <w:trHeight w:val="20"/>
        </w:trPr>
        <w:tc>
          <w:tcPr>
            <w:tcW w:w="1130" w:type="dxa"/>
            <w:vAlign w:val="center"/>
          </w:tcPr>
          <w:p>
            <w:pPr>
              <w:widowControl w:val="0"/>
              <w:jc w:val="center"/>
            </w:pPr>
            <w:r>
              <w:t>6</w:t>
            </w:r>
          </w:p>
        </w:tc>
        <w:tc>
          <w:tcPr>
            <w:tcW w:w="1041" w:type="dxa"/>
            <w:vAlign w:val="center"/>
          </w:tcPr>
          <w:p>
            <w:pPr>
              <w:widowControl w:val="0"/>
              <w:jc w:val="center"/>
            </w:pPr>
            <w:r>
              <w:t>–</w:t>
            </w:r>
          </w:p>
        </w:tc>
        <w:tc>
          <w:tcPr>
            <w:tcW w:w="1041" w:type="dxa"/>
            <w:vAlign w:val="center"/>
          </w:tcPr>
          <w:p>
            <w:pPr>
              <w:widowControl w:val="0"/>
              <w:jc w:val="center"/>
            </w:pPr>
            <w:r>
              <w:t>80</w:t>
            </w:r>
          </w:p>
        </w:tc>
        <w:tc>
          <w:tcPr>
            <w:tcW w:w="1041" w:type="dxa"/>
            <w:vAlign w:val="center"/>
          </w:tcPr>
          <w:p>
            <w:pPr>
              <w:widowControl w:val="0"/>
              <w:jc w:val="center"/>
            </w:pPr>
            <w:r>
              <w:t>50</w:t>
            </w:r>
          </w:p>
        </w:tc>
        <w:tc>
          <w:tcPr>
            <w:tcW w:w="756" w:type="dxa"/>
            <w:vAlign w:val="center"/>
          </w:tcPr>
          <w:p>
            <w:pPr>
              <w:widowControl w:val="0"/>
              <w:jc w:val="center"/>
            </w:pPr>
            <w:r>
              <w:t>70</w:t>
            </w:r>
          </w:p>
        </w:tc>
        <w:tc>
          <w:tcPr>
            <w:tcW w:w="756" w:type="dxa"/>
            <w:vAlign w:val="center"/>
          </w:tcPr>
          <w:p>
            <w:pPr>
              <w:widowControl w:val="0"/>
              <w:jc w:val="center"/>
            </w:pPr>
            <w:r>
              <w:t>–</w:t>
            </w:r>
          </w:p>
        </w:tc>
        <w:tc>
          <w:tcPr>
            <w:tcW w:w="756" w:type="dxa"/>
            <w:vAlign w:val="center"/>
          </w:tcPr>
          <w:p>
            <w:pPr>
              <w:widowControl w:val="0"/>
              <w:jc w:val="center"/>
            </w:pPr>
            <w:r>
              <w:t>–</w:t>
            </w:r>
          </w:p>
        </w:tc>
      </w:tr>
      <w:tr>
        <w:trPr>
          <w:cantSplit/>
          <w:trHeight w:val="20"/>
        </w:trPr>
        <w:tc>
          <w:tcPr>
            <w:tcW w:w="1130" w:type="dxa"/>
            <w:vAlign w:val="center"/>
          </w:tcPr>
          <w:p>
            <w:pPr>
              <w:widowControl w:val="0"/>
              <w:jc w:val="center"/>
            </w:pPr>
            <w:r>
              <w:t>10</w:t>
            </w:r>
          </w:p>
        </w:tc>
        <w:tc>
          <w:tcPr>
            <w:tcW w:w="1041" w:type="dxa"/>
            <w:vAlign w:val="center"/>
          </w:tcPr>
          <w:p>
            <w:pPr>
              <w:widowControl w:val="0"/>
              <w:jc w:val="center"/>
            </w:pPr>
            <w:r>
              <w:t>140</w:t>
            </w:r>
          </w:p>
        </w:tc>
        <w:tc>
          <w:tcPr>
            <w:tcW w:w="1041" w:type="dxa"/>
            <w:vAlign w:val="center"/>
          </w:tcPr>
          <w:p>
            <w:pPr>
              <w:widowControl w:val="0"/>
              <w:jc w:val="center"/>
            </w:pPr>
            <w:r>
              <w:t>105</w:t>
            </w:r>
          </w:p>
        </w:tc>
        <w:tc>
          <w:tcPr>
            <w:tcW w:w="1041" w:type="dxa"/>
            <w:vAlign w:val="center"/>
          </w:tcPr>
          <w:p>
            <w:pPr>
              <w:widowControl w:val="0"/>
              <w:jc w:val="center"/>
            </w:pPr>
            <w:r>
              <w:t>85</w:t>
            </w:r>
          </w:p>
        </w:tc>
        <w:tc>
          <w:tcPr>
            <w:tcW w:w="756" w:type="dxa"/>
            <w:vAlign w:val="center"/>
          </w:tcPr>
          <w:p>
            <w:pPr>
              <w:widowControl w:val="0"/>
              <w:jc w:val="center"/>
            </w:pPr>
            <w:r>
              <w:t>95</w:t>
            </w:r>
          </w:p>
        </w:tc>
        <w:tc>
          <w:tcPr>
            <w:tcW w:w="756" w:type="dxa"/>
            <w:vAlign w:val="center"/>
          </w:tcPr>
          <w:p>
            <w:pPr>
              <w:widowControl w:val="0"/>
              <w:jc w:val="center"/>
            </w:pPr>
            <w:r>
              <w:t>80</w:t>
            </w:r>
          </w:p>
        </w:tc>
        <w:tc>
          <w:tcPr>
            <w:tcW w:w="756" w:type="dxa"/>
            <w:vAlign w:val="center"/>
          </w:tcPr>
          <w:p>
            <w:pPr>
              <w:widowControl w:val="0"/>
              <w:jc w:val="center"/>
            </w:pPr>
            <w:r>
              <w:t>–</w:t>
            </w:r>
          </w:p>
        </w:tc>
      </w:tr>
      <w:tr>
        <w:trPr>
          <w:cantSplit/>
          <w:trHeight w:val="20"/>
        </w:trPr>
        <w:tc>
          <w:tcPr>
            <w:tcW w:w="1130" w:type="dxa"/>
            <w:vAlign w:val="center"/>
          </w:tcPr>
          <w:p>
            <w:pPr>
              <w:widowControl w:val="0"/>
              <w:jc w:val="center"/>
            </w:pPr>
            <w:r>
              <w:t>16</w:t>
            </w:r>
          </w:p>
        </w:tc>
        <w:tc>
          <w:tcPr>
            <w:tcW w:w="1041" w:type="dxa"/>
            <w:vAlign w:val="center"/>
          </w:tcPr>
          <w:p>
            <w:pPr>
              <w:widowControl w:val="0"/>
              <w:jc w:val="center"/>
            </w:pPr>
            <w:r>
              <w:t>175</w:t>
            </w:r>
          </w:p>
        </w:tc>
        <w:tc>
          <w:tcPr>
            <w:tcW w:w="1041" w:type="dxa"/>
            <w:vAlign w:val="center"/>
          </w:tcPr>
          <w:p>
            <w:pPr>
              <w:widowControl w:val="0"/>
              <w:jc w:val="center"/>
            </w:pPr>
            <w:r>
              <w:t>140</w:t>
            </w:r>
          </w:p>
        </w:tc>
        <w:tc>
          <w:tcPr>
            <w:tcW w:w="1041" w:type="dxa"/>
            <w:vAlign w:val="center"/>
          </w:tcPr>
          <w:p>
            <w:pPr>
              <w:widowControl w:val="0"/>
              <w:jc w:val="center"/>
            </w:pPr>
            <w:r>
              <w:t>115</w:t>
            </w:r>
          </w:p>
        </w:tc>
        <w:tc>
          <w:tcPr>
            <w:tcW w:w="756" w:type="dxa"/>
            <w:vAlign w:val="center"/>
          </w:tcPr>
          <w:p>
            <w:pPr>
              <w:widowControl w:val="0"/>
              <w:jc w:val="center"/>
            </w:pPr>
            <w:r>
              <w:t>120</w:t>
            </w:r>
          </w:p>
        </w:tc>
        <w:tc>
          <w:tcPr>
            <w:tcW w:w="756" w:type="dxa"/>
            <w:vAlign w:val="center"/>
          </w:tcPr>
          <w:p>
            <w:pPr>
              <w:widowControl w:val="0"/>
              <w:jc w:val="center"/>
            </w:pPr>
            <w:r>
              <w:t>105</w:t>
            </w:r>
          </w:p>
        </w:tc>
        <w:tc>
          <w:tcPr>
            <w:tcW w:w="756" w:type="dxa"/>
            <w:vAlign w:val="center"/>
          </w:tcPr>
          <w:p>
            <w:pPr>
              <w:widowControl w:val="0"/>
              <w:jc w:val="center"/>
            </w:pPr>
            <w:r>
              <w:t>95</w:t>
            </w:r>
          </w:p>
        </w:tc>
      </w:tr>
      <w:tr>
        <w:trPr>
          <w:cantSplit/>
          <w:trHeight w:val="20"/>
        </w:trPr>
        <w:tc>
          <w:tcPr>
            <w:tcW w:w="1130" w:type="dxa"/>
            <w:vAlign w:val="center"/>
          </w:tcPr>
          <w:p>
            <w:pPr>
              <w:widowControl w:val="0"/>
              <w:jc w:val="center"/>
            </w:pPr>
            <w:r>
              <w:t>25</w:t>
            </w:r>
          </w:p>
        </w:tc>
        <w:tc>
          <w:tcPr>
            <w:tcW w:w="1041" w:type="dxa"/>
            <w:vAlign w:val="center"/>
          </w:tcPr>
          <w:p>
            <w:pPr>
              <w:widowControl w:val="0"/>
              <w:jc w:val="center"/>
            </w:pPr>
            <w:r>
              <w:t>235</w:t>
            </w:r>
          </w:p>
        </w:tc>
        <w:tc>
          <w:tcPr>
            <w:tcW w:w="1041" w:type="dxa"/>
            <w:vAlign w:val="center"/>
          </w:tcPr>
          <w:p>
            <w:pPr>
              <w:widowControl w:val="0"/>
              <w:jc w:val="center"/>
            </w:pPr>
            <w:r>
              <w:t>185</w:t>
            </w:r>
          </w:p>
        </w:tc>
        <w:tc>
          <w:tcPr>
            <w:tcW w:w="1041" w:type="dxa"/>
            <w:vAlign w:val="center"/>
          </w:tcPr>
          <w:p>
            <w:pPr>
              <w:widowControl w:val="0"/>
              <w:jc w:val="center"/>
            </w:pPr>
            <w:r>
              <w:t>150</w:t>
            </w:r>
          </w:p>
        </w:tc>
        <w:tc>
          <w:tcPr>
            <w:tcW w:w="756" w:type="dxa"/>
            <w:vAlign w:val="center"/>
          </w:tcPr>
          <w:p>
            <w:pPr>
              <w:widowControl w:val="0"/>
              <w:jc w:val="center"/>
            </w:pPr>
            <w:r>
              <w:t>160</w:t>
            </w:r>
          </w:p>
        </w:tc>
        <w:tc>
          <w:tcPr>
            <w:tcW w:w="756" w:type="dxa"/>
            <w:vAlign w:val="center"/>
          </w:tcPr>
          <w:p>
            <w:pPr>
              <w:widowControl w:val="0"/>
              <w:jc w:val="center"/>
            </w:pPr>
            <w:r>
              <w:t>135</w:t>
            </w:r>
          </w:p>
        </w:tc>
        <w:tc>
          <w:tcPr>
            <w:tcW w:w="756" w:type="dxa"/>
            <w:vAlign w:val="center"/>
          </w:tcPr>
          <w:p>
            <w:pPr>
              <w:widowControl w:val="0"/>
              <w:jc w:val="center"/>
            </w:pPr>
            <w:r>
              <w:t>120</w:t>
            </w:r>
          </w:p>
        </w:tc>
      </w:tr>
      <w:tr>
        <w:trPr>
          <w:cantSplit/>
          <w:trHeight w:val="20"/>
        </w:trPr>
        <w:tc>
          <w:tcPr>
            <w:tcW w:w="1130" w:type="dxa"/>
            <w:vAlign w:val="center"/>
          </w:tcPr>
          <w:p>
            <w:pPr>
              <w:widowControl w:val="0"/>
              <w:jc w:val="center"/>
            </w:pPr>
            <w:r>
              <w:t>35</w:t>
            </w:r>
          </w:p>
        </w:tc>
        <w:tc>
          <w:tcPr>
            <w:tcW w:w="1041" w:type="dxa"/>
            <w:vAlign w:val="center"/>
          </w:tcPr>
          <w:p>
            <w:pPr>
              <w:widowControl w:val="0"/>
              <w:jc w:val="center"/>
            </w:pPr>
            <w:r>
              <w:t>285</w:t>
            </w:r>
          </w:p>
        </w:tc>
        <w:tc>
          <w:tcPr>
            <w:tcW w:w="1041" w:type="dxa"/>
            <w:vAlign w:val="center"/>
          </w:tcPr>
          <w:p>
            <w:pPr>
              <w:widowControl w:val="0"/>
              <w:jc w:val="center"/>
            </w:pPr>
            <w:r>
              <w:t>225</w:t>
            </w:r>
          </w:p>
        </w:tc>
        <w:tc>
          <w:tcPr>
            <w:tcW w:w="1041" w:type="dxa"/>
            <w:vAlign w:val="center"/>
          </w:tcPr>
          <w:p>
            <w:pPr>
              <w:widowControl w:val="0"/>
              <w:jc w:val="center"/>
            </w:pPr>
            <w:r>
              <w:t>175</w:t>
            </w:r>
          </w:p>
        </w:tc>
        <w:tc>
          <w:tcPr>
            <w:tcW w:w="756" w:type="dxa"/>
            <w:vAlign w:val="center"/>
          </w:tcPr>
          <w:p>
            <w:pPr>
              <w:widowControl w:val="0"/>
              <w:jc w:val="center"/>
            </w:pPr>
            <w:r>
              <w:t>190</w:t>
            </w:r>
          </w:p>
        </w:tc>
        <w:tc>
          <w:tcPr>
            <w:tcW w:w="756" w:type="dxa"/>
            <w:vAlign w:val="center"/>
          </w:tcPr>
          <w:p>
            <w:pPr>
              <w:widowControl w:val="0"/>
              <w:jc w:val="center"/>
            </w:pPr>
            <w:r>
              <w:t>160</w:t>
            </w:r>
          </w:p>
        </w:tc>
        <w:tc>
          <w:tcPr>
            <w:tcW w:w="756" w:type="dxa"/>
            <w:vAlign w:val="center"/>
          </w:tcPr>
          <w:p>
            <w:pPr>
              <w:widowControl w:val="0"/>
              <w:jc w:val="center"/>
            </w:pPr>
            <w:r>
              <w:t>150</w:t>
            </w:r>
          </w:p>
        </w:tc>
      </w:tr>
      <w:tr>
        <w:trPr>
          <w:cantSplit/>
          <w:trHeight w:val="20"/>
        </w:trPr>
        <w:tc>
          <w:tcPr>
            <w:tcW w:w="1130" w:type="dxa"/>
            <w:vAlign w:val="center"/>
          </w:tcPr>
          <w:p>
            <w:pPr>
              <w:widowControl w:val="0"/>
              <w:jc w:val="center"/>
            </w:pPr>
            <w:r>
              <w:t>50</w:t>
            </w:r>
          </w:p>
        </w:tc>
        <w:tc>
          <w:tcPr>
            <w:tcW w:w="1041" w:type="dxa"/>
            <w:vAlign w:val="center"/>
          </w:tcPr>
          <w:p>
            <w:pPr>
              <w:widowControl w:val="0"/>
              <w:jc w:val="center"/>
            </w:pPr>
            <w:r>
              <w:t>360</w:t>
            </w:r>
          </w:p>
        </w:tc>
        <w:tc>
          <w:tcPr>
            <w:tcW w:w="1041" w:type="dxa"/>
            <w:vAlign w:val="center"/>
          </w:tcPr>
          <w:p>
            <w:pPr>
              <w:widowControl w:val="0"/>
              <w:jc w:val="center"/>
            </w:pPr>
            <w:r>
              <w:t>270</w:t>
            </w:r>
          </w:p>
        </w:tc>
        <w:tc>
          <w:tcPr>
            <w:tcW w:w="1041" w:type="dxa"/>
            <w:vAlign w:val="center"/>
          </w:tcPr>
          <w:p>
            <w:pPr>
              <w:widowControl w:val="0"/>
              <w:jc w:val="center"/>
            </w:pPr>
            <w:r>
              <w:t>215</w:t>
            </w:r>
          </w:p>
        </w:tc>
        <w:tc>
          <w:tcPr>
            <w:tcW w:w="756" w:type="dxa"/>
            <w:vAlign w:val="center"/>
          </w:tcPr>
          <w:p>
            <w:pPr>
              <w:widowControl w:val="0"/>
              <w:jc w:val="center"/>
            </w:pPr>
            <w:r>
              <w:t>235</w:t>
            </w:r>
          </w:p>
        </w:tc>
        <w:tc>
          <w:tcPr>
            <w:tcW w:w="756" w:type="dxa"/>
            <w:vAlign w:val="center"/>
          </w:tcPr>
          <w:p>
            <w:pPr>
              <w:widowControl w:val="0"/>
              <w:jc w:val="center"/>
            </w:pPr>
            <w:r>
              <w:t>200</w:t>
            </w:r>
          </w:p>
        </w:tc>
        <w:tc>
          <w:tcPr>
            <w:tcW w:w="756" w:type="dxa"/>
            <w:vAlign w:val="center"/>
          </w:tcPr>
          <w:p>
            <w:pPr>
              <w:widowControl w:val="0"/>
              <w:jc w:val="center"/>
            </w:pPr>
            <w:r>
              <w:t>180</w:t>
            </w:r>
          </w:p>
        </w:tc>
      </w:tr>
      <w:tr>
        <w:trPr>
          <w:cantSplit/>
          <w:trHeight w:val="20"/>
        </w:trPr>
        <w:tc>
          <w:tcPr>
            <w:tcW w:w="1130" w:type="dxa"/>
            <w:vAlign w:val="center"/>
          </w:tcPr>
          <w:p>
            <w:pPr>
              <w:widowControl w:val="0"/>
              <w:jc w:val="center"/>
            </w:pPr>
            <w:r>
              <w:t>70</w:t>
            </w:r>
          </w:p>
        </w:tc>
        <w:tc>
          <w:tcPr>
            <w:tcW w:w="1041" w:type="dxa"/>
            <w:vAlign w:val="center"/>
          </w:tcPr>
          <w:p>
            <w:pPr>
              <w:widowControl w:val="0"/>
              <w:jc w:val="center"/>
            </w:pPr>
            <w:r>
              <w:t>440</w:t>
            </w:r>
          </w:p>
        </w:tc>
        <w:tc>
          <w:tcPr>
            <w:tcW w:w="1041" w:type="dxa"/>
            <w:vAlign w:val="center"/>
          </w:tcPr>
          <w:p>
            <w:pPr>
              <w:widowControl w:val="0"/>
              <w:jc w:val="center"/>
            </w:pPr>
            <w:r>
              <w:t>325</w:t>
            </w:r>
          </w:p>
        </w:tc>
        <w:tc>
          <w:tcPr>
            <w:tcW w:w="1041" w:type="dxa"/>
            <w:vAlign w:val="center"/>
          </w:tcPr>
          <w:p>
            <w:pPr>
              <w:widowControl w:val="0"/>
              <w:jc w:val="center"/>
            </w:pPr>
            <w:r>
              <w:t>265</w:t>
            </w:r>
          </w:p>
        </w:tc>
        <w:tc>
          <w:tcPr>
            <w:tcW w:w="756" w:type="dxa"/>
            <w:vAlign w:val="center"/>
          </w:tcPr>
          <w:p>
            <w:pPr>
              <w:widowControl w:val="0"/>
              <w:jc w:val="center"/>
            </w:pPr>
            <w:r>
              <w:t>285</w:t>
            </w:r>
          </w:p>
        </w:tc>
        <w:tc>
          <w:tcPr>
            <w:tcW w:w="756" w:type="dxa"/>
            <w:vAlign w:val="center"/>
          </w:tcPr>
          <w:p>
            <w:pPr>
              <w:widowControl w:val="0"/>
              <w:jc w:val="center"/>
            </w:pPr>
            <w:r>
              <w:t>245</w:t>
            </w:r>
          </w:p>
        </w:tc>
        <w:tc>
          <w:tcPr>
            <w:tcW w:w="756" w:type="dxa"/>
            <w:vAlign w:val="center"/>
          </w:tcPr>
          <w:p>
            <w:pPr>
              <w:widowControl w:val="0"/>
              <w:jc w:val="center"/>
            </w:pPr>
            <w:r>
              <w:t>215</w:t>
            </w:r>
          </w:p>
        </w:tc>
      </w:tr>
      <w:tr>
        <w:trPr>
          <w:cantSplit/>
          <w:trHeight w:val="20"/>
        </w:trPr>
        <w:tc>
          <w:tcPr>
            <w:tcW w:w="1130" w:type="dxa"/>
            <w:vAlign w:val="center"/>
          </w:tcPr>
          <w:p>
            <w:pPr>
              <w:widowControl w:val="0"/>
              <w:jc w:val="center"/>
            </w:pPr>
            <w:r>
              <w:t>95</w:t>
            </w:r>
          </w:p>
        </w:tc>
        <w:tc>
          <w:tcPr>
            <w:tcW w:w="1041" w:type="dxa"/>
            <w:vAlign w:val="center"/>
          </w:tcPr>
          <w:p>
            <w:pPr>
              <w:widowControl w:val="0"/>
              <w:jc w:val="center"/>
            </w:pPr>
            <w:r>
              <w:t>520</w:t>
            </w:r>
          </w:p>
        </w:tc>
        <w:tc>
          <w:tcPr>
            <w:tcW w:w="1041" w:type="dxa"/>
            <w:vAlign w:val="center"/>
          </w:tcPr>
          <w:p>
            <w:pPr>
              <w:widowControl w:val="0"/>
              <w:jc w:val="center"/>
            </w:pPr>
            <w:r>
              <w:t>380</w:t>
            </w:r>
          </w:p>
        </w:tc>
        <w:tc>
          <w:tcPr>
            <w:tcW w:w="1041" w:type="dxa"/>
            <w:vAlign w:val="center"/>
          </w:tcPr>
          <w:p>
            <w:pPr>
              <w:widowControl w:val="0"/>
              <w:jc w:val="center"/>
            </w:pPr>
            <w:r>
              <w:t>310</w:t>
            </w:r>
          </w:p>
        </w:tc>
        <w:tc>
          <w:tcPr>
            <w:tcW w:w="756" w:type="dxa"/>
            <w:vAlign w:val="center"/>
          </w:tcPr>
          <w:p>
            <w:pPr>
              <w:widowControl w:val="0"/>
              <w:jc w:val="center"/>
            </w:pPr>
            <w:r>
              <w:t>340</w:t>
            </w:r>
          </w:p>
        </w:tc>
        <w:tc>
          <w:tcPr>
            <w:tcW w:w="756" w:type="dxa"/>
            <w:vAlign w:val="center"/>
          </w:tcPr>
          <w:p>
            <w:pPr>
              <w:widowControl w:val="0"/>
              <w:jc w:val="center"/>
            </w:pPr>
            <w:r>
              <w:t>295</w:t>
            </w:r>
          </w:p>
        </w:tc>
        <w:tc>
          <w:tcPr>
            <w:tcW w:w="756" w:type="dxa"/>
            <w:vAlign w:val="center"/>
          </w:tcPr>
          <w:p>
            <w:pPr>
              <w:widowControl w:val="0"/>
              <w:jc w:val="center"/>
            </w:pPr>
            <w:r>
              <w:t>265</w:t>
            </w:r>
          </w:p>
        </w:tc>
      </w:tr>
      <w:tr>
        <w:trPr>
          <w:cantSplit/>
          <w:trHeight w:val="20"/>
        </w:trPr>
        <w:tc>
          <w:tcPr>
            <w:tcW w:w="1130" w:type="dxa"/>
            <w:vAlign w:val="center"/>
          </w:tcPr>
          <w:p>
            <w:pPr>
              <w:widowControl w:val="0"/>
              <w:jc w:val="center"/>
            </w:pPr>
            <w:r>
              <w:t>120</w:t>
            </w:r>
          </w:p>
        </w:tc>
        <w:tc>
          <w:tcPr>
            <w:tcW w:w="1041" w:type="dxa"/>
            <w:vAlign w:val="center"/>
          </w:tcPr>
          <w:p>
            <w:pPr>
              <w:widowControl w:val="0"/>
              <w:jc w:val="center"/>
            </w:pPr>
            <w:r>
              <w:t>595</w:t>
            </w:r>
          </w:p>
        </w:tc>
        <w:tc>
          <w:tcPr>
            <w:tcW w:w="1041" w:type="dxa"/>
            <w:vAlign w:val="center"/>
          </w:tcPr>
          <w:p>
            <w:pPr>
              <w:widowControl w:val="0"/>
              <w:jc w:val="center"/>
            </w:pPr>
            <w:r>
              <w:t>435</w:t>
            </w:r>
          </w:p>
        </w:tc>
        <w:tc>
          <w:tcPr>
            <w:tcW w:w="1041" w:type="dxa"/>
            <w:vAlign w:val="center"/>
          </w:tcPr>
          <w:p>
            <w:pPr>
              <w:widowControl w:val="0"/>
              <w:jc w:val="center"/>
            </w:pPr>
            <w:r>
              <w:t>350</w:t>
            </w:r>
          </w:p>
        </w:tc>
        <w:tc>
          <w:tcPr>
            <w:tcW w:w="756" w:type="dxa"/>
            <w:vAlign w:val="center"/>
          </w:tcPr>
          <w:p>
            <w:pPr>
              <w:widowControl w:val="0"/>
              <w:jc w:val="center"/>
            </w:pPr>
            <w:r>
              <w:t>390</w:t>
            </w:r>
          </w:p>
        </w:tc>
        <w:tc>
          <w:tcPr>
            <w:tcW w:w="756" w:type="dxa"/>
            <w:vAlign w:val="center"/>
          </w:tcPr>
          <w:p>
            <w:pPr>
              <w:widowControl w:val="0"/>
              <w:jc w:val="center"/>
            </w:pPr>
            <w:r>
              <w:t>340</w:t>
            </w:r>
          </w:p>
        </w:tc>
        <w:tc>
          <w:tcPr>
            <w:tcW w:w="756" w:type="dxa"/>
            <w:vAlign w:val="center"/>
          </w:tcPr>
          <w:p>
            <w:pPr>
              <w:widowControl w:val="0"/>
              <w:jc w:val="center"/>
            </w:pPr>
            <w:r>
              <w:t>310</w:t>
            </w:r>
          </w:p>
        </w:tc>
      </w:tr>
      <w:tr>
        <w:trPr>
          <w:cantSplit/>
          <w:trHeight w:val="20"/>
        </w:trPr>
        <w:tc>
          <w:tcPr>
            <w:tcW w:w="1130" w:type="dxa"/>
            <w:vAlign w:val="center"/>
          </w:tcPr>
          <w:p>
            <w:pPr>
              <w:widowControl w:val="0"/>
              <w:jc w:val="center"/>
            </w:pPr>
            <w:r>
              <w:t>150</w:t>
            </w:r>
          </w:p>
        </w:tc>
        <w:tc>
          <w:tcPr>
            <w:tcW w:w="1041" w:type="dxa"/>
            <w:vAlign w:val="center"/>
          </w:tcPr>
          <w:p>
            <w:pPr>
              <w:widowControl w:val="0"/>
              <w:jc w:val="center"/>
            </w:pPr>
            <w:r>
              <w:t>675</w:t>
            </w:r>
          </w:p>
        </w:tc>
        <w:tc>
          <w:tcPr>
            <w:tcW w:w="1041" w:type="dxa"/>
            <w:vAlign w:val="center"/>
          </w:tcPr>
          <w:p>
            <w:pPr>
              <w:widowControl w:val="0"/>
              <w:jc w:val="center"/>
            </w:pPr>
            <w:r>
              <w:t>500</w:t>
            </w:r>
          </w:p>
        </w:tc>
        <w:tc>
          <w:tcPr>
            <w:tcW w:w="1041" w:type="dxa"/>
            <w:vAlign w:val="center"/>
          </w:tcPr>
          <w:p>
            <w:pPr>
              <w:widowControl w:val="0"/>
              <w:jc w:val="center"/>
            </w:pPr>
            <w:r>
              <w:t>395</w:t>
            </w:r>
          </w:p>
        </w:tc>
        <w:tc>
          <w:tcPr>
            <w:tcW w:w="756" w:type="dxa"/>
            <w:vAlign w:val="center"/>
          </w:tcPr>
          <w:p>
            <w:pPr>
              <w:widowControl w:val="0"/>
              <w:jc w:val="center"/>
            </w:pPr>
            <w:r>
              <w:t>435</w:t>
            </w:r>
          </w:p>
        </w:tc>
        <w:tc>
          <w:tcPr>
            <w:tcW w:w="756" w:type="dxa"/>
            <w:vAlign w:val="center"/>
          </w:tcPr>
          <w:p>
            <w:pPr>
              <w:widowControl w:val="0"/>
              <w:jc w:val="center"/>
            </w:pPr>
            <w:r>
              <w:t>390</w:t>
            </w:r>
          </w:p>
        </w:tc>
        <w:tc>
          <w:tcPr>
            <w:tcW w:w="756" w:type="dxa"/>
            <w:vAlign w:val="center"/>
          </w:tcPr>
          <w:p>
            <w:pPr>
              <w:widowControl w:val="0"/>
              <w:jc w:val="center"/>
            </w:pPr>
            <w:r>
              <w:t>355</w:t>
            </w:r>
          </w:p>
        </w:tc>
      </w:tr>
      <w:tr>
        <w:trPr>
          <w:cantSplit/>
          <w:trHeight w:val="20"/>
        </w:trPr>
        <w:tc>
          <w:tcPr>
            <w:tcW w:w="1130" w:type="dxa"/>
            <w:vAlign w:val="center"/>
          </w:tcPr>
          <w:p>
            <w:pPr>
              <w:widowControl w:val="0"/>
              <w:jc w:val="center"/>
            </w:pPr>
            <w:r>
              <w:t>185</w:t>
            </w:r>
          </w:p>
        </w:tc>
        <w:tc>
          <w:tcPr>
            <w:tcW w:w="1041" w:type="dxa"/>
            <w:vAlign w:val="center"/>
          </w:tcPr>
          <w:p>
            <w:pPr>
              <w:widowControl w:val="0"/>
              <w:jc w:val="center"/>
            </w:pPr>
            <w:r>
              <w:t>755</w:t>
            </w:r>
          </w:p>
        </w:tc>
        <w:tc>
          <w:tcPr>
            <w:tcW w:w="1041" w:type="dxa"/>
            <w:vAlign w:val="center"/>
          </w:tcPr>
          <w:p>
            <w:pPr>
              <w:widowControl w:val="0"/>
              <w:jc w:val="center"/>
            </w:pPr>
            <w:r>
              <w:t>–</w:t>
            </w:r>
          </w:p>
        </w:tc>
        <w:tc>
          <w:tcPr>
            <w:tcW w:w="1041" w:type="dxa"/>
            <w:vAlign w:val="center"/>
          </w:tcPr>
          <w:p>
            <w:pPr>
              <w:widowControl w:val="0"/>
              <w:jc w:val="center"/>
            </w:pPr>
            <w:r>
              <w:t>450</w:t>
            </w:r>
          </w:p>
        </w:tc>
        <w:tc>
          <w:tcPr>
            <w:tcW w:w="756" w:type="dxa"/>
            <w:vAlign w:val="center"/>
          </w:tcPr>
          <w:p>
            <w:pPr>
              <w:widowControl w:val="0"/>
              <w:jc w:val="center"/>
            </w:pPr>
            <w:r>
              <w:t>490</w:t>
            </w:r>
          </w:p>
        </w:tc>
        <w:tc>
          <w:tcPr>
            <w:tcW w:w="756" w:type="dxa"/>
            <w:vAlign w:val="center"/>
          </w:tcPr>
          <w:p>
            <w:pPr>
              <w:widowControl w:val="0"/>
              <w:jc w:val="center"/>
            </w:pPr>
            <w:r>
              <w:t>440</w:t>
            </w:r>
          </w:p>
        </w:tc>
        <w:tc>
          <w:tcPr>
            <w:tcW w:w="756" w:type="dxa"/>
            <w:vAlign w:val="center"/>
          </w:tcPr>
          <w:p>
            <w:pPr>
              <w:widowControl w:val="0"/>
              <w:jc w:val="center"/>
            </w:pPr>
            <w:r>
              <w:t>400</w:t>
            </w:r>
          </w:p>
        </w:tc>
      </w:tr>
      <w:tr>
        <w:trPr>
          <w:cantSplit/>
          <w:trHeight w:val="20"/>
        </w:trPr>
        <w:tc>
          <w:tcPr>
            <w:tcW w:w="1130" w:type="dxa"/>
            <w:vAlign w:val="center"/>
          </w:tcPr>
          <w:p>
            <w:pPr>
              <w:widowControl w:val="0"/>
              <w:jc w:val="center"/>
            </w:pPr>
            <w:r>
              <w:t>240</w:t>
            </w:r>
          </w:p>
        </w:tc>
        <w:tc>
          <w:tcPr>
            <w:tcW w:w="1041" w:type="dxa"/>
            <w:vAlign w:val="center"/>
          </w:tcPr>
          <w:p>
            <w:pPr>
              <w:widowControl w:val="0"/>
              <w:jc w:val="center"/>
            </w:pPr>
            <w:r>
              <w:t>880</w:t>
            </w:r>
          </w:p>
        </w:tc>
        <w:tc>
          <w:tcPr>
            <w:tcW w:w="1041" w:type="dxa"/>
            <w:vAlign w:val="center"/>
          </w:tcPr>
          <w:p>
            <w:pPr>
              <w:widowControl w:val="0"/>
              <w:jc w:val="center"/>
            </w:pPr>
            <w:r>
              <w:t>–</w:t>
            </w:r>
          </w:p>
        </w:tc>
        <w:tc>
          <w:tcPr>
            <w:tcW w:w="1041" w:type="dxa"/>
            <w:vAlign w:val="center"/>
          </w:tcPr>
          <w:p>
            <w:pPr>
              <w:widowControl w:val="0"/>
              <w:jc w:val="center"/>
            </w:pPr>
            <w:r>
              <w:t>450</w:t>
            </w:r>
          </w:p>
        </w:tc>
        <w:tc>
          <w:tcPr>
            <w:tcW w:w="756" w:type="dxa"/>
            <w:vAlign w:val="center"/>
          </w:tcPr>
          <w:p>
            <w:pPr>
              <w:widowControl w:val="0"/>
              <w:jc w:val="center"/>
            </w:pPr>
            <w:r>
              <w:t>570</w:t>
            </w:r>
          </w:p>
        </w:tc>
        <w:tc>
          <w:tcPr>
            <w:tcW w:w="756" w:type="dxa"/>
            <w:vAlign w:val="center"/>
          </w:tcPr>
          <w:p>
            <w:pPr>
              <w:widowControl w:val="0"/>
              <w:jc w:val="center"/>
            </w:pPr>
            <w:r>
              <w:t>510</w:t>
            </w:r>
          </w:p>
        </w:tc>
        <w:tc>
          <w:tcPr>
            <w:tcW w:w="756" w:type="dxa"/>
            <w:vAlign w:val="center"/>
          </w:tcPr>
          <w:p>
            <w:pPr>
              <w:widowControl w:val="0"/>
              <w:jc w:val="center"/>
            </w:pPr>
            <w:r>
              <w:t>460</w:t>
            </w:r>
          </w:p>
        </w:tc>
      </w:tr>
    </w:tbl>
    <w:p>
      <w:pPr>
        <w:widowControl w:val="0"/>
        <w:ind w:firstLine="567"/>
        <w:jc w:val="both"/>
      </w:pPr>
    </w:p>
    <w:p>
      <w:pPr>
        <w:widowControl w:val="0"/>
        <w:ind w:firstLine="567"/>
        <w:jc w:val="both"/>
        <w:rPr>
          <w:b/>
          <w:bCs/>
        </w:rPr>
      </w:pPr>
      <w:r>
        <w:rPr>
          <w:b/>
          <w:bCs/>
        </w:rPr>
        <w:t>14 lentelė. Vandenyje tiesiamų iki 10 kV įtampos varinių kabelių švininiu apvalkalu, netakia mase įmirkyta popierine izoliacija, leistinoji ilgalaikė srovė</w:t>
      </w:r>
    </w:p>
    <w:p>
      <w:pPr>
        <w:widowControl w:val="0"/>
        <w:ind w:firstLine="567"/>
        <w:jc w:val="both"/>
      </w:pPr>
    </w:p>
    <w:p>
      <w:pPr>
        <w:widowControl w:val="0"/>
        <w:ind w:firstLine="567"/>
        <w:jc w:val="both"/>
      </w:pPr>
      <w:r>
        <w:t xml:space="preserve">Temperatūra: kabelių – pagal Taisyklių 68 punktą, vandens +15 </w:t>
      </w:r>
      <w:r>
        <w:rPr>
          <w:vertAlign w:val="superscript"/>
        </w:rPr>
        <w:t>o</w:t>
      </w:r>
      <w:r>
        <w:t>C.</w:t>
      </w:r>
    </w:p>
    <w:p>
      <w:pPr>
        <w:widowControl w:val="0"/>
        <w:ind w:firstLine="567"/>
        <w:jc w:val="both"/>
      </w:pPr>
      <w:r>
        <w:t>Vandens savitoji šiluminė varža 1,2 K·m/W.</w:t>
      </w:r>
    </w:p>
    <w:p>
      <w:pPr>
        <w:widowControl w:val="0"/>
        <w:ind w:firstLine="567"/>
        <w:jc w:val="both"/>
        <w:rPr>
          <w:i/>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8"/>
        <w:gridCol w:w="1850"/>
        <w:gridCol w:w="1874"/>
        <w:gridCol w:w="1924"/>
        <w:gridCol w:w="1764"/>
      </w:tblGrid>
      <w:tr>
        <w:trPr>
          <w:cantSplit/>
          <w:trHeight w:val="20"/>
        </w:trPr>
        <w:tc>
          <w:tcPr>
            <w:tcW w:w="1519" w:type="dxa"/>
            <w:vMerge w:val="restart"/>
            <w:vAlign w:val="center"/>
          </w:tcPr>
          <w:p>
            <w:pPr>
              <w:widowControl w:val="0"/>
              <w:jc w:val="center"/>
            </w:pPr>
            <w:r>
              <w:t>Kabelio skerspjūvis,</w:t>
            </w:r>
          </w:p>
          <w:p>
            <w:pPr>
              <w:widowControl w:val="0"/>
              <w:jc w:val="center"/>
            </w:pPr>
            <w:r>
              <w:t>mm</w:t>
            </w:r>
            <w:r>
              <w:rPr>
                <w:vertAlign w:val="superscript"/>
              </w:rPr>
              <w:t>2</w:t>
            </w:r>
          </w:p>
        </w:tc>
        <w:tc>
          <w:tcPr>
            <w:tcW w:w="6788" w:type="dxa"/>
            <w:gridSpan w:val="4"/>
            <w:vAlign w:val="center"/>
          </w:tcPr>
          <w:p>
            <w:pPr>
              <w:widowControl w:val="0"/>
              <w:jc w:val="center"/>
            </w:pPr>
            <w:r>
              <w:t>Kabelių leistinoji ilgalaikė srovė, A</w:t>
            </w:r>
          </w:p>
        </w:tc>
      </w:tr>
      <w:tr>
        <w:trPr>
          <w:cantSplit/>
          <w:trHeight w:val="20"/>
        </w:trPr>
        <w:tc>
          <w:tcPr>
            <w:tcW w:w="1519" w:type="dxa"/>
            <w:vMerge/>
            <w:vAlign w:val="center"/>
          </w:tcPr>
          <w:p>
            <w:pPr>
              <w:widowControl w:val="0"/>
              <w:jc w:val="center"/>
            </w:pPr>
          </w:p>
        </w:tc>
        <w:tc>
          <w:tcPr>
            <w:tcW w:w="1694" w:type="dxa"/>
            <w:vMerge w:val="restart"/>
            <w:vAlign w:val="center"/>
          </w:tcPr>
          <w:p>
            <w:pPr>
              <w:widowControl w:val="0"/>
              <w:jc w:val="center"/>
            </w:pPr>
            <w:r>
              <w:t>keturgyslių</w:t>
            </w:r>
          </w:p>
          <w:p>
            <w:pPr>
              <w:widowControl w:val="0"/>
              <w:jc w:val="center"/>
            </w:pPr>
            <w:r>
              <w:t>iki 1 kV</w:t>
            </w:r>
          </w:p>
        </w:tc>
        <w:tc>
          <w:tcPr>
            <w:tcW w:w="5094" w:type="dxa"/>
            <w:gridSpan w:val="3"/>
            <w:vAlign w:val="center"/>
          </w:tcPr>
          <w:p>
            <w:pPr>
              <w:widowControl w:val="0"/>
              <w:jc w:val="center"/>
            </w:pPr>
            <w:r>
              <w:t>trigyslių</w:t>
            </w:r>
          </w:p>
        </w:tc>
      </w:tr>
      <w:tr>
        <w:trPr>
          <w:cantSplit/>
          <w:trHeight w:val="20"/>
        </w:trPr>
        <w:tc>
          <w:tcPr>
            <w:tcW w:w="1519" w:type="dxa"/>
            <w:vMerge/>
            <w:vAlign w:val="center"/>
          </w:tcPr>
          <w:p>
            <w:pPr>
              <w:widowControl w:val="0"/>
              <w:jc w:val="center"/>
            </w:pPr>
          </w:p>
        </w:tc>
        <w:tc>
          <w:tcPr>
            <w:tcW w:w="1694" w:type="dxa"/>
            <w:vMerge/>
            <w:vAlign w:val="center"/>
          </w:tcPr>
          <w:p>
            <w:pPr>
              <w:widowControl w:val="0"/>
              <w:jc w:val="center"/>
            </w:pPr>
          </w:p>
        </w:tc>
        <w:tc>
          <w:tcPr>
            <w:tcW w:w="1716" w:type="dxa"/>
            <w:vAlign w:val="center"/>
          </w:tcPr>
          <w:p>
            <w:pPr>
              <w:widowControl w:val="0"/>
              <w:jc w:val="center"/>
            </w:pPr>
            <w:r>
              <w:t>3 kV</w:t>
            </w:r>
          </w:p>
        </w:tc>
        <w:tc>
          <w:tcPr>
            <w:tcW w:w="1762" w:type="dxa"/>
            <w:vAlign w:val="center"/>
          </w:tcPr>
          <w:p>
            <w:pPr>
              <w:widowControl w:val="0"/>
              <w:jc w:val="center"/>
            </w:pPr>
            <w:r>
              <w:t>6 kV</w:t>
            </w:r>
          </w:p>
        </w:tc>
        <w:tc>
          <w:tcPr>
            <w:tcW w:w="1616" w:type="dxa"/>
            <w:vAlign w:val="center"/>
          </w:tcPr>
          <w:p>
            <w:pPr>
              <w:widowControl w:val="0"/>
              <w:jc w:val="center"/>
            </w:pPr>
            <w:r>
              <w:t>10 kV</w:t>
            </w:r>
          </w:p>
        </w:tc>
      </w:tr>
      <w:tr>
        <w:trPr>
          <w:cantSplit/>
          <w:trHeight w:val="20"/>
        </w:trPr>
        <w:tc>
          <w:tcPr>
            <w:tcW w:w="1519" w:type="dxa"/>
            <w:vAlign w:val="center"/>
          </w:tcPr>
          <w:p>
            <w:pPr>
              <w:widowControl w:val="0"/>
              <w:jc w:val="center"/>
            </w:pPr>
            <w:r>
              <w:t>16</w:t>
            </w:r>
          </w:p>
        </w:tc>
        <w:tc>
          <w:tcPr>
            <w:tcW w:w="1694" w:type="dxa"/>
            <w:vAlign w:val="center"/>
          </w:tcPr>
          <w:p>
            <w:pPr>
              <w:widowControl w:val="0"/>
              <w:jc w:val="center"/>
            </w:pPr>
            <w:r>
              <w:t>–</w:t>
            </w:r>
          </w:p>
        </w:tc>
        <w:tc>
          <w:tcPr>
            <w:tcW w:w="1716" w:type="dxa"/>
            <w:vAlign w:val="center"/>
          </w:tcPr>
          <w:p>
            <w:pPr>
              <w:widowControl w:val="0"/>
              <w:jc w:val="center"/>
            </w:pPr>
            <w:r>
              <w:t>–</w:t>
            </w:r>
          </w:p>
        </w:tc>
        <w:tc>
          <w:tcPr>
            <w:tcW w:w="1762" w:type="dxa"/>
            <w:vAlign w:val="center"/>
          </w:tcPr>
          <w:p>
            <w:pPr>
              <w:widowControl w:val="0"/>
              <w:jc w:val="center"/>
            </w:pPr>
            <w:r>
              <w:t>135</w:t>
            </w:r>
          </w:p>
        </w:tc>
        <w:tc>
          <w:tcPr>
            <w:tcW w:w="1616" w:type="dxa"/>
            <w:vAlign w:val="center"/>
          </w:tcPr>
          <w:p>
            <w:pPr>
              <w:widowControl w:val="0"/>
              <w:jc w:val="center"/>
            </w:pPr>
            <w:r>
              <w:t>120</w:t>
            </w:r>
          </w:p>
        </w:tc>
      </w:tr>
      <w:tr>
        <w:trPr>
          <w:cantSplit/>
          <w:trHeight w:val="20"/>
        </w:trPr>
        <w:tc>
          <w:tcPr>
            <w:tcW w:w="1519" w:type="dxa"/>
            <w:vAlign w:val="center"/>
          </w:tcPr>
          <w:p>
            <w:pPr>
              <w:widowControl w:val="0"/>
              <w:jc w:val="center"/>
            </w:pPr>
            <w:r>
              <w:t>25</w:t>
            </w:r>
          </w:p>
        </w:tc>
        <w:tc>
          <w:tcPr>
            <w:tcW w:w="1694" w:type="dxa"/>
            <w:vAlign w:val="center"/>
          </w:tcPr>
          <w:p>
            <w:pPr>
              <w:widowControl w:val="0"/>
              <w:jc w:val="center"/>
            </w:pPr>
            <w:r>
              <w:t>195</w:t>
            </w:r>
          </w:p>
        </w:tc>
        <w:tc>
          <w:tcPr>
            <w:tcW w:w="1716" w:type="dxa"/>
            <w:vAlign w:val="center"/>
          </w:tcPr>
          <w:p>
            <w:pPr>
              <w:widowControl w:val="0"/>
              <w:jc w:val="center"/>
            </w:pPr>
            <w:r>
              <w:t>210</w:t>
            </w:r>
          </w:p>
        </w:tc>
        <w:tc>
          <w:tcPr>
            <w:tcW w:w="1762" w:type="dxa"/>
            <w:vAlign w:val="center"/>
          </w:tcPr>
          <w:p>
            <w:pPr>
              <w:widowControl w:val="0"/>
              <w:jc w:val="center"/>
            </w:pPr>
            <w:r>
              <w:t>170</w:t>
            </w:r>
          </w:p>
        </w:tc>
        <w:tc>
          <w:tcPr>
            <w:tcW w:w="1616" w:type="dxa"/>
            <w:vAlign w:val="center"/>
          </w:tcPr>
          <w:p>
            <w:pPr>
              <w:widowControl w:val="0"/>
              <w:jc w:val="center"/>
            </w:pPr>
            <w:r>
              <w:t>150</w:t>
            </w:r>
          </w:p>
        </w:tc>
      </w:tr>
      <w:tr>
        <w:trPr>
          <w:cantSplit/>
          <w:trHeight w:val="20"/>
        </w:trPr>
        <w:tc>
          <w:tcPr>
            <w:tcW w:w="1519" w:type="dxa"/>
            <w:vAlign w:val="center"/>
          </w:tcPr>
          <w:p>
            <w:pPr>
              <w:widowControl w:val="0"/>
              <w:jc w:val="center"/>
            </w:pPr>
            <w:r>
              <w:t>35</w:t>
            </w:r>
          </w:p>
        </w:tc>
        <w:tc>
          <w:tcPr>
            <w:tcW w:w="1694" w:type="dxa"/>
            <w:vAlign w:val="center"/>
          </w:tcPr>
          <w:p>
            <w:pPr>
              <w:widowControl w:val="0"/>
              <w:jc w:val="center"/>
            </w:pPr>
            <w:r>
              <w:t>230</w:t>
            </w:r>
          </w:p>
        </w:tc>
        <w:tc>
          <w:tcPr>
            <w:tcW w:w="1716" w:type="dxa"/>
            <w:vAlign w:val="center"/>
          </w:tcPr>
          <w:p>
            <w:pPr>
              <w:widowControl w:val="0"/>
              <w:jc w:val="center"/>
            </w:pPr>
            <w:r>
              <w:t>250</w:t>
            </w:r>
          </w:p>
        </w:tc>
        <w:tc>
          <w:tcPr>
            <w:tcW w:w="1762" w:type="dxa"/>
            <w:vAlign w:val="center"/>
          </w:tcPr>
          <w:p>
            <w:pPr>
              <w:widowControl w:val="0"/>
              <w:jc w:val="center"/>
            </w:pPr>
            <w:r>
              <w:t>205</w:t>
            </w:r>
          </w:p>
        </w:tc>
        <w:tc>
          <w:tcPr>
            <w:tcW w:w="1616" w:type="dxa"/>
            <w:vAlign w:val="center"/>
          </w:tcPr>
          <w:p>
            <w:pPr>
              <w:widowControl w:val="0"/>
              <w:jc w:val="center"/>
            </w:pPr>
            <w:r>
              <w:t>180</w:t>
            </w:r>
          </w:p>
        </w:tc>
      </w:tr>
      <w:tr>
        <w:trPr>
          <w:cantSplit/>
          <w:trHeight w:val="20"/>
        </w:trPr>
        <w:tc>
          <w:tcPr>
            <w:tcW w:w="1519" w:type="dxa"/>
            <w:vAlign w:val="center"/>
          </w:tcPr>
          <w:p>
            <w:pPr>
              <w:widowControl w:val="0"/>
              <w:jc w:val="center"/>
            </w:pPr>
            <w:r>
              <w:t>50</w:t>
            </w:r>
          </w:p>
        </w:tc>
        <w:tc>
          <w:tcPr>
            <w:tcW w:w="1694" w:type="dxa"/>
            <w:vAlign w:val="center"/>
          </w:tcPr>
          <w:p>
            <w:pPr>
              <w:widowControl w:val="0"/>
              <w:jc w:val="center"/>
            </w:pPr>
            <w:r>
              <w:t>285</w:t>
            </w:r>
          </w:p>
        </w:tc>
        <w:tc>
          <w:tcPr>
            <w:tcW w:w="1716" w:type="dxa"/>
            <w:vAlign w:val="center"/>
          </w:tcPr>
          <w:p>
            <w:pPr>
              <w:widowControl w:val="0"/>
              <w:jc w:val="center"/>
            </w:pPr>
            <w:r>
              <w:t>305</w:t>
            </w:r>
          </w:p>
        </w:tc>
        <w:tc>
          <w:tcPr>
            <w:tcW w:w="1762" w:type="dxa"/>
            <w:vAlign w:val="center"/>
          </w:tcPr>
          <w:p>
            <w:pPr>
              <w:widowControl w:val="0"/>
              <w:jc w:val="center"/>
            </w:pPr>
            <w:r>
              <w:t>255</w:t>
            </w:r>
          </w:p>
        </w:tc>
        <w:tc>
          <w:tcPr>
            <w:tcW w:w="1616" w:type="dxa"/>
            <w:vAlign w:val="center"/>
          </w:tcPr>
          <w:p>
            <w:pPr>
              <w:widowControl w:val="0"/>
              <w:jc w:val="center"/>
            </w:pPr>
            <w:r>
              <w:t>220</w:t>
            </w:r>
          </w:p>
        </w:tc>
      </w:tr>
      <w:tr>
        <w:trPr>
          <w:cantSplit/>
          <w:trHeight w:val="20"/>
        </w:trPr>
        <w:tc>
          <w:tcPr>
            <w:tcW w:w="1519" w:type="dxa"/>
            <w:vAlign w:val="center"/>
          </w:tcPr>
          <w:p>
            <w:pPr>
              <w:widowControl w:val="0"/>
              <w:jc w:val="center"/>
            </w:pPr>
            <w:r>
              <w:t>70</w:t>
            </w:r>
          </w:p>
        </w:tc>
        <w:tc>
          <w:tcPr>
            <w:tcW w:w="1694" w:type="dxa"/>
            <w:vAlign w:val="center"/>
          </w:tcPr>
          <w:p>
            <w:pPr>
              <w:widowControl w:val="0"/>
              <w:jc w:val="center"/>
            </w:pPr>
            <w:r>
              <w:t>350</w:t>
            </w:r>
          </w:p>
        </w:tc>
        <w:tc>
          <w:tcPr>
            <w:tcW w:w="1716" w:type="dxa"/>
            <w:vAlign w:val="center"/>
          </w:tcPr>
          <w:p>
            <w:pPr>
              <w:widowControl w:val="0"/>
              <w:jc w:val="center"/>
            </w:pPr>
            <w:r>
              <w:t>375</w:t>
            </w:r>
          </w:p>
        </w:tc>
        <w:tc>
          <w:tcPr>
            <w:tcW w:w="1762" w:type="dxa"/>
            <w:vAlign w:val="center"/>
          </w:tcPr>
          <w:p>
            <w:pPr>
              <w:widowControl w:val="0"/>
              <w:jc w:val="center"/>
            </w:pPr>
            <w:r>
              <w:t>310</w:t>
            </w:r>
          </w:p>
        </w:tc>
        <w:tc>
          <w:tcPr>
            <w:tcW w:w="1616" w:type="dxa"/>
            <w:vAlign w:val="center"/>
          </w:tcPr>
          <w:p>
            <w:pPr>
              <w:widowControl w:val="0"/>
              <w:jc w:val="center"/>
            </w:pPr>
            <w:r>
              <w:t>275</w:t>
            </w:r>
          </w:p>
        </w:tc>
      </w:tr>
      <w:tr>
        <w:trPr>
          <w:cantSplit/>
          <w:trHeight w:val="20"/>
        </w:trPr>
        <w:tc>
          <w:tcPr>
            <w:tcW w:w="1519" w:type="dxa"/>
            <w:vAlign w:val="center"/>
          </w:tcPr>
          <w:p>
            <w:pPr>
              <w:widowControl w:val="0"/>
              <w:jc w:val="center"/>
            </w:pPr>
            <w:r>
              <w:t>95</w:t>
            </w:r>
          </w:p>
        </w:tc>
        <w:tc>
          <w:tcPr>
            <w:tcW w:w="1694" w:type="dxa"/>
            <w:vAlign w:val="center"/>
          </w:tcPr>
          <w:p>
            <w:pPr>
              <w:widowControl w:val="0"/>
              <w:jc w:val="center"/>
            </w:pPr>
            <w:r>
              <w:t>410</w:t>
            </w:r>
          </w:p>
        </w:tc>
        <w:tc>
          <w:tcPr>
            <w:tcW w:w="1716" w:type="dxa"/>
            <w:vAlign w:val="center"/>
          </w:tcPr>
          <w:p>
            <w:pPr>
              <w:widowControl w:val="0"/>
              <w:jc w:val="center"/>
            </w:pPr>
            <w:r>
              <w:t>440</w:t>
            </w:r>
          </w:p>
        </w:tc>
        <w:tc>
          <w:tcPr>
            <w:tcW w:w="1762" w:type="dxa"/>
            <w:vAlign w:val="center"/>
          </w:tcPr>
          <w:p>
            <w:pPr>
              <w:widowControl w:val="0"/>
              <w:jc w:val="center"/>
            </w:pPr>
            <w:r>
              <w:t>375</w:t>
            </w:r>
          </w:p>
        </w:tc>
        <w:tc>
          <w:tcPr>
            <w:tcW w:w="1616" w:type="dxa"/>
            <w:vAlign w:val="center"/>
          </w:tcPr>
          <w:p>
            <w:pPr>
              <w:widowControl w:val="0"/>
              <w:jc w:val="center"/>
            </w:pPr>
            <w:r>
              <w:t>340</w:t>
            </w:r>
          </w:p>
        </w:tc>
      </w:tr>
      <w:tr>
        <w:trPr>
          <w:cantSplit/>
          <w:trHeight w:val="20"/>
        </w:trPr>
        <w:tc>
          <w:tcPr>
            <w:tcW w:w="1519" w:type="dxa"/>
            <w:vAlign w:val="center"/>
          </w:tcPr>
          <w:p>
            <w:pPr>
              <w:widowControl w:val="0"/>
              <w:jc w:val="center"/>
            </w:pPr>
            <w:r>
              <w:t>120</w:t>
            </w:r>
          </w:p>
        </w:tc>
        <w:tc>
          <w:tcPr>
            <w:tcW w:w="1694" w:type="dxa"/>
            <w:vAlign w:val="center"/>
          </w:tcPr>
          <w:p>
            <w:pPr>
              <w:widowControl w:val="0"/>
              <w:jc w:val="center"/>
            </w:pPr>
            <w:r>
              <w:t>470</w:t>
            </w:r>
          </w:p>
        </w:tc>
        <w:tc>
          <w:tcPr>
            <w:tcW w:w="1716" w:type="dxa"/>
            <w:vAlign w:val="center"/>
          </w:tcPr>
          <w:p>
            <w:pPr>
              <w:widowControl w:val="0"/>
              <w:jc w:val="center"/>
            </w:pPr>
            <w:r>
              <w:t>505</w:t>
            </w:r>
          </w:p>
        </w:tc>
        <w:tc>
          <w:tcPr>
            <w:tcW w:w="1762" w:type="dxa"/>
            <w:vAlign w:val="center"/>
          </w:tcPr>
          <w:p>
            <w:pPr>
              <w:widowControl w:val="0"/>
              <w:jc w:val="center"/>
            </w:pPr>
            <w:r>
              <w:t>430</w:t>
            </w:r>
          </w:p>
        </w:tc>
        <w:tc>
          <w:tcPr>
            <w:tcW w:w="1616" w:type="dxa"/>
            <w:vAlign w:val="center"/>
          </w:tcPr>
          <w:p>
            <w:pPr>
              <w:widowControl w:val="0"/>
              <w:jc w:val="center"/>
            </w:pPr>
            <w:r>
              <w:t>395</w:t>
            </w:r>
          </w:p>
        </w:tc>
      </w:tr>
      <w:tr>
        <w:trPr>
          <w:cantSplit/>
          <w:trHeight w:val="20"/>
        </w:trPr>
        <w:tc>
          <w:tcPr>
            <w:tcW w:w="1519" w:type="dxa"/>
            <w:vAlign w:val="center"/>
          </w:tcPr>
          <w:p>
            <w:pPr>
              <w:widowControl w:val="0"/>
              <w:jc w:val="center"/>
            </w:pPr>
            <w:r>
              <w:t>150</w:t>
            </w:r>
          </w:p>
        </w:tc>
        <w:tc>
          <w:tcPr>
            <w:tcW w:w="1694" w:type="dxa"/>
            <w:vAlign w:val="center"/>
          </w:tcPr>
          <w:p>
            <w:pPr>
              <w:widowControl w:val="0"/>
              <w:jc w:val="center"/>
            </w:pPr>
            <w:r>
              <w:t>–</w:t>
            </w:r>
          </w:p>
        </w:tc>
        <w:tc>
          <w:tcPr>
            <w:tcW w:w="1716" w:type="dxa"/>
            <w:vAlign w:val="center"/>
          </w:tcPr>
          <w:p>
            <w:pPr>
              <w:widowControl w:val="0"/>
              <w:jc w:val="center"/>
            </w:pPr>
            <w:r>
              <w:t>565</w:t>
            </w:r>
          </w:p>
        </w:tc>
        <w:tc>
          <w:tcPr>
            <w:tcW w:w="1762" w:type="dxa"/>
            <w:vAlign w:val="center"/>
          </w:tcPr>
          <w:p>
            <w:pPr>
              <w:widowControl w:val="0"/>
              <w:jc w:val="center"/>
            </w:pPr>
            <w:r>
              <w:t>500</w:t>
            </w:r>
          </w:p>
        </w:tc>
        <w:tc>
          <w:tcPr>
            <w:tcW w:w="1616" w:type="dxa"/>
            <w:vAlign w:val="center"/>
          </w:tcPr>
          <w:p>
            <w:pPr>
              <w:widowControl w:val="0"/>
              <w:jc w:val="center"/>
            </w:pPr>
            <w:r>
              <w:t>450</w:t>
            </w:r>
          </w:p>
        </w:tc>
      </w:tr>
      <w:tr>
        <w:trPr>
          <w:cantSplit/>
          <w:trHeight w:val="20"/>
        </w:trPr>
        <w:tc>
          <w:tcPr>
            <w:tcW w:w="1519" w:type="dxa"/>
            <w:vAlign w:val="center"/>
          </w:tcPr>
          <w:p>
            <w:pPr>
              <w:widowControl w:val="0"/>
              <w:jc w:val="center"/>
            </w:pPr>
            <w:r>
              <w:t>185</w:t>
            </w:r>
          </w:p>
        </w:tc>
        <w:tc>
          <w:tcPr>
            <w:tcW w:w="1694" w:type="dxa"/>
            <w:vAlign w:val="center"/>
          </w:tcPr>
          <w:p>
            <w:pPr>
              <w:widowControl w:val="0"/>
              <w:jc w:val="center"/>
            </w:pPr>
            <w:r>
              <w:t>–</w:t>
            </w:r>
          </w:p>
        </w:tc>
        <w:tc>
          <w:tcPr>
            <w:tcW w:w="1716" w:type="dxa"/>
            <w:vAlign w:val="center"/>
          </w:tcPr>
          <w:p>
            <w:pPr>
              <w:widowControl w:val="0"/>
              <w:jc w:val="center"/>
            </w:pPr>
            <w:r>
              <w:t>615</w:t>
            </w:r>
          </w:p>
        </w:tc>
        <w:tc>
          <w:tcPr>
            <w:tcW w:w="1762" w:type="dxa"/>
            <w:vAlign w:val="center"/>
          </w:tcPr>
          <w:p>
            <w:pPr>
              <w:widowControl w:val="0"/>
              <w:jc w:val="center"/>
            </w:pPr>
            <w:r>
              <w:t>545</w:t>
            </w:r>
          </w:p>
        </w:tc>
        <w:tc>
          <w:tcPr>
            <w:tcW w:w="1616" w:type="dxa"/>
            <w:vAlign w:val="center"/>
          </w:tcPr>
          <w:p>
            <w:pPr>
              <w:widowControl w:val="0"/>
              <w:jc w:val="center"/>
            </w:pPr>
            <w:r>
              <w:t>510</w:t>
            </w:r>
          </w:p>
        </w:tc>
      </w:tr>
      <w:tr>
        <w:trPr>
          <w:cantSplit/>
          <w:trHeight w:val="20"/>
        </w:trPr>
        <w:tc>
          <w:tcPr>
            <w:tcW w:w="1519" w:type="dxa"/>
            <w:vAlign w:val="center"/>
          </w:tcPr>
          <w:p>
            <w:pPr>
              <w:widowControl w:val="0"/>
              <w:jc w:val="center"/>
            </w:pPr>
            <w:r>
              <w:t>240</w:t>
            </w:r>
          </w:p>
        </w:tc>
        <w:tc>
          <w:tcPr>
            <w:tcW w:w="1694" w:type="dxa"/>
            <w:vAlign w:val="center"/>
          </w:tcPr>
          <w:p>
            <w:pPr>
              <w:widowControl w:val="0"/>
              <w:jc w:val="center"/>
            </w:pPr>
            <w:r>
              <w:t>–</w:t>
            </w:r>
          </w:p>
        </w:tc>
        <w:tc>
          <w:tcPr>
            <w:tcW w:w="1716" w:type="dxa"/>
            <w:vAlign w:val="center"/>
          </w:tcPr>
          <w:p>
            <w:pPr>
              <w:widowControl w:val="0"/>
              <w:jc w:val="center"/>
            </w:pPr>
            <w:r>
              <w:t>715</w:t>
            </w:r>
          </w:p>
        </w:tc>
        <w:tc>
          <w:tcPr>
            <w:tcW w:w="1762" w:type="dxa"/>
            <w:vAlign w:val="center"/>
          </w:tcPr>
          <w:p>
            <w:pPr>
              <w:widowControl w:val="0"/>
              <w:jc w:val="center"/>
            </w:pPr>
            <w:r>
              <w:t>625</w:t>
            </w:r>
          </w:p>
        </w:tc>
        <w:tc>
          <w:tcPr>
            <w:tcW w:w="1616" w:type="dxa"/>
            <w:vAlign w:val="center"/>
          </w:tcPr>
          <w:p>
            <w:pPr>
              <w:widowControl w:val="0"/>
              <w:jc w:val="center"/>
            </w:pPr>
            <w:r>
              <w:t>585</w:t>
            </w:r>
          </w:p>
        </w:tc>
      </w:tr>
    </w:tbl>
    <w:p>
      <w:pPr>
        <w:widowControl w:val="0"/>
        <w:ind w:firstLine="567"/>
        <w:jc w:val="both"/>
        <w:rPr>
          <w:i/>
        </w:rPr>
      </w:pPr>
    </w:p>
    <w:p>
      <w:pPr>
        <w:widowControl w:val="0"/>
        <w:ind w:firstLine="567"/>
        <w:jc w:val="both"/>
        <w:rPr>
          <w:b/>
          <w:bCs/>
        </w:rPr>
      </w:pPr>
      <w:r>
        <w:rPr>
          <w:b/>
          <w:bCs/>
        </w:rPr>
        <w:t>15 lentelė. Ore tiesiamų iki 10 kV įtampos varinių kabelių netakia mase arba alyvos kanifolijos mišiniu įmirkyta popierine izoliacija švininiu apvalkalu leistinoji ilgalaikė srovė</w:t>
      </w:r>
    </w:p>
    <w:p>
      <w:pPr>
        <w:widowControl w:val="0"/>
        <w:ind w:firstLine="567"/>
        <w:jc w:val="both"/>
      </w:pPr>
    </w:p>
    <w:p>
      <w:pPr>
        <w:widowControl w:val="0"/>
        <w:ind w:firstLine="567"/>
        <w:jc w:val="both"/>
      </w:pPr>
      <w:r>
        <w:t xml:space="preserve">Temperatūra: kabelių – pagal Taisyklių 68 punktą, oro +25 </w:t>
      </w:r>
      <w:r>
        <w:rPr>
          <w:vertAlign w:val="superscript"/>
        </w:rPr>
        <w:t>o</w:t>
      </w:r>
      <w:r>
        <w:t>C.</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3"/>
        <w:gridCol w:w="1342"/>
        <w:gridCol w:w="1243"/>
        <w:gridCol w:w="1263"/>
        <w:gridCol w:w="1243"/>
        <w:gridCol w:w="1323"/>
        <w:gridCol w:w="1263"/>
      </w:tblGrid>
      <w:tr>
        <w:trPr>
          <w:cantSplit/>
          <w:trHeight w:val="20"/>
          <w:tblHeader/>
        </w:trPr>
        <w:tc>
          <w:tcPr>
            <w:tcW w:w="1001" w:type="dxa"/>
            <w:vMerge w:val="restart"/>
            <w:vAlign w:val="center"/>
          </w:tcPr>
          <w:p>
            <w:pPr>
              <w:widowControl w:val="0"/>
              <w:jc w:val="center"/>
            </w:pPr>
            <w:r>
              <w:t>Kabelio skerspjūvis,</w:t>
            </w:r>
          </w:p>
          <w:p>
            <w:pPr>
              <w:widowControl w:val="0"/>
              <w:jc w:val="center"/>
            </w:pPr>
            <w:r>
              <w:t>mm</w:t>
            </w:r>
            <w:r>
              <w:rPr>
                <w:vertAlign w:val="superscript"/>
              </w:rPr>
              <w:t>2</w:t>
            </w:r>
          </w:p>
        </w:tc>
        <w:tc>
          <w:tcPr>
            <w:tcW w:w="5520" w:type="dxa"/>
            <w:gridSpan w:val="6"/>
            <w:vAlign w:val="center"/>
          </w:tcPr>
          <w:p>
            <w:pPr>
              <w:widowControl w:val="0"/>
              <w:jc w:val="center"/>
            </w:pPr>
            <w:r>
              <w:t>Kabelių leistinoji ilgalaikė srovė, A</w:t>
            </w:r>
          </w:p>
        </w:tc>
      </w:tr>
      <w:tr>
        <w:trPr>
          <w:cantSplit/>
          <w:trHeight w:val="20"/>
          <w:tblHeader/>
        </w:trPr>
        <w:tc>
          <w:tcPr>
            <w:tcW w:w="1001" w:type="dxa"/>
            <w:vMerge/>
            <w:vAlign w:val="center"/>
          </w:tcPr>
          <w:p>
            <w:pPr>
              <w:widowControl w:val="0"/>
              <w:jc w:val="center"/>
            </w:pPr>
          </w:p>
        </w:tc>
        <w:tc>
          <w:tcPr>
            <w:tcW w:w="965" w:type="dxa"/>
            <w:vMerge w:val="restart"/>
            <w:vAlign w:val="center"/>
          </w:tcPr>
          <w:p>
            <w:pPr>
              <w:widowControl w:val="0"/>
              <w:jc w:val="center"/>
            </w:pPr>
            <w:r>
              <w:t>viengyslių</w:t>
            </w:r>
          </w:p>
          <w:p>
            <w:pPr>
              <w:widowControl w:val="0"/>
              <w:jc w:val="center"/>
            </w:pPr>
            <w:r>
              <w:t>iki 1 kV</w:t>
            </w:r>
          </w:p>
        </w:tc>
        <w:tc>
          <w:tcPr>
            <w:tcW w:w="894" w:type="dxa"/>
            <w:vMerge w:val="restart"/>
            <w:vAlign w:val="center"/>
          </w:tcPr>
          <w:p>
            <w:pPr>
              <w:widowControl w:val="0"/>
              <w:jc w:val="center"/>
            </w:pPr>
            <w:r>
              <w:t>dvigyslių</w:t>
            </w:r>
          </w:p>
          <w:p>
            <w:pPr>
              <w:widowControl w:val="0"/>
              <w:jc w:val="center"/>
            </w:pPr>
            <w:r>
              <w:t>iki 1 kV</w:t>
            </w:r>
          </w:p>
        </w:tc>
        <w:tc>
          <w:tcPr>
            <w:tcW w:w="908" w:type="dxa"/>
            <w:vMerge w:val="restart"/>
            <w:vAlign w:val="center"/>
          </w:tcPr>
          <w:p>
            <w:pPr>
              <w:widowControl w:val="0"/>
              <w:jc w:val="center"/>
            </w:pPr>
            <w:r>
              <w:t>keturgyslių</w:t>
            </w:r>
          </w:p>
          <w:p>
            <w:pPr>
              <w:widowControl w:val="0"/>
              <w:jc w:val="center"/>
            </w:pPr>
            <w:r>
              <w:t>iki 1 kV</w:t>
            </w:r>
          </w:p>
        </w:tc>
        <w:tc>
          <w:tcPr>
            <w:tcW w:w="2753" w:type="dxa"/>
            <w:gridSpan w:val="3"/>
            <w:vAlign w:val="center"/>
          </w:tcPr>
          <w:p>
            <w:pPr>
              <w:widowControl w:val="0"/>
              <w:jc w:val="center"/>
            </w:pPr>
            <w:r>
              <w:t>trigyslių</w:t>
            </w:r>
          </w:p>
        </w:tc>
      </w:tr>
      <w:tr>
        <w:trPr>
          <w:cantSplit/>
          <w:trHeight w:val="20"/>
          <w:tblHeader/>
        </w:trPr>
        <w:tc>
          <w:tcPr>
            <w:tcW w:w="1001" w:type="dxa"/>
            <w:vMerge/>
            <w:vAlign w:val="center"/>
          </w:tcPr>
          <w:p>
            <w:pPr>
              <w:widowControl w:val="0"/>
              <w:jc w:val="center"/>
            </w:pPr>
          </w:p>
        </w:tc>
        <w:tc>
          <w:tcPr>
            <w:tcW w:w="965" w:type="dxa"/>
            <w:vMerge/>
            <w:vAlign w:val="center"/>
          </w:tcPr>
          <w:p>
            <w:pPr>
              <w:widowControl w:val="0"/>
              <w:jc w:val="center"/>
            </w:pPr>
          </w:p>
        </w:tc>
        <w:tc>
          <w:tcPr>
            <w:tcW w:w="894" w:type="dxa"/>
            <w:vMerge/>
            <w:vAlign w:val="center"/>
          </w:tcPr>
          <w:p>
            <w:pPr>
              <w:widowControl w:val="0"/>
              <w:jc w:val="center"/>
            </w:pPr>
          </w:p>
        </w:tc>
        <w:tc>
          <w:tcPr>
            <w:tcW w:w="908" w:type="dxa"/>
            <w:vMerge/>
            <w:vAlign w:val="center"/>
          </w:tcPr>
          <w:p>
            <w:pPr>
              <w:widowControl w:val="0"/>
              <w:jc w:val="center"/>
            </w:pPr>
          </w:p>
        </w:tc>
        <w:tc>
          <w:tcPr>
            <w:tcW w:w="894" w:type="dxa"/>
            <w:vAlign w:val="center"/>
          </w:tcPr>
          <w:p>
            <w:pPr>
              <w:widowControl w:val="0"/>
              <w:jc w:val="center"/>
            </w:pPr>
            <w:r>
              <w:t>3 kV</w:t>
            </w:r>
          </w:p>
        </w:tc>
        <w:tc>
          <w:tcPr>
            <w:tcW w:w="951" w:type="dxa"/>
            <w:vAlign w:val="center"/>
          </w:tcPr>
          <w:p>
            <w:pPr>
              <w:widowControl w:val="0"/>
              <w:jc w:val="center"/>
            </w:pPr>
            <w:r>
              <w:t>6 kV</w:t>
            </w:r>
          </w:p>
        </w:tc>
        <w:tc>
          <w:tcPr>
            <w:tcW w:w="908" w:type="dxa"/>
            <w:vAlign w:val="center"/>
          </w:tcPr>
          <w:p>
            <w:pPr>
              <w:widowControl w:val="0"/>
              <w:jc w:val="center"/>
            </w:pPr>
            <w:r>
              <w:t>10 kV</w:t>
            </w:r>
          </w:p>
        </w:tc>
      </w:tr>
      <w:tr>
        <w:trPr>
          <w:cantSplit/>
          <w:trHeight w:val="20"/>
        </w:trPr>
        <w:tc>
          <w:tcPr>
            <w:tcW w:w="1001" w:type="dxa"/>
            <w:vAlign w:val="center"/>
          </w:tcPr>
          <w:p>
            <w:pPr>
              <w:widowControl w:val="0"/>
              <w:jc w:val="center"/>
            </w:pPr>
            <w:r>
              <w:t>6</w:t>
            </w:r>
          </w:p>
        </w:tc>
        <w:tc>
          <w:tcPr>
            <w:tcW w:w="965" w:type="dxa"/>
            <w:vAlign w:val="center"/>
          </w:tcPr>
          <w:p>
            <w:pPr>
              <w:widowControl w:val="0"/>
              <w:jc w:val="center"/>
            </w:pPr>
            <w:r>
              <w:t>–</w:t>
            </w:r>
          </w:p>
        </w:tc>
        <w:tc>
          <w:tcPr>
            <w:tcW w:w="894" w:type="dxa"/>
            <w:vAlign w:val="center"/>
          </w:tcPr>
          <w:p>
            <w:pPr>
              <w:widowControl w:val="0"/>
              <w:jc w:val="center"/>
            </w:pPr>
            <w:r>
              <w:t>55</w:t>
            </w:r>
          </w:p>
        </w:tc>
        <w:tc>
          <w:tcPr>
            <w:tcW w:w="908" w:type="dxa"/>
            <w:vAlign w:val="center"/>
          </w:tcPr>
          <w:p>
            <w:pPr>
              <w:widowControl w:val="0"/>
              <w:jc w:val="center"/>
            </w:pPr>
            <w:r>
              <w:t>–</w:t>
            </w:r>
          </w:p>
        </w:tc>
        <w:tc>
          <w:tcPr>
            <w:tcW w:w="894" w:type="dxa"/>
            <w:vAlign w:val="center"/>
          </w:tcPr>
          <w:p>
            <w:pPr>
              <w:widowControl w:val="0"/>
              <w:jc w:val="center"/>
            </w:pPr>
            <w:r>
              <w:t>45</w:t>
            </w:r>
          </w:p>
        </w:tc>
        <w:tc>
          <w:tcPr>
            <w:tcW w:w="951" w:type="dxa"/>
            <w:vAlign w:val="center"/>
          </w:tcPr>
          <w:p>
            <w:pPr>
              <w:widowControl w:val="0"/>
              <w:jc w:val="center"/>
            </w:pPr>
            <w:r>
              <w:t>–</w:t>
            </w:r>
          </w:p>
        </w:tc>
        <w:tc>
          <w:tcPr>
            <w:tcW w:w="908" w:type="dxa"/>
            <w:vAlign w:val="center"/>
          </w:tcPr>
          <w:p>
            <w:pPr>
              <w:widowControl w:val="0"/>
              <w:jc w:val="center"/>
            </w:pPr>
            <w:r>
              <w:t>–</w:t>
            </w:r>
          </w:p>
        </w:tc>
      </w:tr>
      <w:tr>
        <w:trPr>
          <w:cantSplit/>
          <w:trHeight w:val="20"/>
        </w:trPr>
        <w:tc>
          <w:tcPr>
            <w:tcW w:w="1001" w:type="dxa"/>
            <w:vAlign w:val="center"/>
          </w:tcPr>
          <w:p>
            <w:pPr>
              <w:widowControl w:val="0"/>
              <w:jc w:val="center"/>
            </w:pPr>
            <w:r>
              <w:t>10</w:t>
            </w:r>
          </w:p>
        </w:tc>
        <w:tc>
          <w:tcPr>
            <w:tcW w:w="965" w:type="dxa"/>
            <w:vAlign w:val="center"/>
          </w:tcPr>
          <w:p>
            <w:pPr>
              <w:widowControl w:val="0"/>
              <w:jc w:val="center"/>
            </w:pPr>
            <w:r>
              <w:t>95</w:t>
            </w:r>
          </w:p>
        </w:tc>
        <w:tc>
          <w:tcPr>
            <w:tcW w:w="894" w:type="dxa"/>
            <w:vAlign w:val="center"/>
          </w:tcPr>
          <w:p>
            <w:pPr>
              <w:widowControl w:val="0"/>
              <w:jc w:val="center"/>
            </w:pPr>
            <w:r>
              <w:t>75</w:t>
            </w:r>
          </w:p>
        </w:tc>
        <w:tc>
          <w:tcPr>
            <w:tcW w:w="908" w:type="dxa"/>
            <w:vAlign w:val="center"/>
          </w:tcPr>
          <w:p>
            <w:pPr>
              <w:widowControl w:val="0"/>
              <w:jc w:val="center"/>
            </w:pPr>
            <w:r>
              <w:t>60</w:t>
            </w:r>
          </w:p>
        </w:tc>
        <w:tc>
          <w:tcPr>
            <w:tcW w:w="894" w:type="dxa"/>
            <w:vAlign w:val="center"/>
          </w:tcPr>
          <w:p>
            <w:pPr>
              <w:widowControl w:val="0"/>
              <w:jc w:val="center"/>
            </w:pPr>
            <w:r>
              <w:t>60</w:t>
            </w:r>
          </w:p>
        </w:tc>
        <w:tc>
          <w:tcPr>
            <w:tcW w:w="951" w:type="dxa"/>
            <w:vAlign w:val="center"/>
          </w:tcPr>
          <w:p>
            <w:pPr>
              <w:widowControl w:val="0"/>
              <w:jc w:val="center"/>
            </w:pPr>
            <w:r>
              <w:t>55</w:t>
            </w:r>
          </w:p>
        </w:tc>
        <w:tc>
          <w:tcPr>
            <w:tcW w:w="908" w:type="dxa"/>
            <w:vAlign w:val="center"/>
          </w:tcPr>
          <w:p>
            <w:pPr>
              <w:widowControl w:val="0"/>
              <w:jc w:val="center"/>
            </w:pPr>
            <w:r>
              <w:t>–</w:t>
            </w:r>
          </w:p>
        </w:tc>
      </w:tr>
      <w:tr>
        <w:trPr>
          <w:cantSplit/>
          <w:trHeight w:val="20"/>
        </w:trPr>
        <w:tc>
          <w:tcPr>
            <w:tcW w:w="1001" w:type="dxa"/>
            <w:vAlign w:val="center"/>
          </w:tcPr>
          <w:p>
            <w:pPr>
              <w:widowControl w:val="0"/>
              <w:jc w:val="center"/>
            </w:pPr>
            <w:r>
              <w:t>16</w:t>
            </w:r>
          </w:p>
        </w:tc>
        <w:tc>
          <w:tcPr>
            <w:tcW w:w="965" w:type="dxa"/>
            <w:vAlign w:val="center"/>
          </w:tcPr>
          <w:p>
            <w:pPr>
              <w:widowControl w:val="0"/>
              <w:jc w:val="center"/>
            </w:pPr>
            <w:r>
              <w:t>120</w:t>
            </w:r>
          </w:p>
        </w:tc>
        <w:tc>
          <w:tcPr>
            <w:tcW w:w="894" w:type="dxa"/>
            <w:vAlign w:val="center"/>
          </w:tcPr>
          <w:p>
            <w:pPr>
              <w:widowControl w:val="0"/>
              <w:jc w:val="center"/>
            </w:pPr>
            <w:r>
              <w:t>95</w:t>
            </w:r>
          </w:p>
        </w:tc>
        <w:tc>
          <w:tcPr>
            <w:tcW w:w="908" w:type="dxa"/>
            <w:vAlign w:val="center"/>
          </w:tcPr>
          <w:p>
            <w:pPr>
              <w:widowControl w:val="0"/>
              <w:jc w:val="center"/>
            </w:pPr>
            <w:r>
              <w:t>80</w:t>
            </w:r>
          </w:p>
        </w:tc>
        <w:tc>
          <w:tcPr>
            <w:tcW w:w="894" w:type="dxa"/>
            <w:vAlign w:val="center"/>
          </w:tcPr>
          <w:p>
            <w:pPr>
              <w:widowControl w:val="0"/>
              <w:jc w:val="center"/>
            </w:pPr>
            <w:r>
              <w:t>80</w:t>
            </w:r>
          </w:p>
        </w:tc>
        <w:tc>
          <w:tcPr>
            <w:tcW w:w="951" w:type="dxa"/>
            <w:vAlign w:val="center"/>
          </w:tcPr>
          <w:p>
            <w:pPr>
              <w:widowControl w:val="0"/>
              <w:jc w:val="center"/>
            </w:pPr>
            <w:r>
              <w:t>65</w:t>
            </w:r>
          </w:p>
        </w:tc>
        <w:tc>
          <w:tcPr>
            <w:tcW w:w="908" w:type="dxa"/>
            <w:vAlign w:val="center"/>
          </w:tcPr>
          <w:p>
            <w:pPr>
              <w:widowControl w:val="0"/>
              <w:jc w:val="center"/>
            </w:pPr>
            <w:r>
              <w:t>60</w:t>
            </w:r>
          </w:p>
        </w:tc>
      </w:tr>
      <w:tr>
        <w:trPr>
          <w:cantSplit/>
          <w:trHeight w:val="20"/>
        </w:trPr>
        <w:tc>
          <w:tcPr>
            <w:tcW w:w="1001" w:type="dxa"/>
            <w:vAlign w:val="center"/>
          </w:tcPr>
          <w:p>
            <w:pPr>
              <w:widowControl w:val="0"/>
              <w:jc w:val="center"/>
            </w:pPr>
            <w:r>
              <w:t>25</w:t>
            </w:r>
          </w:p>
        </w:tc>
        <w:tc>
          <w:tcPr>
            <w:tcW w:w="965" w:type="dxa"/>
            <w:vAlign w:val="center"/>
          </w:tcPr>
          <w:p>
            <w:pPr>
              <w:widowControl w:val="0"/>
              <w:jc w:val="center"/>
            </w:pPr>
            <w:r>
              <w:t>160</w:t>
            </w:r>
          </w:p>
        </w:tc>
        <w:tc>
          <w:tcPr>
            <w:tcW w:w="894" w:type="dxa"/>
            <w:vAlign w:val="center"/>
          </w:tcPr>
          <w:p>
            <w:pPr>
              <w:widowControl w:val="0"/>
              <w:jc w:val="center"/>
            </w:pPr>
            <w:r>
              <w:t>130</w:t>
            </w:r>
          </w:p>
        </w:tc>
        <w:tc>
          <w:tcPr>
            <w:tcW w:w="908" w:type="dxa"/>
            <w:vAlign w:val="center"/>
          </w:tcPr>
          <w:p>
            <w:pPr>
              <w:widowControl w:val="0"/>
              <w:jc w:val="center"/>
            </w:pPr>
            <w:r>
              <w:t>100</w:t>
            </w:r>
          </w:p>
        </w:tc>
        <w:tc>
          <w:tcPr>
            <w:tcW w:w="894" w:type="dxa"/>
            <w:vAlign w:val="center"/>
          </w:tcPr>
          <w:p>
            <w:pPr>
              <w:widowControl w:val="0"/>
              <w:jc w:val="center"/>
            </w:pPr>
            <w:r>
              <w:t>105</w:t>
            </w:r>
          </w:p>
        </w:tc>
        <w:tc>
          <w:tcPr>
            <w:tcW w:w="951" w:type="dxa"/>
            <w:vAlign w:val="center"/>
          </w:tcPr>
          <w:p>
            <w:pPr>
              <w:widowControl w:val="0"/>
              <w:jc w:val="center"/>
            </w:pPr>
            <w:r>
              <w:t>90</w:t>
            </w:r>
          </w:p>
        </w:tc>
        <w:tc>
          <w:tcPr>
            <w:tcW w:w="908" w:type="dxa"/>
            <w:vAlign w:val="center"/>
          </w:tcPr>
          <w:p>
            <w:pPr>
              <w:widowControl w:val="0"/>
              <w:jc w:val="center"/>
            </w:pPr>
            <w:r>
              <w:t>85</w:t>
            </w:r>
          </w:p>
        </w:tc>
      </w:tr>
      <w:tr>
        <w:trPr>
          <w:cantSplit/>
          <w:trHeight w:val="20"/>
        </w:trPr>
        <w:tc>
          <w:tcPr>
            <w:tcW w:w="1001" w:type="dxa"/>
            <w:vAlign w:val="center"/>
          </w:tcPr>
          <w:p>
            <w:pPr>
              <w:widowControl w:val="0"/>
              <w:jc w:val="center"/>
            </w:pPr>
            <w:r>
              <w:t>35</w:t>
            </w:r>
          </w:p>
        </w:tc>
        <w:tc>
          <w:tcPr>
            <w:tcW w:w="965" w:type="dxa"/>
            <w:vAlign w:val="center"/>
          </w:tcPr>
          <w:p>
            <w:pPr>
              <w:widowControl w:val="0"/>
              <w:jc w:val="center"/>
            </w:pPr>
            <w:r>
              <w:t>200</w:t>
            </w:r>
          </w:p>
        </w:tc>
        <w:tc>
          <w:tcPr>
            <w:tcW w:w="894" w:type="dxa"/>
            <w:vAlign w:val="center"/>
          </w:tcPr>
          <w:p>
            <w:pPr>
              <w:widowControl w:val="0"/>
              <w:jc w:val="center"/>
            </w:pPr>
            <w:r>
              <w:t>150</w:t>
            </w:r>
          </w:p>
        </w:tc>
        <w:tc>
          <w:tcPr>
            <w:tcW w:w="908" w:type="dxa"/>
            <w:vAlign w:val="center"/>
          </w:tcPr>
          <w:p>
            <w:pPr>
              <w:widowControl w:val="0"/>
              <w:jc w:val="center"/>
            </w:pPr>
            <w:r>
              <w:t>120</w:t>
            </w:r>
          </w:p>
        </w:tc>
        <w:tc>
          <w:tcPr>
            <w:tcW w:w="894" w:type="dxa"/>
            <w:vAlign w:val="center"/>
          </w:tcPr>
          <w:p>
            <w:pPr>
              <w:widowControl w:val="0"/>
              <w:jc w:val="center"/>
            </w:pPr>
            <w:r>
              <w:t>125</w:t>
            </w:r>
          </w:p>
        </w:tc>
        <w:tc>
          <w:tcPr>
            <w:tcW w:w="951" w:type="dxa"/>
            <w:vAlign w:val="center"/>
          </w:tcPr>
          <w:p>
            <w:pPr>
              <w:widowControl w:val="0"/>
              <w:jc w:val="center"/>
            </w:pPr>
            <w:r>
              <w:t>110</w:t>
            </w:r>
          </w:p>
        </w:tc>
        <w:tc>
          <w:tcPr>
            <w:tcW w:w="908" w:type="dxa"/>
            <w:vAlign w:val="center"/>
          </w:tcPr>
          <w:p>
            <w:pPr>
              <w:widowControl w:val="0"/>
              <w:jc w:val="center"/>
            </w:pPr>
            <w:r>
              <w:t>105</w:t>
            </w:r>
          </w:p>
        </w:tc>
      </w:tr>
      <w:tr>
        <w:trPr>
          <w:cantSplit/>
          <w:trHeight w:val="20"/>
        </w:trPr>
        <w:tc>
          <w:tcPr>
            <w:tcW w:w="1001" w:type="dxa"/>
            <w:vAlign w:val="center"/>
          </w:tcPr>
          <w:p>
            <w:pPr>
              <w:widowControl w:val="0"/>
              <w:jc w:val="center"/>
            </w:pPr>
            <w:r>
              <w:t>50</w:t>
            </w:r>
          </w:p>
        </w:tc>
        <w:tc>
          <w:tcPr>
            <w:tcW w:w="965" w:type="dxa"/>
            <w:vAlign w:val="center"/>
          </w:tcPr>
          <w:p>
            <w:pPr>
              <w:widowControl w:val="0"/>
              <w:jc w:val="center"/>
            </w:pPr>
            <w:r>
              <w:t>245</w:t>
            </w:r>
          </w:p>
        </w:tc>
        <w:tc>
          <w:tcPr>
            <w:tcW w:w="894" w:type="dxa"/>
            <w:vAlign w:val="center"/>
          </w:tcPr>
          <w:p>
            <w:pPr>
              <w:widowControl w:val="0"/>
              <w:jc w:val="center"/>
            </w:pPr>
            <w:r>
              <w:t>185</w:t>
            </w:r>
          </w:p>
        </w:tc>
        <w:tc>
          <w:tcPr>
            <w:tcW w:w="908" w:type="dxa"/>
            <w:vAlign w:val="center"/>
          </w:tcPr>
          <w:p>
            <w:pPr>
              <w:widowControl w:val="0"/>
              <w:jc w:val="center"/>
            </w:pPr>
            <w:r>
              <w:t>145</w:t>
            </w:r>
          </w:p>
        </w:tc>
        <w:tc>
          <w:tcPr>
            <w:tcW w:w="894" w:type="dxa"/>
            <w:vAlign w:val="center"/>
          </w:tcPr>
          <w:p>
            <w:pPr>
              <w:widowControl w:val="0"/>
              <w:jc w:val="center"/>
            </w:pPr>
            <w:r>
              <w:t>155</w:t>
            </w:r>
          </w:p>
        </w:tc>
        <w:tc>
          <w:tcPr>
            <w:tcW w:w="951" w:type="dxa"/>
            <w:vAlign w:val="center"/>
          </w:tcPr>
          <w:p>
            <w:pPr>
              <w:widowControl w:val="0"/>
              <w:jc w:val="center"/>
            </w:pPr>
            <w:r>
              <w:t>145</w:t>
            </w:r>
          </w:p>
        </w:tc>
        <w:tc>
          <w:tcPr>
            <w:tcW w:w="908" w:type="dxa"/>
            <w:vAlign w:val="center"/>
          </w:tcPr>
          <w:p>
            <w:pPr>
              <w:widowControl w:val="0"/>
              <w:jc w:val="center"/>
            </w:pPr>
            <w:r>
              <w:t>135</w:t>
            </w:r>
          </w:p>
        </w:tc>
      </w:tr>
      <w:tr>
        <w:trPr>
          <w:cantSplit/>
          <w:trHeight w:val="20"/>
        </w:trPr>
        <w:tc>
          <w:tcPr>
            <w:tcW w:w="1001" w:type="dxa"/>
            <w:vAlign w:val="center"/>
          </w:tcPr>
          <w:p>
            <w:pPr>
              <w:widowControl w:val="0"/>
              <w:jc w:val="center"/>
            </w:pPr>
            <w:r>
              <w:t>70</w:t>
            </w:r>
          </w:p>
        </w:tc>
        <w:tc>
          <w:tcPr>
            <w:tcW w:w="965" w:type="dxa"/>
            <w:vAlign w:val="center"/>
          </w:tcPr>
          <w:p>
            <w:pPr>
              <w:widowControl w:val="0"/>
              <w:jc w:val="center"/>
            </w:pPr>
            <w:r>
              <w:t>305</w:t>
            </w:r>
          </w:p>
        </w:tc>
        <w:tc>
          <w:tcPr>
            <w:tcW w:w="894" w:type="dxa"/>
            <w:vAlign w:val="center"/>
          </w:tcPr>
          <w:p>
            <w:pPr>
              <w:widowControl w:val="0"/>
              <w:jc w:val="center"/>
            </w:pPr>
            <w:r>
              <w:t>225</w:t>
            </w:r>
          </w:p>
        </w:tc>
        <w:tc>
          <w:tcPr>
            <w:tcW w:w="908" w:type="dxa"/>
            <w:vAlign w:val="center"/>
          </w:tcPr>
          <w:p>
            <w:pPr>
              <w:widowControl w:val="0"/>
              <w:jc w:val="center"/>
            </w:pPr>
            <w:r>
              <w:t>185</w:t>
            </w:r>
          </w:p>
        </w:tc>
        <w:tc>
          <w:tcPr>
            <w:tcW w:w="894" w:type="dxa"/>
            <w:vAlign w:val="center"/>
          </w:tcPr>
          <w:p>
            <w:pPr>
              <w:widowControl w:val="0"/>
              <w:jc w:val="center"/>
            </w:pPr>
            <w:r>
              <w:t>200</w:t>
            </w:r>
          </w:p>
        </w:tc>
        <w:tc>
          <w:tcPr>
            <w:tcW w:w="951" w:type="dxa"/>
            <w:vAlign w:val="center"/>
          </w:tcPr>
          <w:p>
            <w:pPr>
              <w:widowControl w:val="0"/>
              <w:jc w:val="center"/>
            </w:pPr>
            <w:r>
              <w:t>175</w:t>
            </w:r>
          </w:p>
        </w:tc>
        <w:tc>
          <w:tcPr>
            <w:tcW w:w="908" w:type="dxa"/>
            <w:vAlign w:val="center"/>
          </w:tcPr>
          <w:p>
            <w:pPr>
              <w:widowControl w:val="0"/>
              <w:jc w:val="center"/>
            </w:pPr>
            <w:r>
              <w:t>165</w:t>
            </w:r>
          </w:p>
        </w:tc>
      </w:tr>
      <w:tr>
        <w:trPr>
          <w:cantSplit/>
          <w:trHeight w:val="20"/>
        </w:trPr>
        <w:tc>
          <w:tcPr>
            <w:tcW w:w="1001" w:type="dxa"/>
            <w:vAlign w:val="center"/>
          </w:tcPr>
          <w:p>
            <w:pPr>
              <w:widowControl w:val="0"/>
              <w:jc w:val="center"/>
            </w:pPr>
            <w:r>
              <w:t>95</w:t>
            </w:r>
          </w:p>
        </w:tc>
        <w:tc>
          <w:tcPr>
            <w:tcW w:w="965" w:type="dxa"/>
            <w:vAlign w:val="center"/>
          </w:tcPr>
          <w:p>
            <w:pPr>
              <w:widowControl w:val="0"/>
              <w:jc w:val="center"/>
            </w:pPr>
            <w:r>
              <w:t>360</w:t>
            </w:r>
          </w:p>
        </w:tc>
        <w:tc>
          <w:tcPr>
            <w:tcW w:w="894" w:type="dxa"/>
            <w:vAlign w:val="center"/>
          </w:tcPr>
          <w:p>
            <w:pPr>
              <w:widowControl w:val="0"/>
              <w:jc w:val="center"/>
            </w:pPr>
            <w:r>
              <w:t>275</w:t>
            </w:r>
          </w:p>
        </w:tc>
        <w:tc>
          <w:tcPr>
            <w:tcW w:w="908" w:type="dxa"/>
            <w:vAlign w:val="center"/>
          </w:tcPr>
          <w:p>
            <w:pPr>
              <w:widowControl w:val="0"/>
              <w:jc w:val="center"/>
            </w:pPr>
            <w:r>
              <w:t>215</w:t>
            </w:r>
          </w:p>
        </w:tc>
        <w:tc>
          <w:tcPr>
            <w:tcW w:w="894" w:type="dxa"/>
            <w:vAlign w:val="center"/>
          </w:tcPr>
          <w:p>
            <w:pPr>
              <w:widowControl w:val="0"/>
              <w:jc w:val="center"/>
            </w:pPr>
            <w:r>
              <w:t>245</w:t>
            </w:r>
          </w:p>
        </w:tc>
        <w:tc>
          <w:tcPr>
            <w:tcW w:w="951" w:type="dxa"/>
            <w:vAlign w:val="center"/>
          </w:tcPr>
          <w:p>
            <w:pPr>
              <w:widowControl w:val="0"/>
              <w:jc w:val="center"/>
            </w:pPr>
            <w:r>
              <w:t>215</w:t>
            </w:r>
          </w:p>
        </w:tc>
        <w:tc>
          <w:tcPr>
            <w:tcW w:w="908" w:type="dxa"/>
            <w:vAlign w:val="center"/>
          </w:tcPr>
          <w:p>
            <w:pPr>
              <w:widowControl w:val="0"/>
              <w:jc w:val="center"/>
            </w:pPr>
            <w:r>
              <w:t>200</w:t>
            </w:r>
          </w:p>
        </w:tc>
      </w:tr>
      <w:tr>
        <w:trPr>
          <w:cantSplit/>
          <w:trHeight w:val="20"/>
        </w:trPr>
        <w:tc>
          <w:tcPr>
            <w:tcW w:w="1001" w:type="dxa"/>
            <w:vAlign w:val="center"/>
          </w:tcPr>
          <w:p>
            <w:pPr>
              <w:widowControl w:val="0"/>
              <w:jc w:val="center"/>
            </w:pPr>
            <w:r>
              <w:t>120</w:t>
            </w:r>
          </w:p>
        </w:tc>
        <w:tc>
          <w:tcPr>
            <w:tcW w:w="965" w:type="dxa"/>
            <w:vAlign w:val="center"/>
          </w:tcPr>
          <w:p>
            <w:pPr>
              <w:widowControl w:val="0"/>
              <w:jc w:val="center"/>
            </w:pPr>
            <w:r>
              <w:t>415</w:t>
            </w:r>
          </w:p>
        </w:tc>
        <w:tc>
          <w:tcPr>
            <w:tcW w:w="894" w:type="dxa"/>
            <w:vAlign w:val="center"/>
          </w:tcPr>
          <w:p>
            <w:pPr>
              <w:widowControl w:val="0"/>
              <w:jc w:val="center"/>
            </w:pPr>
            <w:r>
              <w:t>320</w:t>
            </w:r>
          </w:p>
        </w:tc>
        <w:tc>
          <w:tcPr>
            <w:tcW w:w="908" w:type="dxa"/>
            <w:vAlign w:val="center"/>
          </w:tcPr>
          <w:p>
            <w:pPr>
              <w:widowControl w:val="0"/>
              <w:jc w:val="center"/>
            </w:pPr>
            <w:r>
              <w:t>260</w:t>
            </w:r>
          </w:p>
        </w:tc>
        <w:tc>
          <w:tcPr>
            <w:tcW w:w="894" w:type="dxa"/>
            <w:vAlign w:val="center"/>
          </w:tcPr>
          <w:p>
            <w:pPr>
              <w:widowControl w:val="0"/>
              <w:jc w:val="center"/>
            </w:pPr>
            <w:r>
              <w:t>285</w:t>
            </w:r>
          </w:p>
        </w:tc>
        <w:tc>
          <w:tcPr>
            <w:tcW w:w="951" w:type="dxa"/>
            <w:vAlign w:val="center"/>
          </w:tcPr>
          <w:p>
            <w:pPr>
              <w:widowControl w:val="0"/>
              <w:jc w:val="center"/>
            </w:pPr>
            <w:r>
              <w:t>250</w:t>
            </w:r>
          </w:p>
        </w:tc>
        <w:tc>
          <w:tcPr>
            <w:tcW w:w="908" w:type="dxa"/>
            <w:vAlign w:val="center"/>
          </w:tcPr>
          <w:p>
            <w:pPr>
              <w:widowControl w:val="0"/>
              <w:jc w:val="center"/>
            </w:pPr>
            <w:r>
              <w:t>240</w:t>
            </w:r>
          </w:p>
        </w:tc>
      </w:tr>
      <w:tr>
        <w:trPr>
          <w:cantSplit/>
          <w:trHeight w:val="20"/>
        </w:trPr>
        <w:tc>
          <w:tcPr>
            <w:tcW w:w="1001" w:type="dxa"/>
            <w:vAlign w:val="center"/>
          </w:tcPr>
          <w:p>
            <w:pPr>
              <w:widowControl w:val="0"/>
              <w:jc w:val="center"/>
            </w:pPr>
            <w:r>
              <w:t>150</w:t>
            </w:r>
          </w:p>
        </w:tc>
        <w:tc>
          <w:tcPr>
            <w:tcW w:w="965" w:type="dxa"/>
            <w:vAlign w:val="center"/>
          </w:tcPr>
          <w:p>
            <w:pPr>
              <w:widowControl w:val="0"/>
              <w:jc w:val="center"/>
            </w:pPr>
            <w:r>
              <w:t>470</w:t>
            </w:r>
          </w:p>
        </w:tc>
        <w:tc>
          <w:tcPr>
            <w:tcW w:w="894" w:type="dxa"/>
            <w:vAlign w:val="center"/>
          </w:tcPr>
          <w:p>
            <w:pPr>
              <w:widowControl w:val="0"/>
              <w:jc w:val="center"/>
            </w:pPr>
            <w:r>
              <w:t>375</w:t>
            </w:r>
          </w:p>
        </w:tc>
        <w:tc>
          <w:tcPr>
            <w:tcW w:w="908" w:type="dxa"/>
            <w:vAlign w:val="center"/>
          </w:tcPr>
          <w:p>
            <w:pPr>
              <w:widowControl w:val="0"/>
              <w:jc w:val="center"/>
            </w:pPr>
            <w:r>
              <w:t>300</w:t>
            </w:r>
          </w:p>
        </w:tc>
        <w:tc>
          <w:tcPr>
            <w:tcW w:w="894" w:type="dxa"/>
            <w:vAlign w:val="center"/>
          </w:tcPr>
          <w:p>
            <w:pPr>
              <w:widowControl w:val="0"/>
              <w:jc w:val="center"/>
            </w:pPr>
            <w:r>
              <w:t>330</w:t>
            </w:r>
          </w:p>
        </w:tc>
        <w:tc>
          <w:tcPr>
            <w:tcW w:w="951" w:type="dxa"/>
            <w:vAlign w:val="center"/>
          </w:tcPr>
          <w:p>
            <w:pPr>
              <w:widowControl w:val="0"/>
              <w:jc w:val="center"/>
            </w:pPr>
            <w:r>
              <w:t>290</w:t>
            </w:r>
          </w:p>
        </w:tc>
        <w:tc>
          <w:tcPr>
            <w:tcW w:w="908" w:type="dxa"/>
            <w:vAlign w:val="center"/>
          </w:tcPr>
          <w:p>
            <w:pPr>
              <w:widowControl w:val="0"/>
              <w:jc w:val="center"/>
            </w:pPr>
            <w:r>
              <w:t>270</w:t>
            </w:r>
          </w:p>
        </w:tc>
      </w:tr>
      <w:tr>
        <w:trPr>
          <w:cantSplit/>
          <w:trHeight w:val="20"/>
        </w:trPr>
        <w:tc>
          <w:tcPr>
            <w:tcW w:w="1001" w:type="dxa"/>
            <w:vAlign w:val="center"/>
          </w:tcPr>
          <w:p>
            <w:pPr>
              <w:widowControl w:val="0"/>
              <w:jc w:val="center"/>
            </w:pPr>
            <w:r>
              <w:t>185</w:t>
            </w:r>
          </w:p>
        </w:tc>
        <w:tc>
          <w:tcPr>
            <w:tcW w:w="965" w:type="dxa"/>
            <w:vAlign w:val="center"/>
          </w:tcPr>
          <w:p>
            <w:pPr>
              <w:widowControl w:val="0"/>
              <w:jc w:val="center"/>
            </w:pPr>
            <w:r>
              <w:t>525</w:t>
            </w:r>
          </w:p>
        </w:tc>
        <w:tc>
          <w:tcPr>
            <w:tcW w:w="894" w:type="dxa"/>
            <w:vAlign w:val="center"/>
          </w:tcPr>
          <w:p>
            <w:pPr>
              <w:widowControl w:val="0"/>
              <w:jc w:val="center"/>
            </w:pPr>
            <w:r>
              <w:t>–</w:t>
            </w:r>
          </w:p>
        </w:tc>
        <w:tc>
          <w:tcPr>
            <w:tcW w:w="908" w:type="dxa"/>
            <w:vAlign w:val="center"/>
          </w:tcPr>
          <w:p>
            <w:pPr>
              <w:widowControl w:val="0"/>
              <w:jc w:val="center"/>
            </w:pPr>
            <w:r>
              <w:t>340</w:t>
            </w:r>
          </w:p>
        </w:tc>
        <w:tc>
          <w:tcPr>
            <w:tcW w:w="894" w:type="dxa"/>
            <w:vAlign w:val="center"/>
          </w:tcPr>
          <w:p>
            <w:pPr>
              <w:widowControl w:val="0"/>
              <w:jc w:val="center"/>
            </w:pPr>
            <w:r>
              <w:t>375</w:t>
            </w:r>
          </w:p>
        </w:tc>
        <w:tc>
          <w:tcPr>
            <w:tcW w:w="951" w:type="dxa"/>
            <w:vAlign w:val="center"/>
          </w:tcPr>
          <w:p>
            <w:pPr>
              <w:widowControl w:val="0"/>
              <w:jc w:val="center"/>
            </w:pPr>
            <w:r>
              <w:t>325</w:t>
            </w:r>
          </w:p>
        </w:tc>
        <w:tc>
          <w:tcPr>
            <w:tcW w:w="908" w:type="dxa"/>
            <w:vAlign w:val="center"/>
          </w:tcPr>
          <w:p>
            <w:pPr>
              <w:widowControl w:val="0"/>
              <w:jc w:val="center"/>
            </w:pPr>
            <w:r>
              <w:t>305</w:t>
            </w:r>
          </w:p>
        </w:tc>
      </w:tr>
      <w:tr>
        <w:trPr>
          <w:cantSplit/>
          <w:trHeight w:val="20"/>
        </w:trPr>
        <w:tc>
          <w:tcPr>
            <w:tcW w:w="1001" w:type="dxa"/>
            <w:vAlign w:val="center"/>
          </w:tcPr>
          <w:p>
            <w:pPr>
              <w:widowControl w:val="0"/>
              <w:jc w:val="center"/>
            </w:pPr>
            <w:r>
              <w:t>240</w:t>
            </w:r>
          </w:p>
        </w:tc>
        <w:tc>
          <w:tcPr>
            <w:tcW w:w="965" w:type="dxa"/>
            <w:vAlign w:val="center"/>
          </w:tcPr>
          <w:p>
            <w:pPr>
              <w:widowControl w:val="0"/>
              <w:jc w:val="center"/>
            </w:pPr>
            <w:r>
              <w:t>610</w:t>
            </w:r>
          </w:p>
        </w:tc>
        <w:tc>
          <w:tcPr>
            <w:tcW w:w="894" w:type="dxa"/>
            <w:vAlign w:val="center"/>
          </w:tcPr>
          <w:p>
            <w:pPr>
              <w:widowControl w:val="0"/>
              <w:jc w:val="center"/>
            </w:pPr>
            <w:r>
              <w:t>–</w:t>
            </w:r>
          </w:p>
        </w:tc>
        <w:tc>
          <w:tcPr>
            <w:tcW w:w="908" w:type="dxa"/>
            <w:vAlign w:val="center"/>
          </w:tcPr>
          <w:p>
            <w:pPr>
              <w:widowControl w:val="0"/>
              <w:jc w:val="center"/>
            </w:pPr>
            <w:r>
              <w:t>–</w:t>
            </w:r>
          </w:p>
        </w:tc>
        <w:tc>
          <w:tcPr>
            <w:tcW w:w="894" w:type="dxa"/>
            <w:vAlign w:val="center"/>
          </w:tcPr>
          <w:p>
            <w:pPr>
              <w:widowControl w:val="0"/>
              <w:jc w:val="center"/>
            </w:pPr>
            <w:r>
              <w:t>430</w:t>
            </w:r>
          </w:p>
        </w:tc>
        <w:tc>
          <w:tcPr>
            <w:tcW w:w="951" w:type="dxa"/>
            <w:vAlign w:val="center"/>
          </w:tcPr>
          <w:p>
            <w:pPr>
              <w:widowControl w:val="0"/>
              <w:jc w:val="center"/>
            </w:pPr>
            <w:r>
              <w:t>375</w:t>
            </w:r>
          </w:p>
        </w:tc>
        <w:tc>
          <w:tcPr>
            <w:tcW w:w="908" w:type="dxa"/>
            <w:vAlign w:val="center"/>
          </w:tcPr>
          <w:p>
            <w:pPr>
              <w:widowControl w:val="0"/>
              <w:jc w:val="center"/>
            </w:pPr>
            <w:r>
              <w:t>350</w:t>
            </w:r>
          </w:p>
        </w:tc>
      </w:tr>
    </w:tbl>
    <w:p>
      <w:pPr>
        <w:widowControl w:val="0"/>
        <w:ind w:firstLine="567"/>
        <w:jc w:val="both"/>
      </w:pPr>
    </w:p>
    <w:p>
      <w:pPr>
        <w:widowControl w:val="0"/>
        <w:ind w:firstLine="567"/>
        <w:jc w:val="both"/>
        <w:rPr>
          <w:b/>
          <w:bCs/>
        </w:rPr>
      </w:pPr>
      <w:r>
        <w:rPr>
          <w:b/>
          <w:bCs/>
        </w:rPr>
        <w:t>16 lentelė. Žemėje klojamų iki 10 kV įtampos aliumininių kabelių švininiu apvalkalu, netakia mase arba alyvos kanifolijos mišiniu įmirkyta popierine izoliacija leistinoji ilgalaikė srovė</w:t>
      </w:r>
    </w:p>
    <w:p>
      <w:pPr>
        <w:widowControl w:val="0"/>
        <w:ind w:firstLine="567"/>
        <w:jc w:val="both"/>
      </w:pPr>
    </w:p>
    <w:p>
      <w:pPr>
        <w:widowControl w:val="0"/>
        <w:ind w:firstLine="567"/>
        <w:jc w:val="both"/>
      </w:pPr>
      <w:r>
        <w:t xml:space="preserve">Temperatūra: kabelių – pagal Taisyklių 68 punktą, žemės +15 </w:t>
      </w:r>
      <w:r>
        <w:rPr>
          <w:vertAlign w:val="superscript"/>
        </w:rPr>
        <w:t>o</w:t>
      </w:r>
      <w:r>
        <w:t>C.</w:t>
      </w:r>
    </w:p>
    <w:p>
      <w:pPr>
        <w:widowControl w:val="0"/>
        <w:ind w:firstLine="567"/>
        <w:jc w:val="both"/>
      </w:pPr>
      <w:r>
        <w:t>Žemės savitoji šiluminė varža 1,2 Km/W.</w:t>
      </w:r>
    </w:p>
    <w:p>
      <w:pPr>
        <w:widowControl w:val="0"/>
        <w:ind w:firstLine="567"/>
        <w:jc w:val="both"/>
        <w:rPr>
          <w:i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6"/>
        <w:gridCol w:w="1308"/>
        <w:gridCol w:w="1308"/>
        <w:gridCol w:w="1308"/>
        <w:gridCol w:w="1308"/>
        <w:gridCol w:w="1308"/>
        <w:gridCol w:w="1104"/>
      </w:tblGrid>
      <w:tr>
        <w:trPr>
          <w:cantSplit/>
          <w:trHeight w:val="20"/>
        </w:trPr>
        <w:tc>
          <w:tcPr>
            <w:tcW w:w="1306" w:type="dxa"/>
            <w:vMerge w:val="restart"/>
            <w:vAlign w:val="center"/>
          </w:tcPr>
          <w:p>
            <w:pPr>
              <w:widowControl w:val="0"/>
              <w:jc w:val="center"/>
            </w:pPr>
            <w:r>
              <w:t>Kabelio skerspjūvis,</w:t>
            </w:r>
          </w:p>
          <w:p>
            <w:pPr>
              <w:widowControl w:val="0"/>
              <w:jc w:val="center"/>
            </w:pPr>
            <w:r>
              <w:t>mm</w:t>
            </w:r>
            <w:r>
              <w:rPr>
                <w:vertAlign w:val="superscript"/>
              </w:rPr>
              <w:t>2</w:t>
            </w:r>
          </w:p>
        </w:tc>
        <w:tc>
          <w:tcPr>
            <w:tcW w:w="7001" w:type="dxa"/>
            <w:gridSpan w:val="6"/>
            <w:vAlign w:val="center"/>
          </w:tcPr>
          <w:p>
            <w:pPr>
              <w:widowControl w:val="0"/>
              <w:jc w:val="center"/>
            </w:pPr>
            <w:r>
              <w:t>Kabelių leistinoji ilgalaikė srovė, A</w:t>
            </w:r>
          </w:p>
        </w:tc>
      </w:tr>
      <w:tr>
        <w:trPr>
          <w:cantSplit/>
          <w:trHeight w:val="20"/>
        </w:trPr>
        <w:tc>
          <w:tcPr>
            <w:tcW w:w="1306" w:type="dxa"/>
            <w:vMerge/>
            <w:vAlign w:val="center"/>
          </w:tcPr>
          <w:p>
            <w:pPr>
              <w:widowControl w:val="0"/>
              <w:jc w:val="center"/>
            </w:pPr>
          </w:p>
        </w:tc>
        <w:tc>
          <w:tcPr>
            <w:tcW w:w="1198" w:type="dxa"/>
            <w:vMerge w:val="restart"/>
            <w:vAlign w:val="center"/>
          </w:tcPr>
          <w:p>
            <w:pPr>
              <w:widowControl w:val="0"/>
              <w:jc w:val="center"/>
            </w:pPr>
            <w:r>
              <w:t>viengyslių</w:t>
            </w:r>
          </w:p>
          <w:p>
            <w:pPr>
              <w:widowControl w:val="0"/>
              <w:jc w:val="center"/>
            </w:pPr>
            <w:r>
              <w:t>iki 1 kV</w:t>
            </w:r>
          </w:p>
        </w:tc>
        <w:tc>
          <w:tcPr>
            <w:tcW w:w="1198" w:type="dxa"/>
            <w:vMerge w:val="restart"/>
            <w:vAlign w:val="center"/>
          </w:tcPr>
          <w:p>
            <w:pPr>
              <w:widowControl w:val="0"/>
              <w:jc w:val="center"/>
            </w:pPr>
            <w:r>
              <w:t>dvigyslių</w:t>
            </w:r>
          </w:p>
          <w:p>
            <w:pPr>
              <w:widowControl w:val="0"/>
              <w:jc w:val="center"/>
            </w:pPr>
            <w:r>
              <w:t>iki 1 kV</w:t>
            </w:r>
          </w:p>
        </w:tc>
        <w:tc>
          <w:tcPr>
            <w:tcW w:w="1198" w:type="dxa"/>
            <w:vMerge w:val="restart"/>
            <w:vAlign w:val="center"/>
          </w:tcPr>
          <w:p>
            <w:pPr>
              <w:widowControl w:val="0"/>
              <w:jc w:val="center"/>
            </w:pPr>
            <w:r>
              <w:t>keturgyslių</w:t>
            </w:r>
          </w:p>
          <w:p>
            <w:pPr>
              <w:widowControl w:val="0"/>
              <w:jc w:val="center"/>
            </w:pPr>
            <w:r>
              <w:t>iki 1 kV</w:t>
            </w:r>
          </w:p>
        </w:tc>
        <w:tc>
          <w:tcPr>
            <w:tcW w:w="3407" w:type="dxa"/>
            <w:gridSpan w:val="3"/>
            <w:vAlign w:val="center"/>
          </w:tcPr>
          <w:p>
            <w:pPr>
              <w:widowControl w:val="0"/>
              <w:jc w:val="center"/>
            </w:pPr>
            <w:r>
              <w:t>trigyslių</w:t>
            </w:r>
          </w:p>
        </w:tc>
      </w:tr>
      <w:tr>
        <w:trPr>
          <w:cantSplit/>
          <w:trHeight w:val="20"/>
        </w:trPr>
        <w:tc>
          <w:tcPr>
            <w:tcW w:w="1306" w:type="dxa"/>
            <w:vMerge/>
            <w:vAlign w:val="center"/>
          </w:tcPr>
          <w:p>
            <w:pPr>
              <w:widowControl w:val="0"/>
              <w:jc w:val="center"/>
            </w:pPr>
          </w:p>
        </w:tc>
        <w:tc>
          <w:tcPr>
            <w:tcW w:w="1198" w:type="dxa"/>
            <w:vMerge/>
            <w:vAlign w:val="center"/>
          </w:tcPr>
          <w:p>
            <w:pPr>
              <w:widowControl w:val="0"/>
              <w:jc w:val="center"/>
            </w:pPr>
          </w:p>
        </w:tc>
        <w:tc>
          <w:tcPr>
            <w:tcW w:w="1198" w:type="dxa"/>
            <w:vMerge/>
            <w:vAlign w:val="center"/>
          </w:tcPr>
          <w:p>
            <w:pPr>
              <w:widowControl w:val="0"/>
              <w:jc w:val="center"/>
            </w:pPr>
          </w:p>
        </w:tc>
        <w:tc>
          <w:tcPr>
            <w:tcW w:w="1198" w:type="dxa"/>
            <w:vMerge/>
            <w:vAlign w:val="center"/>
          </w:tcPr>
          <w:p>
            <w:pPr>
              <w:widowControl w:val="0"/>
              <w:jc w:val="center"/>
            </w:pPr>
          </w:p>
        </w:tc>
        <w:tc>
          <w:tcPr>
            <w:tcW w:w="1198" w:type="dxa"/>
            <w:vAlign w:val="center"/>
          </w:tcPr>
          <w:p>
            <w:pPr>
              <w:widowControl w:val="0"/>
              <w:jc w:val="center"/>
            </w:pPr>
            <w:r>
              <w:t>3 kV</w:t>
            </w:r>
          </w:p>
        </w:tc>
        <w:tc>
          <w:tcPr>
            <w:tcW w:w="1198" w:type="dxa"/>
            <w:vAlign w:val="center"/>
          </w:tcPr>
          <w:p>
            <w:pPr>
              <w:widowControl w:val="0"/>
              <w:jc w:val="center"/>
            </w:pPr>
            <w:r>
              <w:t>6 kV</w:t>
            </w:r>
          </w:p>
        </w:tc>
        <w:tc>
          <w:tcPr>
            <w:tcW w:w="1011" w:type="dxa"/>
            <w:vAlign w:val="center"/>
          </w:tcPr>
          <w:p>
            <w:pPr>
              <w:widowControl w:val="0"/>
              <w:jc w:val="center"/>
            </w:pPr>
            <w:r>
              <w:t>10 kV</w:t>
            </w:r>
          </w:p>
        </w:tc>
      </w:tr>
      <w:tr>
        <w:trPr>
          <w:cantSplit/>
          <w:trHeight w:val="20"/>
        </w:trPr>
        <w:tc>
          <w:tcPr>
            <w:tcW w:w="1306" w:type="dxa"/>
            <w:vAlign w:val="center"/>
          </w:tcPr>
          <w:p>
            <w:pPr>
              <w:widowControl w:val="0"/>
              <w:jc w:val="center"/>
            </w:pPr>
            <w:r>
              <w:t>6</w:t>
            </w:r>
          </w:p>
        </w:tc>
        <w:tc>
          <w:tcPr>
            <w:tcW w:w="1198" w:type="dxa"/>
            <w:vAlign w:val="center"/>
          </w:tcPr>
          <w:p>
            <w:pPr>
              <w:widowControl w:val="0"/>
              <w:jc w:val="center"/>
            </w:pPr>
            <w:r>
              <w:t>–</w:t>
            </w:r>
          </w:p>
        </w:tc>
        <w:tc>
          <w:tcPr>
            <w:tcW w:w="1198" w:type="dxa"/>
            <w:vAlign w:val="center"/>
          </w:tcPr>
          <w:p>
            <w:pPr>
              <w:widowControl w:val="0"/>
              <w:jc w:val="center"/>
            </w:pPr>
            <w:r>
              <w:t>60</w:t>
            </w:r>
          </w:p>
        </w:tc>
        <w:tc>
          <w:tcPr>
            <w:tcW w:w="1198" w:type="dxa"/>
            <w:vAlign w:val="center"/>
          </w:tcPr>
          <w:p>
            <w:pPr>
              <w:widowControl w:val="0"/>
              <w:jc w:val="center"/>
            </w:pPr>
            <w:r>
              <w:t>–</w:t>
            </w:r>
          </w:p>
        </w:tc>
        <w:tc>
          <w:tcPr>
            <w:tcW w:w="1198" w:type="dxa"/>
            <w:vAlign w:val="center"/>
          </w:tcPr>
          <w:p>
            <w:pPr>
              <w:widowControl w:val="0"/>
              <w:jc w:val="center"/>
            </w:pPr>
            <w:r>
              <w:t>55</w:t>
            </w:r>
          </w:p>
        </w:tc>
        <w:tc>
          <w:tcPr>
            <w:tcW w:w="1198" w:type="dxa"/>
            <w:vAlign w:val="center"/>
          </w:tcPr>
          <w:p>
            <w:pPr>
              <w:widowControl w:val="0"/>
              <w:jc w:val="center"/>
            </w:pPr>
            <w:r>
              <w:t>–</w:t>
            </w:r>
          </w:p>
        </w:tc>
        <w:tc>
          <w:tcPr>
            <w:tcW w:w="1011" w:type="dxa"/>
            <w:vAlign w:val="center"/>
          </w:tcPr>
          <w:p>
            <w:pPr>
              <w:widowControl w:val="0"/>
              <w:jc w:val="center"/>
            </w:pPr>
            <w:r>
              <w:t>–</w:t>
            </w:r>
          </w:p>
        </w:tc>
      </w:tr>
      <w:tr>
        <w:trPr>
          <w:cantSplit/>
          <w:trHeight w:val="20"/>
        </w:trPr>
        <w:tc>
          <w:tcPr>
            <w:tcW w:w="1306" w:type="dxa"/>
            <w:vAlign w:val="center"/>
          </w:tcPr>
          <w:p>
            <w:pPr>
              <w:widowControl w:val="0"/>
              <w:jc w:val="center"/>
            </w:pPr>
            <w:r>
              <w:t>10</w:t>
            </w:r>
          </w:p>
        </w:tc>
        <w:tc>
          <w:tcPr>
            <w:tcW w:w="1198" w:type="dxa"/>
            <w:vAlign w:val="center"/>
          </w:tcPr>
          <w:p>
            <w:pPr>
              <w:widowControl w:val="0"/>
              <w:jc w:val="center"/>
            </w:pPr>
            <w:r>
              <w:t>110</w:t>
            </w:r>
          </w:p>
        </w:tc>
        <w:tc>
          <w:tcPr>
            <w:tcW w:w="1198" w:type="dxa"/>
            <w:vAlign w:val="center"/>
          </w:tcPr>
          <w:p>
            <w:pPr>
              <w:widowControl w:val="0"/>
              <w:jc w:val="center"/>
            </w:pPr>
            <w:r>
              <w:t>85</w:t>
            </w:r>
          </w:p>
        </w:tc>
        <w:tc>
          <w:tcPr>
            <w:tcW w:w="1198" w:type="dxa"/>
            <w:vAlign w:val="center"/>
          </w:tcPr>
          <w:p>
            <w:pPr>
              <w:widowControl w:val="0"/>
              <w:jc w:val="center"/>
            </w:pPr>
            <w:r>
              <w:t>65</w:t>
            </w:r>
          </w:p>
        </w:tc>
        <w:tc>
          <w:tcPr>
            <w:tcW w:w="1198" w:type="dxa"/>
            <w:vAlign w:val="center"/>
          </w:tcPr>
          <w:p>
            <w:pPr>
              <w:widowControl w:val="0"/>
              <w:jc w:val="center"/>
            </w:pPr>
            <w:r>
              <w:t>75</w:t>
            </w:r>
          </w:p>
        </w:tc>
        <w:tc>
          <w:tcPr>
            <w:tcW w:w="1198" w:type="dxa"/>
            <w:vAlign w:val="center"/>
          </w:tcPr>
          <w:p>
            <w:pPr>
              <w:widowControl w:val="0"/>
              <w:jc w:val="center"/>
            </w:pPr>
            <w:r>
              <w:t>60</w:t>
            </w:r>
          </w:p>
        </w:tc>
        <w:tc>
          <w:tcPr>
            <w:tcW w:w="1011" w:type="dxa"/>
            <w:vAlign w:val="center"/>
          </w:tcPr>
          <w:p>
            <w:pPr>
              <w:widowControl w:val="0"/>
              <w:jc w:val="center"/>
            </w:pPr>
            <w:r>
              <w:t>–</w:t>
            </w:r>
          </w:p>
        </w:tc>
      </w:tr>
      <w:tr>
        <w:trPr>
          <w:cantSplit/>
          <w:trHeight w:val="20"/>
        </w:trPr>
        <w:tc>
          <w:tcPr>
            <w:tcW w:w="1306" w:type="dxa"/>
            <w:vAlign w:val="center"/>
          </w:tcPr>
          <w:p>
            <w:pPr>
              <w:widowControl w:val="0"/>
              <w:jc w:val="center"/>
            </w:pPr>
            <w:r>
              <w:t>16</w:t>
            </w:r>
          </w:p>
        </w:tc>
        <w:tc>
          <w:tcPr>
            <w:tcW w:w="1198" w:type="dxa"/>
            <w:vAlign w:val="center"/>
          </w:tcPr>
          <w:p>
            <w:pPr>
              <w:widowControl w:val="0"/>
              <w:jc w:val="center"/>
            </w:pPr>
            <w:r>
              <w:t>135</w:t>
            </w:r>
          </w:p>
        </w:tc>
        <w:tc>
          <w:tcPr>
            <w:tcW w:w="1198" w:type="dxa"/>
            <w:vAlign w:val="center"/>
          </w:tcPr>
          <w:p>
            <w:pPr>
              <w:widowControl w:val="0"/>
              <w:jc w:val="center"/>
            </w:pPr>
            <w:r>
              <w:t>110</w:t>
            </w:r>
          </w:p>
        </w:tc>
        <w:tc>
          <w:tcPr>
            <w:tcW w:w="1198" w:type="dxa"/>
            <w:vAlign w:val="center"/>
          </w:tcPr>
          <w:p>
            <w:pPr>
              <w:widowControl w:val="0"/>
              <w:jc w:val="center"/>
            </w:pPr>
            <w:r>
              <w:t>90</w:t>
            </w:r>
          </w:p>
        </w:tc>
        <w:tc>
          <w:tcPr>
            <w:tcW w:w="1198" w:type="dxa"/>
            <w:vAlign w:val="center"/>
          </w:tcPr>
          <w:p>
            <w:pPr>
              <w:widowControl w:val="0"/>
              <w:jc w:val="center"/>
            </w:pPr>
            <w:r>
              <w:t>90</w:t>
            </w:r>
          </w:p>
        </w:tc>
        <w:tc>
          <w:tcPr>
            <w:tcW w:w="1198" w:type="dxa"/>
            <w:vAlign w:val="center"/>
          </w:tcPr>
          <w:p>
            <w:pPr>
              <w:widowControl w:val="0"/>
              <w:jc w:val="center"/>
            </w:pPr>
            <w:r>
              <w:t>80</w:t>
            </w:r>
          </w:p>
        </w:tc>
        <w:tc>
          <w:tcPr>
            <w:tcW w:w="1011" w:type="dxa"/>
            <w:vAlign w:val="center"/>
          </w:tcPr>
          <w:p>
            <w:pPr>
              <w:widowControl w:val="0"/>
              <w:jc w:val="center"/>
            </w:pPr>
            <w:r>
              <w:t>75</w:t>
            </w:r>
          </w:p>
        </w:tc>
      </w:tr>
      <w:tr>
        <w:trPr>
          <w:cantSplit/>
          <w:trHeight w:val="20"/>
        </w:trPr>
        <w:tc>
          <w:tcPr>
            <w:tcW w:w="1306" w:type="dxa"/>
            <w:vAlign w:val="center"/>
          </w:tcPr>
          <w:p>
            <w:pPr>
              <w:widowControl w:val="0"/>
              <w:jc w:val="center"/>
            </w:pPr>
            <w:r>
              <w:t>25</w:t>
            </w:r>
          </w:p>
        </w:tc>
        <w:tc>
          <w:tcPr>
            <w:tcW w:w="1198" w:type="dxa"/>
            <w:vAlign w:val="center"/>
          </w:tcPr>
          <w:p>
            <w:pPr>
              <w:widowControl w:val="0"/>
              <w:jc w:val="center"/>
            </w:pPr>
            <w:r>
              <w:t>180</w:t>
            </w:r>
          </w:p>
        </w:tc>
        <w:tc>
          <w:tcPr>
            <w:tcW w:w="1198" w:type="dxa"/>
            <w:vAlign w:val="center"/>
          </w:tcPr>
          <w:p>
            <w:pPr>
              <w:widowControl w:val="0"/>
              <w:jc w:val="center"/>
            </w:pPr>
            <w:r>
              <w:t>140</w:t>
            </w:r>
          </w:p>
        </w:tc>
        <w:tc>
          <w:tcPr>
            <w:tcW w:w="1198" w:type="dxa"/>
            <w:vAlign w:val="center"/>
          </w:tcPr>
          <w:p>
            <w:pPr>
              <w:widowControl w:val="0"/>
              <w:jc w:val="center"/>
            </w:pPr>
            <w:r>
              <w:t>115</w:t>
            </w:r>
          </w:p>
        </w:tc>
        <w:tc>
          <w:tcPr>
            <w:tcW w:w="1198" w:type="dxa"/>
            <w:vAlign w:val="center"/>
          </w:tcPr>
          <w:p>
            <w:pPr>
              <w:widowControl w:val="0"/>
              <w:jc w:val="center"/>
            </w:pPr>
            <w:r>
              <w:t>125</w:t>
            </w:r>
          </w:p>
        </w:tc>
        <w:tc>
          <w:tcPr>
            <w:tcW w:w="1198" w:type="dxa"/>
            <w:vAlign w:val="center"/>
          </w:tcPr>
          <w:p>
            <w:pPr>
              <w:widowControl w:val="0"/>
              <w:jc w:val="center"/>
            </w:pPr>
            <w:r>
              <w:t>105</w:t>
            </w:r>
          </w:p>
        </w:tc>
        <w:tc>
          <w:tcPr>
            <w:tcW w:w="1011" w:type="dxa"/>
            <w:vAlign w:val="center"/>
          </w:tcPr>
          <w:p>
            <w:pPr>
              <w:widowControl w:val="0"/>
              <w:jc w:val="center"/>
            </w:pPr>
            <w:r>
              <w:t>90</w:t>
            </w:r>
          </w:p>
        </w:tc>
      </w:tr>
      <w:tr>
        <w:trPr>
          <w:cantSplit/>
          <w:trHeight w:val="20"/>
        </w:trPr>
        <w:tc>
          <w:tcPr>
            <w:tcW w:w="1306" w:type="dxa"/>
            <w:vAlign w:val="center"/>
          </w:tcPr>
          <w:p>
            <w:pPr>
              <w:widowControl w:val="0"/>
              <w:jc w:val="center"/>
            </w:pPr>
            <w:r>
              <w:t>35</w:t>
            </w:r>
          </w:p>
        </w:tc>
        <w:tc>
          <w:tcPr>
            <w:tcW w:w="1198" w:type="dxa"/>
            <w:vAlign w:val="center"/>
          </w:tcPr>
          <w:p>
            <w:pPr>
              <w:widowControl w:val="0"/>
              <w:jc w:val="center"/>
            </w:pPr>
            <w:r>
              <w:t>220</w:t>
            </w:r>
          </w:p>
        </w:tc>
        <w:tc>
          <w:tcPr>
            <w:tcW w:w="1198" w:type="dxa"/>
            <w:vAlign w:val="center"/>
          </w:tcPr>
          <w:p>
            <w:pPr>
              <w:widowControl w:val="0"/>
              <w:jc w:val="center"/>
            </w:pPr>
            <w:r>
              <w:t>175</w:t>
            </w:r>
          </w:p>
        </w:tc>
        <w:tc>
          <w:tcPr>
            <w:tcW w:w="1198" w:type="dxa"/>
            <w:vAlign w:val="center"/>
          </w:tcPr>
          <w:p>
            <w:pPr>
              <w:widowControl w:val="0"/>
              <w:jc w:val="center"/>
            </w:pPr>
            <w:r>
              <w:t>135</w:t>
            </w:r>
          </w:p>
        </w:tc>
        <w:tc>
          <w:tcPr>
            <w:tcW w:w="1198" w:type="dxa"/>
            <w:vAlign w:val="center"/>
          </w:tcPr>
          <w:p>
            <w:pPr>
              <w:widowControl w:val="0"/>
              <w:jc w:val="center"/>
            </w:pPr>
            <w:r>
              <w:t>145</w:t>
            </w:r>
          </w:p>
        </w:tc>
        <w:tc>
          <w:tcPr>
            <w:tcW w:w="1198" w:type="dxa"/>
            <w:vAlign w:val="center"/>
          </w:tcPr>
          <w:p>
            <w:pPr>
              <w:widowControl w:val="0"/>
              <w:jc w:val="center"/>
            </w:pPr>
            <w:r>
              <w:t>125</w:t>
            </w:r>
          </w:p>
        </w:tc>
        <w:tc>
          <w:tcPr>
            <w:tcW w:w="1011" w:type="dxa"/>
            <w:vAlign w:val="center"/>
          </w:tcPr>
          <w:p>
            <w:pPr>
              <w:widowControl w:val="0"/>
              <w:jc w:val="center"/>
            </w:pPr>
            <w:r>
              <w:t>115</w:t>
            </w:r>
          </w:p>
        </w:tc>
      </w:tr>
      <w:tr>
        <w:trPr>
          <w:cantSplit/>
          <w:trHeight w:val="20"/>
        </w:trPr>
        <w:tc>
          <w:tcPr>
            <w:tcW w:w="1306" w:type="dxa"/>
            <w:vAlign w:val="center"/>
          </w:tcPr>
          <w:p>
            <w:pPr>
              <w:widowControl w:val="0"/>
              <w:jc w:val="center"/>
            </w:pPr>
            <w:r>
              <w:t>50</w:t>
            </w:r>
          </w:p>
        </w:tc>
        <w:tc>
          <w:tcPr>
            <w:tcW w:w="1198" w:type="dxa"/>
            <w:vAlign w:val="center"/>
          </w:tcPr>
          <w:p>
            <w:pPr>
              <w:widowControl w:val="0"/>
              <w:jc w:val="center"/>
            </w:pPr>
            <w:r>
              <w:t>275</w:t>
            </w:r>
          </w:p>
        </w:tc>
        <w:tc>
          <w:tcPr>
            <w:tcW w:w="1198" w:type="dxa"/>
            <w:vAlign w:val="center"/>
          </w:tcPr>
          <w:p>
            <w:pPr>
              <w:widowControl w:val="0"/>
              <w:jc w:val="center"/>
            </w:pPr>
            <w:r>
              <w:t>210</w:t>
            </w:r>
          </w:p>
        </w:tc>
        <w:tc>
          <w:tcPr>
            <w:tcW w:w="1198" w:type="dxa"/>
            <w:vAlign w:val="center"/>
          </w:tcPr>
          <w:p>
            <w:pPr>
              <w:widowControl w:val="0"/>
              <w:jc w:val="center"/>
            </w:pPr>
            <w:r>
              <w:t>165</w:t>
            </w:r>
          </w:p>
        </w:tc>
        <w:tc>
          <w:tcPr>
            <w:tcW w:w="1198" w:type="dxa"/>
            <w:vAlign w:val="center"/>
          </w:tcPr>
          <w:p>
            <w:pPr>
              <w:widowControl w:val="0"/>
              <w:jc w:val="center"/>
            </w:pPr>
            <w:r>
              <w:t>180</w:t>
            </w:r>
          </w:p>
        </w:tc>
        <w:tc>
          <w:tcPr>
            <w:tcW w:w="1198" w:type="dxa"/>
            <w:vAlign w:val="center"/>
          </w:tcPr>
          <w:p>
            <w:pPr>
              <w:widowControl w:val="0"/>
              <w:jc w:val="center"/>
            </w:pPr>
            <w:r>
              <w:t>155</w:t>
            </w:r>
          </w:p>
        </w:tc>
        <w:tc>
          <w:tcPr>
            <w:tcW w:w="1011" w:type="dxa"/>
            <w:vAlign w:val="center"/>
          </w:tcPr>
          <w:p>
            <w:pPr>
              <w:widowControl w:val="0"/>
              <w:jc w:val="center"/>
            </w:pPr>
            <w:r>
              <w:t>140</w:t>
            </w:r>
          </w:p>
        </w:tc>
      </w:tr>
      <w:tr>
        <w:trPr>
          <w:cantSplit/>
          <w:trHeight w:val="20"/>
        </w:trPr>
        <w:tc>
          <w:tcPr>
            <w:tcW w:w="1306" w:type="dxa"/>
            <w:vAlign w:val="center"/>
          </w:tcPr>
          <w:p>
            <w:pPr>
              <w:widowControl w:val="0"/>
              <w:jc w:val="center"/>
            </w:pPr>
            <w:r>
              <w:t>70</w:t>
            </w:r>
          </w:p>
        </w:tc>
        <w:tc>
          <w:tcPr>
            <w:tcW w:w="1198" w:type="dxa"/>
            <w:vAlign w:val="center"/>
          </w:tcPr>
          <w:p>
            <w:pPr>
              <w:widowControl w:val="0"/>
              <w:jc w:val="center"/>
            </w:pPr>
            <w:r>
              <w:t>345</w:t>
            </w:r>
          </w:p>
        </w:tc>
        <w:tc>
          <w:tcPr>
            <w:tcW w:w="1198" w:type="dxa"/>
            <w:vAlign w:val="center"/>
          </w:tcPr>
          <w:p>
            <w:pPr>
              <w:widowControl w:val="0"/>
              <w:jc w:val="center"/>
            </w:pPr>
            <w:r>
              <w:t>250</w:t>
            </w:r>
          </w:p>
        </w:tc>
        <w:tc>
          <w:tcPr>
            <w:tcW w:w="1198" w:type="dxa"/>
            <w:vAlign w:val="center"/>
          </w:tcPr>
          <w:p>
            <w:pPr>
              <w:widowControl w:val="0"/>
              <w:jc w:val="center"/>
            </w:pPr>
            <w:r>
              <w:t>200</w:t>
            </w:r>
          </w:p>
        </w:tc>
        <w:tc>
          <w:tcPr>
            <w:tcW w:w="1198" w:type="dxa"/>
            <w:vAlign w:val="center"/>
          </w:tcPr>
          <w:p>
            <w:pPr>
              <w:widowControl w:val="0"/>
              <w:jc w:val="center"/>
            </w:pPr>
            <w:r>
              <w:t>220</w:t>
            </w:r>
          </w:p>
        </w:tc>
        <w:tc>
          <w:tcPr>
            <w:tcW w:w="1198" w:type="dxa"/>
            <w:vAlign w:val="center"/>
          </w:tcPr>
          <w:p>
            <w:pPr>
              <w:widowControl w:val="0"/>
              <w:jc w:val="center"/>
            </w:pPr>
            <w:r>
              <w:t>190</w:t>
            </w:r>
          </w:p>
        </w:tc>
        <w:tc>
          <w:tcPr>
            <w:tcW w:w="1011" w:type="dxa"/>
            <w:vAlign w:val="center"/>
          </w:tcPr>
          <w:p>
            <w:pPr>
              <w:widowControl w:val="0"/>
              <w:jc w:val="center"/>
            </w:pPr>
            <w:r>
              <w:t>165</w:t>
            </w:r>
          </w:p>
        </w:tc>
      </w:tr>
      <w:tr>
        <w:trPr>
          <w:cantSplit/>
          <w:trHeight w:val="20"/>
        </w:trPr>
        <w:tc>
          <w:tcPr>
            <w:tcW w:w="1306" w:type="dxa"/>
            <w:vAlign w:val="center"/>
          </w:tcPr>
          <w:p>
            <w:pPr>
              <w:widowControl w:val="0"/>
              <w:jc w:val="center"/>
            </w:pPr>
            <w:r>
              <w:t>95</w:t>
            </w:r>
          </w:p>
        </w:tc>
        <w:tc>
          <w:tcPr>
            <w:tcW w:w="1198" w:type="dxa"/>
            <w:vAlign w:val="center"/>
          </w:tcPr>
          <w:p>
            <w:pPr>
              <w:widowControl w:val="0"/>
              <w:jc w:val="center"/>
            </w:pPr>
            <w:r>
              <w:t>400</w:t>
            </w:r>
          </w:p>
        </w:tc>
        <w:tc>
          <w:tcPr>
            <w:tcW w:w="1198" w:type="dxa"/>
            <w:vAlign w:val="center"/>
          </w:tcPr>
          <w:p>
            <w:pPr>
              <w:widowControl w:val="0"/>
              <w:jc w:val="center"/>
            </w:pPr>
            <w:r>
              <w:t>290</w:t>
            </w:r>
          </w:p>
        </w:tc>
        <w:tc>
          <w:tcPr>
            <w:tcW w:w="1198" w:type="dxa"/>
            <w:vAlign w:val="center"/>
          </w:tcPr>
          <w:p>
            <w:pPr>
              <w:widowControl w:val="0"/>
              <w:jc w:val="center"/>
            </w:pPr>
            <w:r>
              <w:t>240</w:t>
            </w:r>
          </w:p>
        </w:tc>
        <w:tc>
          <w:tcPr>
            <w:tcW w:w="1198" w:type="dxa"/>
            <w:vAlign w:val="center"/>
          </w:tcPr>
          <w:p>
            <w:pPr>
              <w:widowControl w:val="0"/>
              <w:jc w:val="center"/>
            </w:pPr>
            <w:r>
              <w:t>260</w:t>
            </w:r>
          </w:p>
        </w:tc>
        <w:tc>
          <w:tcPr>
            <w:tcW w:w="1198" w:type="dxa"/>
            <w:vAlign w:val="center"/>
          </w:tcPr>
          <w:p>
            <w:pPr>
              <w:widowControl w:val="0"/>
              <w:jc w:val="center"/>
            </w:pPr>
            <w:r>
              <w:t>225</w:t>
            </w:r>
          </w:p>
        </w:tc>
        <w:tc>
          <w:tcPr>
            <w:tcW w:w="1011" w:type="dxa"/>
            <w:vAlign w:val="center"/>
          </w:tcPr>
          <w:p>
            <w:pPr>
              <w:widowControl w:val="0"/>
              <w:jc w:val="center"/>
            </w:pPr>
            <w:r>
              <w:t>205</w:t>
            </w:r>
          </w:p>
        </w:tc>
      </w:tr>
      <w:tr>
        <w:trPr>
          <w:cantSplit/>
          <w:trHeight w:val="20"/>
        </w:trPr>
        <w:tc>
          <w:tcPr>
            <w:tcW w:w="1306" w:type="dxa"/>
            <w:vAlign w:val="center"/>
          </w:tcPr>
          <w:p>
            <w:pPr>
              <w:widowControl w:val="0"/>
              <w:jc w:val="center"/>
            </w:pPr>
            <w:r>
              <w:t>120</w:t>
            </w:r>
          </w:p>
        </w:tc>
        <w:tc>
          <w:tcPr>
            <w:tcW w:w="1198" w:type="dxa"/>
            <w:vAlign w:val="center"/>
          </w:tcPr>
          <w:p>
            <w:pPr>
              <w:widowControl w:val="0"/>
              <w:jc w:val="center"/>
            </w:pPr>
            <w:r>
              <w:t>460</w:t>
            </w:r>
          </w:p>
        </w:tc>
        <w:tc>
          <w:tcPr>
            <w:tcW w:w="1198" w:type="dxa"/>
            <w:vAlign w:val="center"/>
          </w:tcPr>
          <w:p>
            <w:pPr>
              <w:widowControl w:val="0"/>
              <w:jc w:val="center"/>
            </w:pPr>
            <w:r>
              <w:t>335</w:t>
            </w:r>
          </w:p>
        </w:tc>
        <w:tc>
          <w:tcPr>
            <w:tcW w:w="1198" w:type="dxa"/>
            <w:vAlign w:val="center"/>
          </w:tcPr>
          <w:p>
            <w:pPr>
              <w:widowControl w:val="0"/>
              <w:jc w:val="center"/>
            </w:pPr>
            <w:r>
              <w:t>270</w:t>
            </w:r>
          </w:p>
        </w:tc>
        <w:tc>
          <w:tcPr>
            <w:tcW w:w="1198" w:type="dxa"/>
            <w:vAlign w:val="center"/>
          </w:tcPr>
          <w:p>
            <w:pPr>
              <w:widowControl w:val="0"/>
              <w:jc w:val="center"/>
            </w:pPr>
            <w:r>
              <w:t>300</w:t>
            </w:r>
          </w:p>
        </w:tc>
        <w:tc>
          <w:tcPr>
            <w:tcW w:w="1198" w:type="dxa"/>
            <w:vAlign w:val="center"/>
          </w:tcPr>
          <w:p>
            <w:pPr>
              <w:widowControl w:val="0"/>
              <w:jc w:val="center"/>
            </w:pPr>
            <w:r>
              <w:t>260</w:t>
            </w:r>
          </w:p>
        </w:tc>
        <w:tc>
          <w:tcPr>
            <w:tcW w:w="1011" w:type="dxa"/>
            <w:vAlign w:val="center"/>
          </w:tcPr>
          <w:p>
            <w:pPr>
              <w:widowControl w:val="0"/>
              <w:jc w:val="center"/>
            </w:pPr>
            <w:r>
              <w:t>240</w:t>
            </w:r>
          </w:p>
        </w:tc>
      </w:tr>
      <w:tr>
        <w:trPr>
          <w:cantSplit/>
          <w:trHeight w:val="20"/>
        </w:trPr>
        <w:tc>
          <w:tcPr>
            <w:tcW w:w="1306" w:type="dxa"/>
            <w:vAlign w:val="center"/>
          </w:tcPr>
          <w:p>
            <w:pPr>
              <w:widowControl w:val="0"/>
              <w:jc w:val="center"/>
            </w:pPr>
            <w:r>
              <w:t>150</w:t>
            </w:r>
          </w:p>
        </w:tc>
        <w:tc>
          <w:tcPr>
            <w:tcW w:w="1198" w:type="dxa"/>
            <w:vAlign w:val="center"/>
          </w:tcPr>
          <w:p>
            <w:pPr>
              <w:widowControl w:val="0"/>
              <w:jc w:val="center"/>
            </w:pPr>
            <w:r>
              <w:t>520</w:t>
            </w:r>
          </w:p>
        </w:tc>
        <w:tc>
          <w:tcPr>
            <w:tcW w:w="1198" w:type="dxa"/>
            <w:vAlign w:val="center"/>
          </w:tcPr>
          <w:p>
            <w:pPr>
              <w:widowControl w:val="0"/>
              <w:jc w:val="center"/>
            </w:pPr>
            <w:r>
              <w:t>385</w:t>
            </w:r>
          </w:p>
        </w:tc>
        <w:tc>
          <w:tcPr>
            <w:tcW w:w="1198" w:type="dxa"/>
            <w:vAlign w:val="center"/>
          </w:tcPr>
          <w:p>
            <w:pPr>
              <w:widowControl w:val="0"/>
              <w:jc w:val="center"/>
            </w:pPr>
            <w:r>
              <w:t>305</w:t>
            </w:r>
          </w:p>
        </w:tc>
        <w:tc>
          <w:tcPr>
            <w:tcW w:w="1198" w:type="dxa"/>
            <w:vAlign w:val="center"/>
          </w:tcPr>
          <w:p>
            <w:pPr>
              <w:widowControl w:val="0"/>
              <w:jc w:val="center"/>
            </w:pPr>
            <w:r>
              <w:t>335</w:t>
            </w:r>
          </w:p>
        </w:tc>
        <w:tc>
          <w:tcPr>
            <w:tcW w:w="1198" w:type="dxa"/>
            <w:vAlign w:val="center"/>
          </w:tcPr>
          <w:p>
            <w:pPr>
              <w:widowControl w:val="0"/>
              <w:jc w:val="center"/>
            </w:pPr>
            <w:r>
              <w:t>300</w:t>
            </w:r>
          </w:p>
        </w:tc>
        <w:tc>
          <w:tcPr>
            <w:tcW w:w="1011" w:type="dxa"/>
            <w:vAlign w:val="center"/>
          </w:tcPr>
          <w:p>
            <w:pPr>
              <w:widowControl w:val="0"/>
              <w:jc w:val="center"/>
            </w:pPr>
            <w:r>
              <w:t>275</w:t>
            </w:r>
          </w:p>
        </w:tc>
      </w:tr>
      <w:tr>
        <w:trPr>
          <w:cantSplit/>
          <w:trHeight w:val="20"/>
        </w:trPr>
        <w:tc>
          <w:tcPr>
            <w:tcW w:w="1306" w:type="dxa"/>
            <w:vAlign w:val="center"/>
          </w:tcPr>
          <w:p>
            <w:pPr>
              <w:widowControl w:val="0"/>
              <w:jc w:val="center"/>
            </w:pPr>
            <w:r>
              <w:t>185</w:t>
            </w:r>
          </w:p>
        </w:tc>
        <w:tc>
          <w:tcPr>
            <w:tcW w:w="1198" w:type="dxa"/>
            <w:vAlign w:val="center"/>
          </w:tcPr>
          <w:p>
            <w:pPr>
              <w:widowControl w:val="0"/>
              <w:jc w:val="center"/>
            </w:pPr>
            <w:r>
              <w:t>580</w:t>
            </w:r>
          </w:p>
        </w:tc>
        <w:tc>
          <w:tcPr>
            <w:tcW w:w="1198" w:type="dxa"/>
            <w:vAlign w:val="center"/>
          </w:tcPr>
          <w:p>
            <w:pPr>
              <w:widowControl w:val="0"/>
              <w:jc w:val="center"/>
            </w:pPr>
            <w:r>
              <w:t>–</w:t>
            </w:r>
          </w:p>
        </w:tc>
        <w:tc>
          <w:tcPr>
            <w:tcW w:w="1198" w:type="dxa"/>
            <w:vAlign w:val="center"/>
          </w:tcPr>
          <w:p>
            <w:pPr>
              <w:widowControl w:val="0"/>
              <w:jc w:val="center"/>
            </w:pPr>
            <w:r>
              <w:t>345</w:t>
            </w:r>
          </w:p>
        </w:tc>
        <w:tc>
          <w:tcPr>
            <w:tcW w:w="1198" w:type="dxa"/>
            <w:vAlign w:val="center"/>
          </w:tcPr>
          <w:p>
            <w:pPr>
              <w:widowControl w:val="0"/>
              <w:jc w:val="center"/>
            </w:pPr>
            <w:r>
              <w:t>380</w:t>
            </w:r>
          </w:p>
        </w:tc>
        <w:tc>
          <w:tcPr>
            <w:tcW w:w="1198" w:type="dxa"/>
            <w:vAlign w:val="center"/>
          </w:tcPr>
          <w:p>
            <w:pPr>
              <w:widowControl w:val="0"/>
              <w:jc w:val="center"/>
            </w:pPr>
            <w:r>
              <w:t>340</w:t>
            </w:r>
          </w:p>
        </w:tc>
        <w:tc>
          <w:tcPr>
            <w:tcW w:w="1011" w:type="dxa"/>
            <w:vAlign w:val="center"/>
          </w:tcPr>
          <w:p>
            <w:pPr>
              <w:widowControl w:val="0"/>
              <w:jc w:val="center"/>
            </w:pPr>
            <w:r>
              <w:t>310</w:t>
            </w:r>
          </w:p>
        </w:tc>
      </w:tr>
      <w:tr>
        <w:trPr>
          <w:cantSplit/>
          <w:trHeight w:val="20"/>
        </w:trPr>
        <w:tc>
          <w:tcPr>
            <w:tcW w:w="1306" w:type="dxa"/>
            <w:vAlign w:val="center"/>
          </w:tcPr>
          <w:p>
            <w:pPr>
              <w:widowControl w:val="0"/>
              <w:jc w:val="center"/>
            </w:pPr>
            <w:r>
              <w:t>240</w:t>
            </w:r>
          </w:p>
        </w:tc>
        <w:tc>
          <w:tcPr>
            <w:tcW w:w="1198" w:type="dxa"/>
            <w:vAlign w:val="center"/>
          </w:tcPr>
          <w:p>
            <w:pPr>
              <w:widowControl w:val="0"/>
              <w:jc w:val="center"/>
            </w:pPr>
            <w:r>
              <w:t>675</w:t>
            </w:r>
          </w:p>
        </w:tc>
        <w:tc>
          <w:tcPr>
            <w:tcW w:w="1198" w:type="dxa"/>
            <w:vAlign w:val="center"/>
          </w:tcPr>
          <w:p>
            <w:pPr>
              <w:widowControl w:val="0"/>
              <w:jc w:val="center"/>
            </w:pPr>
            <w:r>
              <w:t>–</w:t>
            </w:r>
          </w:p>
        </w:tc>
        <w:tc>
          <w:tcPr>
            <w:tcW w:w="1198" w:type="dxa"/>
            <w:vAlign w:val="center"/>
          </w:tcPr>
          <w:p>
            <w:pPr>
              <w:widowControl w:val="0"/>
              <w:jc w:val="center"/>
            </w:pPr>
            <w:r>
              <w:t>–</w:t>
            </w:r>
          </w:p>
        </w:tc>
        <w:tc>
          <w:tcPr>
            <w:tcW w:w="1198" w:type="dxa"/>
            <w:vAlign w:val="center"/>
          </w:tcPr>
          <w:p>
            <w:pPr>
              <w:widowControl w:val="0"/>
              <w:jc w:val="center"/>
            </w:pPr>
            <w:r>
              <w:t>440</w:t>
            </w:r>
          </w:p>
        </w:tc>
        <w:tc>
          <w:tcPr>
            <w:tcW w:w="1198" w:type="dxa"/>
            <w:vAlign w:val="center"/>
          </w:tcPr>
          <w:p>
            <w:pPr>
              <w:widowControl w:val="0"/>
              <w:jc w:val="center"/>
            </w:pPr>
            <w:r>
              <w:t>390</w:t>
            </w:r>
          </w:p>
        </w:tc>
        <w:tc>
          <w:tcPr>
            <w:tcW w:w="1011" w:type="dxa"/>
            <w:vAlign w:val="center"/>
          </w:tcPr>
          <w:p>
            <w:pPr>
              <w:widowControl w:val="0"/>
              <w:jc w:val="center"/>
            </w:pPr>
            <w:r>
              <w:t>355</w:t>
            </w:r>
          </w:p>
        </w:tc>
      </w:tr>
    </w:tbl>
    <w:p>
      <w:pPr>
        <w:widowControl w:val="0"/>
        <w:ind w:firstLine="567"/>
        <w:jc w:val="both"/>
        <w:rPr>
          <w:iCs/>
        </w:rPr>
      </w:pPr>
    </w:p>
    <w:p>
      <w:pPr>
        <w:widowControl w:val="0"/>
        <w:ind w:firstLine="567"/>
        <w:jc w:val="both"/>
        <w:rPr>
          <w:b/>
          <w:bCs/>
        </w:rPr>
      </w:pPr>
      <w:r>
        <w:rPr>
          <w:b/>
          <w:bCs/>
        </w:rPr>
        <w:t>17 lentelė. Vandenyje tiesiamų iki 10 kV įtampos aliumininių kabelių švininiu apvalkalu, netakia mase arba alyvos kanifolijos mišiniu įmirkyta popierine izoliacija leistinoji ilgalaikė srovė</w:t>
      </w:r>
    </w:p>
    <w:p>
      <w:pPr>
        <w:widowControl w:val="0"/>
        <w:ind w:firstLine="567"/>
        <w:jc w:val="both"/>
      </w:pPr>
    </w:p>
    <w:p>
      <w:pPr>
        <w:widowControl w:val="0"/>
        <w:ind w:firstLine="567"/>
        <w:jc w:val="both"/>
      </w:pPr>
      <w:r>
        <w:t xml:space="preserve">Temperatūra: kabelių – pagal Taisyklių 68 punktą, vandens +15 </w:t>
      </w:r>
      <w:r>
        <w:rPr>
          <w:vertAlign w:val="superscript"/>
        </w:rPr>
        <w:t>o</w:t>
      </w:r>
      <w:r>
        <w:t xml:space="preserve">C. </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80"/>
        <w:gridCol w:w="1850"/>
        <w:gridCol w:w="1780"/>
        <w:gridCol w:w="1780"/>
        <w:gridCol w:w="1780"/>
      </w:tblGrid>
      <w:tr>
        <w:trPr>
          <w:cantSplit/>
        </w:trPr>
        <w:tc>
          <w:tcPr>
            <w:tcW w:w="1351" w:type="dxa"/>
            <w:vMerge w:val="restart"/>
            <w:vAlign w:val="center"/>
          </w:tcPr>
          <w:p>
            <w:pPr>
              <w:widowControl w:val="0"/>
              <w:jc w:val="center"/>
            </w:pPr>
            <w:r>
              <w:t>Kabelio skerspjūvis,</w:t>
            </w:r>
          </w:p>
          <w:p>
            <w:pPr>
              <w:widowControl w:val="0"/>
              <w:jc w:val="center"/>
            </w:pPr>
            <w:r>
              <w:t>mm</w:t>
            </w:r>
            <w:r>
              <w:rPr>
                <w:vertAlign w:val="superscript"/>
              </w:rPr>
              <w:t>2</w:t>
            </w:r>
          </w:p>
        </w:tc>
        <w:tc>
          <w:tcPr>
            <w:tcW w:w="5170" w:type="dxa"/>
            <w:gridSpan w:val="4"/>
            <w:vAlign w:val="center"/>
          </w:tcPr>
          <w:p>
            <w:pPr>
              <w:widowControl w:val="0"/>
              <w:jc w:val="center"/>
            </w:pPr>
            <w:r>
              <w:t>Kabelių leistinoji ilgalaikė srovė, A</w:t>
            </w:r>
          </w:p>
        </w:tc>
      </w:tr>
      <w:tr>
        <w:trPr>
          <w:cantSplit/>
        </w:trPr>
        <w:tc>
          <w:tcPr>
            <w:tcW w:w="1351" w:type="dxa"/>
            <w:vMerge/>
            <w:vAlign w:val="center"/>
          </w:tcPr>
          <w:p>
            <w:pPr>
              <w:widowControl w:val="0"/>
              <w:jc w:val="center"/>
            </w:pPr>
          </w:p>
        </w:tc>
        <w:tc>
          <w:tcPr>
            <w:tcW w:w="1330" w:type="dxa"/>
            <w:vMerge w:val="restart"/>
            <w:vAlign w:val="center"/>
          </w:tcPr>
          <w:p>
            <w:pPr>
              <w:widowControl w:val="0"/>
              <w:jc w:val="center"/>
            </w:pPr>
            <w:r>
              <w:t>keturgyslių</w:t>
            </w:r>
          </w:p>
          <w:p>
            <w:pPr>
              <w:widowControl w:val="0"/>
              <w:jc w:val="center"/>
            </w:pPr>
            <w:r>
              <w:t>iki 1 kV</w:t>
            </w:r>
          </w:p>
        </w:tc>
        <w:tc>
          <w:tcPr>
            <w:tcW w:w="3840" w:type="dxa"/>
            <w:gridSpan w:val="3"/>
            <w:vAlign w:val="center"/>
          </w:tcPr>
          <w:p>
            <w:pPr>
              <w:widowControl w:val="0"/>
              <w:jc w:val="center"/>
            </w:pPr>
            <w:r>
              <w:t>trigyslių</w:t>
            </w:r>
          </w:p>
        </w:tc>
      </w:tr>
      <w:tr>
        <w:trPr>
          <w:cantSplit/>
        </w:trPr>
        <w:tc>
          <w:tcPr>
            <w:tcW w:w="1351" w:type="dxa"/>
            <w:vMerge/>
            <w:vAlign w:val="center"/>
          </w:tcPr>
          <w:p>
            <w:pPr>
              <w:widowControl w:val="0"/>
              <w:jc w:val="center"/>
            </w:pPr>
          </w:p>
        </w:tc>
        <w:tc>
          <w:tcPr>
            <w:tcW w:w="1330" w:type="dxa"/>
            <w:vMerge/>
            <w:vAlign w:val="center"/>
          </w:tcPr>
          <w:p>
            <w:pPr>
              <w:widowControl w:val="0"/>
              <w:jc w:val="center"/>
            </w:pPr>
          </w:p>
        </w:tc>
        <w:tc>
          <w:tcPr>
            <w:tcW w:w="1280" w:type="dxa"/>
            <w:vAlign w:val="center"/>
          </w:tcPr>
          <w:p>
            <w:pPr>
              <w:widowControl w:val="0"/>
              <w:jc w:val="center"/>
            </w:pPr>
            <w:r>
              <w:t>3 kV</w:t>
            </w:r>
          </w:p>
        </w:tc>
        <w:tc>
          <w:tcPr>
            <w:tcW w:w="1280" w:type="dxa"/>
            <w:vAlign w:val="center"/>
          </w:tcPr>
          <w:p>
            <w:pPr>
              <w:widowControl w:val="0"/>
              <w:jc w:val="center"/>
            </w:pPr>
            <w:r>
              <w:t>6 kV</w:t>
            </w:r>
          </w:p>
        </w:tc>
        <w:tc>
          <w:tcPr>
            <w:tcW w:w="1280" w:type="dxa"/>
            <w:vAlign w:val="center"/>
          </w:tcPr>
          <w:p>
            <w:pPr>
              <w:widowControl w:val="0"/>
              <w:jc w:val="center"/>
            </w:pPr>
            <w:r>
              <w:t>10 kV</w:t>
            </w:r>
          </w:p>
        </w:tc>
      </w:tr>
      <w:tr>
        <w:trPr>
          <w:cantSplit/>
        </w:trPr>
        <w:tc>
          <w:tcPr>
            <w:tcW w:w="1351" w:type="dxa"/>
            <w:vAlign w:val="center"/>
          </w:tcPr>
          <w:p>
            <w:pPr>
              <w:widowControl w:val="0"/>
              <w:jc w:val="center"/>
            </w:pPr>
            <w:r>
              <w:t>16</w:t>
            </w:r>
          </w:p>
        </w:tc>
        <w:tc>
          <w:tcPr>
            <w:tcW w:w="1330" w:type="dxa"/>
            <w:vAlign w:val="center"/>
          </w:tcPr>
          <w:p>
            <w:pPr>
              <w:widowControl w:val="0"/>
              <w:jc w:val="center"/>
            </w:pPr>
            <w:r>
              <w:t>–</w:t>
            </w:r>
          </w:p>
        </w:tc>
        <w:tc>
          <w:tcPr>
            <w:tcW w:w="1280" w:type="dxa"/>
            <w:vAlign w:val="center"/>
          </w:tcPr>
          <w:p>
            <w:pPr>
              <w:widowControl w:val="0"/>
              <w:jc w:val="center"/>
            </w:pPr>
            <w:r>
              <w:t>–</w:t>
            </w:r>
          </w:p>
        </w:tc>
        <w:tc>
          <w:tcPr>
            <w:tcW w:w="1280" w:type="dxa"/>
            <w:vAlign w:val="center"/>
          </w:tcPr>
          <w:p>
            <w:pPr>
              <w:widowControl w:val="0"/>
              <w:jc w:val="center"/>
            </w:pPr>
            <w:r>
              <w:t>105</w:t>
            </w:r>
          </w:p>
        </w:tc>
        <w:tc>
          <w:tcPr>
            <w:tcW w:w="1280" w:type="dxa"/>
            <w:vAlign w:val="center"/>
          </w:tcPr>
          <w:p>
            <w:pPr>
              <w:widowControl w:val="0"/>
              <w:jc w:val="center"/>
            </w:pPr>
            <w:r>
              <w:t>95</w:t>
            </w:r>
          </w:p>
        </w:tc>
      </w:tr>
      <w:tr>
        <w:trPr>
          <w:cantSplit/>
        </w:trPr>
        <w:tc>
          <w:tcPr>
            <w:tcW w:w="1351" w:type="dxa"/>
            <w:vAlign w:val="center"/>
          </w:tcPr>
          <w:p>
            <w:pPr>
              <w:widowControl w:val="0"/>
              <w:jc w:val="center"/>
            </w:pPr>
            <w:r>
              <w:t>25</w:t>
            </w:r>
          </w:p>
        </w:tc>
        <w:tc>
          <w:tcPr>
            <w:tcW w:w="1330" w:type="dxa"/>
            <w:vAlign w:val="center"/>
          </w:tcPr>
          <w:p>
            <w:pPr>
              <w:widowControl w:val="0"/>
              <w:jc w:val="center"/>
            </w:pPr>
            <w:r>
              <w:t>150</w:t>
            </w:r>
          </w:p>
        </w:tc>
        <w:tc>
          <w:tcPr>
            <w:tcW w:w="1280" w:type="dxa"/>
            <w:vAlign w:val="center"/>
          </w:tcPr>
          <w:p>
            <w:pPr>
              <w:widowControl w:val="0"/>
              <w:jc w:val="center"/>
            </w:pPr>
            <w:r>
              <w:t>160</w:t>
            </w:r>
          </w:p>
        </w:tc>
        <w:tc>
          <w:tcPr>
            <w:tcW w:w="1280" w:type="dxa"/>
            <w:vAlign w:val="center"/>
          </w:tcPr>
          <w:p>
            <w:pPr>
              <w:widowControl w:val="0"/>
              <w:jc w:val="center"/>
            </w:pPr>
            <w:r>
              <w:t>130</w:t>
            </w:r>
          </w:p>
        </w:tc>
        <w:tc>
          <w:tcPr>
            <w:tcW w:w="1280" w:type="dxa"/>
            <w:vAlign w:val="center"/>
          </w:tcPr>
          <w:p>
            <w:pPr>
              <w:widowControl w:val="0"/>
              <w:jc w:val="center"/>
            </w:pPr>
            <w:r>
              <w:t>115</w:t>
            </w:r>
          </w:p>
        </w:tc>
      </w:tr>
      <w:tr>
        <w:trPr>
          <w:cantSplit/>
        </w:trPr>
        <w:tc>
          <w:tcPr>
            <w:tcW w:w="1351" w:type="dxa"/>
            <w:vAlign w:val="center"/>
          </w:tcPr>
          <w:p>
            <w:pPr>
              <w:widowControl w:val="0"/>
              <w:jc w:val="center"/>
            </w:pPr>
            <w:r>
              <w:t>35</w:t>
            </w:r>
          </w:p>
        </w:tc>
        <w:tc>
          <w:tcPr>
            <w:tcW w:w="1330" w:type="dxa"/>
            <w:vAlign w:val="center"/>
          </w:tcPr>
          <w:p>
            <w:pPr>
              <w:widowControl w:val="0"/>
              <w:jc w:val="center"/>
            </w:pPr>
            <w:r>
              <w:t>175</w:t>
            </w:r>
          </w:p>
        </w:tc>
        <w:tc>
          <w:tcPr>
            <w:tcW w:w="1280" w:type="dxa"/>
            <w:vAlign w:val="center"/>
          </w:tcPr>
          <w:p>
            <w:pPr>
              <w:widowControl w:val="0"/>
              <w:jc w:val="center"/>
            </w:pPr>
            <w:r>
              <w:t>190</w:t>
            </w:r>
          </w:p>
        </w:tc>
        <w:tc>
          <w:tcPr>
            <w:tcW w:w="1280" w:type="dxa"/>
            <w:vAlign w:val="center"/>
          </w:tcPr>
          <w:p>
            <w:pPr>
              <w:widowControl w:val="0"/>
              <w:jc w:val="center"/>
            </w:pPr>
            <w:r>
              <w:t>160</w:t>
            </w:r>
          </w:p>
        </w:tc>
        <w:tc>
          <w:tcPr>
            <w:tcW w:w="1280" w:type="dxa"/>
            <w:vAlign w:val="center"/>
          </w:tcPr>
          <w:p>
            <w:pPr>
              <w:widowControl w:val="0"/>
              <w:jc w:val="center"/>
            </w:pPr>
            <w:r>
              <w:t>140</w:t>
            </w:r>
          </w:p>
        </w:tc>
      </w:tr>
      <w:tr>
        <w:trPr>
          <w:cantSplit/>
        </w:trPr>
        <w:tc>
          <w:tcPr>
            <w:tcW w:w="1351" w:type="dxa"/>
            <w:vAlign w:val="center"/>
          </w:tcPr>
          <w:p>
            <w:pPr>
              <w:widowControl w:val="0"/>
              <w:jc w:val="center"/>
            </w:pPr>
            <w:r>
              <w:t>50</w:t>
            </w:r>
          </w:p>
        </w:tc>
        <w:tc>
          <w:tcPr>
            <w:tcW w:w="1330" w:type="dxa"/>
            <w:vAlign w:val="center"/>
          </w:tcPr>
          <w:p>
            <w:pPr>
              <w:widowControl w:val="0"/>
              <w:jc w:val="center"/>
            </w:pPr>
            <w:r>
              <w:t>220</w:t>
            </w:r>
          </w:p>
        </w:tc>
        <w:tc>
          <w:tcPr>
            <w:tcW w:w="1280" w:type="dxa"/>
            <w:vAlign w:val="center"/>
          </w:tcPr>
          <w:p>
            <w:pPr>
              <w:widowControl w:val="0"/>
              <w:jc w:val="center"/>
            </w:pPr>
            <w:r>
              <w:t>235</w:t>
            </w:r>
          </w:p>
        </w:tc>
        <w:tc>
          <w:tcPr>
            <w:tcW w:w="1280" w:type="dxa"/>
            <w:vAlign w:val="center"/>
          </w:tcPr>
          <w:p>
            <w:pPr>
              <w:widowControl w:val="0"/>
              <w:jc w:val="center"/>
            </w:pPr>
            <w:r>
              <w:t>195</w:t>
            </w:r>
          </w:p>
        </w:tc>
        <w:tc>
          <w:tcPr>
            <w:tcW w:w="1280" w:type="dxa"/>
            <w:vAlign w:val="center"/>
          </w:tcPr>
          <w:p>
            <w:pPr>
              <w:widowControl w:val="0"/>
              <w:jc w:val="center"/>
            </w:pPr>
            <w:r>
              <w:t>170</w:t>
            </w:r>
          </w:p>
        </w:tc>
      </w:tr>
      <w:tr>
        <w:trPr>
          <w:cantSplit/>
        </w:trPr>
        <w:tc>
          <w:tcPr>
            <w:tcW w:w="1351" w:type="dxa"/>
            <w:vAlign w:val="center"/>
          </w:tcPr>
          <w:p>
            <w:pPr>
              <w:widowControl w:val="0"/>
              <w:jc w:val="center"/>
            </w:pPr>
            <w:r>
              <w:t>70</w:t>
            </w:r>
          </w:p>
        </w:tc>
        <w:tc>
          <w:tcPr>
            <w:tcW w:w="1330" w:type="dxa"/>
            <w:vAlign w:val="center"/>
          </w:tcPr>
          <w:p>
            <w:pPr>
              <w:widowControl w:val="0"/>
              <w:jc w:val="center"/>
            </w:pPr>
            <w:r>
              <w:t>270</w:t>
            </w:r>
          </w:p>
        </w:tc>
        <w:tc>
          <w:tcPr>
            <w:tcW w:w="1280" w:type="dxa"/>
            <w:vAlign w:val="center"/>
          </w:tcPr>
          <w:p>
            <w:pPr>
              <w:widowControl w:val="0"/>
              <w:jc w:val="center"/>
            </w:pPr>
            <w:r>
              <w:t>290</w:t>
            </w:r>
          </w:p>
        </w:tc>
        <w:tc>
          <w:tcPr>
            <w:tcW w:w="1280" w:type="dxa"/>
            <w:vAlign w:val="center"/>
          </w:tcPr>
          <w:p>
            <w:pPr>
              <w:widowControl w:val="0"/>
              <w:jc w:val="center"/>
            </w:pPr>
            <w:r>
              <w:t>240</w:t>
            </w:r>
          </w:p>
        </w:tc>
        <w:tc>
          <w:tcPr>
            <w:tcW w:w="1280" w:type="dxa"/>
            <w:vAlign w:val="center"/>
          </w:tcPr>
          <w:p>
            <w:pPr>
              <w:widowControl w:val="0"/>
              <w:jc w:val="center"/>
            </w:pPr>
            <w:r>
              <w:t>210</w:t>
            </w:r>
          </w:p>
        </w:tc>
      </w:tr>
      <w:tr>
        <w:trPr>
          <w:cantSplit/>
        </w:trPr>
        <w:tc>
          <w:tcPr>
            <w:tcW w:w="1351" w:type="dxa"/>
            <w:vAlign w:val="center"/>
          </w:tcPr>
          <w:p>
            <w:pPr>
              <w:widowControl w:val="0"/>
              <w:jc w:val="center"/>
            </w:pPr>
            <w:r>
              <w:t>95</w:t>
            </w:r>
          </w:p>
        </w:tc>
        <w:tc>
          <w:tcPr>
            <w:tcW w:w="1330" w:type="dxa"/>
            <w:vAlign w:val="center"/>
          </w:tcPr>
          <w:p>
            <w:pPr>
              <w:widowControl w:val="0"/>
              <w:jc w:val="center"/>
            </w:pPr>
            <w:r>
              <w:t>315</w:t>
            </w:r>
          </w:p>
        </w:tc>
        <w:tc>
          <w:tcPr>
            <w:tcW w:w="1280" w:type="dxa"/>
            <w:vAlign w:val="center"/>
          </w:tcPr>
          <w:p>
            <w:pPr>
              <w:widowControl w:val="0"/>
              <w:jc w:val="center"/>
            </w:pPr>
            <w:r>
              <w:t>340</w:t>
            </w:r>
          </w:p>
        </w:tc>
        <w:tc>
          <w:tcPr>
            <w:tcW w:w="1280" w:type="dxa"/>
            <w:vAlign w:val="center"/>
          </w:tcPr>
          <w:p>
            <w:pPr>
              <w:widowControl w:val="0"/>
              <w:jc w:val="center"/>
            </w:pPr>
            <w:r>
              <w:t>290</w:t>
            </w:r>
          </w:p>
        </w:tc>
        <w:tc>
          <w:tcPr>
            <w:tcW w:w="1280" w:type="dxa"/>
            <w:vAlign w:val="center"/>
          </w:tcPr>
          <w:p>
            <w:pPr>
              <w:widowControl w:val="0"/>
              <w:jc w:val="center"/>
            </w:pPr>
            <w:r>
              <w:t>260</w:t>
            </w:r>
          </w:p>
        </w:tc>
      </w:tr>
      <w:tr>
        <w:trPr>
          <w:cantSplit/>
        </w:trPr>
        <w:tc>
          <w:tcPr>
            <w:tcW w:w="1351" w:type="dxa"/>
            <w:vAlign w:val="center"/>
          </w:tcPr>
          <w:p>
            <w:pPr>
              <w:widowControl w:val="0"/>
              <w:jc w:val="center"/>
            </w:pPr>
            <w:r>
              <w:t>120</w:t>
            </w:r>
          </w:p>
        </w:tc>
        <w:tc>
          <w:tcPr>
            <w:tcW w:w="1330" w:type="dxa"/>
            <w:vAlign w:val="center"/>
          </w:tcPr>
          <w:p>
            <w:pPr>
              <w:widowControl w:val="0"/>
              <w:jc w:val="center"/>
            </w:pPr>
            <w:r>
              <w:t>360</w:t>
            </w:r>
          </w:p>
        </w:tc>
        <w:tc>
          <w:tcPr>
            <w:tcW w:w="1280" w:type="dxa"/>
            <w:vAlign w:val="center"/>
          </w:tcPr>
          <w:p>
            <w:pPr>
              <w:widowControl w:val="0"/>
              <w:jc w:val="center"/>
            </w:pPr>
            <w:r>
              <w:t>390</w:t>
            </w:r>
          </w:p>
        </w:tc>
        <w:tc>
          <w:tcPr>
            <w:tcW w:w="1280" w:type="dxa"/>
            <w:vAlign w:val="center"/>
          </w:tcPr>
          <w:p>
            <w:pPr>
              <w:widowControl w:val="0"/>
              <w:jc w:val="center"/>
            </w:pPr>
            <w:r>
              <w:t>330</w:t>
            </w:r>
          </w:p>
        </w:tc>
        <w:tc>
          <w:tcPr>
            <w:tcW w:w="1280" w:type="dxa"/>
            <w:vAlign w:val="center"/>
          </w:tcPr>
          <w:p>
            <w:pPr>
              <w:widowControl w:val="0"/>
              <w:jc w:val="center"/>
            </w:pPr>
            <w:r>
              <w:t>305</w:t>
            </w:r>
          </w:p>
        </w:tc>
      </w:tr>
      <w:tr>
        <w:trPr>
          <w:cantSplit/>
        </w:trPr>
        <w:tc>
          <w:tcPr>
            <w:tcW w:w="1351" w:type="dxa"/>
            <w:vAlign w:val="center"/>
          </w:tcPr>
          <w:p>
            <w:pPr>
              <w:widowControl w:val="0"/>
              <w:jc w:val="center"/>
            </w:pPr>
            <w:r>
              <w:t>150</w:t>
            </w:r>
          </w:p>
        </w:tc>
        <w:tc>
          <w:tcPr>
            <w:tcW w:w="1330" w:type="dxa"/>
            <w:vAlign w:val="center"/>
          </w:tcPr>
          <w:p>
            <w:pPr>
              <w:widowControl w:val="0"/>
              <w:jc w:val="center"/>
            </w:pPr>
            <w:r>
              <w:t>–</w:t>
            </w:r>
          </w:p>
        </w:tc>
        <w:tc>
          <w:tcPr>
            <w:tcW w:w="1280" w:type="dxa"/>
            <w:vAlign w:val="center"/>
          </w:tcPr>
          <w:p>
            <w:pPr>
              <w:widowControl w:val="0"/>
              <w:jc w:val="center"/>
            </w:pPr>
            <w:r>
              <w:t>435</w:t>
            </w:r>
          </w:p>
        </w:tc>
        <w:tc>
          <w:tcPr>
            <w:tcW w:w="1280" w:type="dxa"/>
            <w:vAlign w:val="center"/>
          </w:tcPr>
          <w:p>
            <w:pPr>
              <w:widowControl w:val="0"/>
              <w:jc w:val="center"/>
            </w:pPr>
            <w:r>
              <w:t>385</w:t>
            </w:r>
          </w:p>
        </w:tc>
        <w:tc>
          <w:tcPr>
            <w:tcW w:w="1280" w:type="dxa"/>
            <w:vAlign w:val="center"/>
          </w:tcPr>
          <w:p>
            <w:pPr>
              <w:widowControl w:val="0"/>
              <w:jc w:val="center"/>
            </w:pPr>
            <w:r>
              <w:t>345</w:t>
            </w:r>
          </w:p>
        </w:tc>
      </w:tr>
      <w:tr>
        <w:trPr>
          <w:cantSplit/>
        </w:trPr>
        <w:tc>
          <w:tcPr>
            <w:tcW w:w="1351" w:type="dxa"/>
            <w:vAlign w:val="center"/>
          </w:tcPr>
          <w:p>
            <w:pPr>
              <w:widowControl w:val="0"/>
              <w:jc w:val="center"/>
            </w:pPr>
            <w:r>
              <w:t>185</w:t>
            </w:r>
          </w:p>
        </w:tc>
        <w:tc>
          <w:tcPr>
            <w:tcW w:w="1330" w:type="dxa"/>
            <w:vAlign w:val="center"/>
          </w:tcPr>
          <w:p>
            <w:pPr>
              <w:widowControl w:val="0"/>
              <w:jc w:val="center"/>
            </w:pPr>
            <w:r>
              <w:t>–</w:t>
            </w:r>
          </w:p>
        </w:tc>
        <w:tc>
          <w:tcPr>
            <w:tcW w:w="1280" w:type="dxa"/>
            <w:vAlign w:val="center"/>
          </w:tcPr>
          <w:p>
            <w:pPr>
              <w:widowControl w:val="0"/>
              <w:jc w:val="center"/>
            </w:pPr>
            <w:r>
              <w:t>475</w:t>
            </w:r>
          </w:p>
        </w:tc>
        <w:tc>
          <w:tcPr>
            <w:tcW w:w="1280" w:type="dxa"/>
            <w:vAlign w:val="center"/>
          </w:tcPr>
          <w:p>
            <w:pPr>
              <w:widowControl w:val="0"/>
              <w:jc w:val="center"/>
            </w:pPr>
            <w:r>
              <w:t>420</w:t>
            </w:r>
          </w:p>
        </w:tc>
        <w:tc>
          <w:tcPr>
            <w:tcW w:w="1280" w:type="dxa"/>
            <w:vAlign w:val="center"/>
          </w:tcPr>
          <w:p>
            <w:pPr>
              <w:widowControl w:val="0"/>
              <w:jc w:val="center"/>
            </w:pPr>
            <w:r>
              <w:t>390</w:t>
            </w:r>
          </w:p>
        </w:tc>
      </w:tr>
      <w:tr>
        <w:trPr>
          <w:cantSplit/>
        </w:trPr>
        <w:tc>
          <w:tcPr>
            <w:tcW w:w="1351" w:type="dxa"/>
            <w:vAlign w:val="center"/>
          </w:tcPr>
          <w:p>
            <w:pPr>
              <w:widowControl w:val="0"/>
              <w:jc w:val="center"/>
            </w:pPr>
            <w:r>
              <w:t>240</w:t>
            </w:r>
          </w:p>
        </w:tc>
        <w:tc>
          <w:tcPr>
            <w:tcW w:w="1330" w:type="dxa"/>
            <w:vAlign w:val="center"/>
          </w:tcPr>
          <w:p>
            <w:pPr>
              <w:widowControl w:val="0"/>
              <w:jc w:val="center"/>
            </w:pPr>
            <w:r>
              <w:t>–</w:t>
            </w:r>
          </w:p>
        </w:tc>
        <w:tc>
          <w:tcPr>
            <w:tcW w:w="1280" w:type="dxa"/>
            <w:vAlign w:val="center"/>
          </w:tcPr>
          <w:p>
            <w:pPr>
              <w:widowControl w:val="0"/>
              <w:jc w:val="center"/>
            </w:pPr>
            <w:r>
              <w:t>550</w:t>
            </w:r>
          </w:p>
        </w:tc>
        <w:tc>
          <w:tcPr>
            <w:tcW w:w="1280" w:type="dxa"/>
            <w:vAlign w:val="center"/>
          </w:tcPr>
          <w:p>
            <w:pPr>
              <w:widowControl w:val="0"/>
              <w:jc w:val="center"/>
            </w:pPr>
            <w:r>
              <w:t>480</w:t>
            </w:r>
          </w:p>
        </w:tc>
        <w:tc>
          <w:tcPr>
            <w:tcW w:w="1280" w:type="dxa"/>
            <w:vAlign w:val="center"/>
          </w:tcPr>
          <w:p>
            <w:pPr>
              <w:widowControl w:val="0"/>
              <w:jc w:val="center"/>
            </w:pPr>
            <w:r>
              <w:t>450</w:t>
            </w:r>
          </w:p>
        </w:tc>
      </w:tr>
    </w:tbl>
    <w:p>
      <w:pPr>
        <w:widowControl w:val="0"/>
        <w:jc w:val="both"/>
        <w:rPr>
          <w:iCs/>
        </w:rPr>
      </w:pPr>
    </w:p>
    <w:p>
      <w:pPr>
        <w:widowControl w:val="0"/>
        <w:ind w:firstLine="567"/>
        <w:jc w:val="both"/>
        <w:rPr>
          <w:b/>
          <w:bCs/>
        </w:rPr>
      </w:pPr>
      <w:r>
        <w:rPr>
          <w:b/>
          <w:bCs/>
        </w:rPr>
        <w:t>18 lentelė. Ore tiesiamų iki 10 kV įtampos aliumininių kabelių švininiu arba aliumininiu apvalkalu, netakia mase arba alyvos kanifolijos mišiniu įmirkyta popierine izoliacija leistinoji ilgalaikė srovė</w:t>
      </w:r>
    </w:p>
    <w:p>
      <w:pPr>
        <w:widowControl w:val="0"/>
        <w:ind w:firstLine="567"/>
        <w:jc w:val="both"/>
      </w:pPr>
    </w:p>
    <w:p>
      <w:pPr>
        <w:widowControl w:val="0"/>
        <w:ind w:firstLine="567"/>
        <w:jc w:val="both"/>
      </w:pPr>
      <w:r>
        <w:t xml:space="preserve">Temperatūra: kabelių – pagal Taisyklių 68 punktą, oro +25 </w:t>
      </w:r>
      <w:r>
        <w:rPr>
          <w:vertAlign w:val="superscript"/>
        </w:rPr>
        <w:t>o</w:t>
      </w:r>
      <w:r>
        <w:t>C.</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5"/>
        <w:gridCol w:w="1276"/>
        <w:gridCol w:w="1276"/>
        <w:gridCol w:w="1277"/>
        <w:gridCol w:w="1302"/>
        <w:gridCol w:w="1302"/>
        <w:gridCol w:w="1302"/>
      </w:tblGrid>
      <w:tr>
        <w:trPr>
          <w:cantSplit/>
          <w:trHeight w:val="20"/>
          <w:tblHeader/>
        </w:trPr>
        <w:tc>
          <w:tcPr>
            <w:tcW w:w="1214" w:type="dxa"/>
            <w:vMerge w:val="restart"/>
            <w:vAlign w:val="center"/>
          </w:tcPr>
          <w:p>
            <w:pPr>
              <w:widowControl w:val="0"/>
              <w:jc w:val="center"/>
            </w:pPr>
            <w:r>
              <w:t>Kabelio skerspjūvis,</w:t>
            </w:r>
          </w:p>
          <w:p>
            <w:pPr>
              <w:widowControl w:val="0"/>
              <w:jc w:val="center"/>
            </w:pPr>
            <w:r>
              <w:t>mm</w:t>
            </w:r>
            <w:r>
              <w:rPr>
                <w:vertAlign w:val="superscript"/>
              </w:rPr>
              <w:t>2</w:t>
            </w:r>
          </w:p>
        </w:tc>
        <w:tc>
          <w:tcPr>
            <w:tcW w:w="7039" w:type="dxa"/>
            <w:gridSpan w:val="6"/>
            <w:vAlign w:val="center"/>
          </w:tcPr>
          <w:p>
            <w:pPr>
              <w:widowControl w:val="0"/>
              <w:jc w:val="center"/>
            </w:pPr>
            <w:r>
              <w:t>Kabelių leistinoji ilgalaikė srovė, A</w:t>
            </w:r>
          </w:p>
        </w:tc>
      </w:tr>
      <w:tr>
        <w:trPr>
          <w:cantSplit/>
          <w:trHeight w:val="20"/>
          <w:tblHeader/>
        </w:trPr>
        <w:tc>
          <w:tcPr>
            <w:tcW w:w="1214" w:type="dxa"/>
            <w:vMerge/>
            <w:vAlign w:val="center"/>
          </w:tcPr>
          <w:p>
            <w:pPr>
              <w:widowControl w:val="0"/>
              <w:jc w:val="center"/>
            </w:pPr>
          </w:p>
        </w:tc>
        <w:tc>
          <w:tcPr>
            <w:tcW w:w="1161" w:type="dxa"/>
            <w:vMerge w:val="restart"/>
            <w:vAlign w:val="center"/>
          </w:tcPr>
          <w:p>
            <w:pPr>
              <w:widowControl w:val="0"/>
              <w:jc w:val="center"/>
            </w:pPr>
            <w:r>
              <w:t>viengyslių</w:t>
            </w:r>
          </w:p>
          <w:p>
            <w:pPr>
              <w:widowControl w:val="0"/>
              <w:jc w:val="center"/>
            </w:pPr>
            <w:r>
              <w:t>iki 1 kV</w:t>
            </w:r>
          </w:p>
        </w:tc>
        <w:tc>
          <w:tcPr>
            <w:tcW w:w="1161" w:type="dxa"/>
            <w:vMerge w:val="restart"/>
            <w:vAlign w:val="center"/>
          </w:tcPr>
          <w:p>
            <w:pPr>
              <w:widowControl w:val="0"/>
              <w:jc w:val="center"/>
            </w:pPr>
            <w:r>
              <w:t>dvigyslių</w:t>
            </w:r>
          </w:p>
          <w:p>
            <w:pPr>
              <w:widowControl w:val="0"/>
              <w:jc w:val="center"/>
            </w:pPr>
            <w:r>
              <w:t>iki 1 kV</w:t>
            </w:r>
          </w:p>
        </w:tc>
        <w:tc>
          <w:tcPr>
            <w:tcW w:w="1162" w:type="dxa"/>
            <w:vMerge w:val="restart"/>
            <w:vAlign w:val="center"/>
          </w:tcPr>
          <w:p>
            <w:pPr>
              <w:widowControl w:val="0"/>
              <w:jc w:val="center"/>
            </w:pPr>
            <w:r>
              <w:t>keturgyslių</w:t>
            </w:r>
          </w:p>
          <w:p>
            <w:pPr>
              <w:widowControl w:val="0"/>
              <w:jc w:val="center"/>
            </w:pPr>
            <w:r>
              <w:t>iki 1 kV</w:t>
            </w:r>
          </w:p>
        </w:tc>
        <w:tc>
          <w:tcPr>
            <w:tcW w:w="3555" w:type="dxa"/>
            <w:gridSpan w:val="3"/>
            <w:vAlign w:val="center"/>
          </w:tcPr>
          <w:p>
            <w:pPr>
              <w:widowControl w:val="0"/>
              <w:jc w:val="center"/>
            </w:pPr>
            <w:r>
              <w:t>trigyslių</w:t>
            </w:r>
          </w:p>
        </w:tc>
      </w:tr>
      <w:tr>
        <w:trPr>
          <w:cantSplit/>
          <w:trHeight w:val="20"/>
          <w:tblHeader/>
        </w:trPr>
        <w:tc>
          <w:tcPr>
            <w:tcW w:w="1214" w:type="dxa"/>
            <w:vMerge/>
            <w:vAlign w:val="center"/>
          </w:tcPr>
          <w:p>
            <w:pPr>
              <w:widowControl w:val="0"/>
              <w:jc w:val="center"/>
            </w:pPr>
          </w:p>
        </w:tc>
        <w:tc>
          <w:tcPr>
            <w:tcW w:w="1161" w:type="dxa"/>
            <w:vMerge/>
            <w:vAlign w:val="center"/>
          </w:tcPr>
          <w:p>
            <w:pPr>
              <w:widowControl w:val="0"/>
              <w:jc w:val="center"/>
            </w:pPr>
          </w:p>
        </w:tc>
        <w:tc>
          <w:tcPr>
            <w:tcW w:w="1161" w:type="dxa"/>
            <w:vMerge/>
            <w:vAlign w:val="center"/>
          </w:tcPr>
          <w:p>
            <w:pPr>
              <w:widowControl w:val="0"/>
              <w:jc w:val="center"/>
            </w:pPr>
          </w:p>
        </w:tc>
        <w:tc>
          <w:tcPr>
            <w:tcW w:w="1162" w:type="dxa"/>
            <w:vMerge/>
            <w:vAlign w:val="center"/>
          </w:tcPr>
          <w:p>
            <w:pPr>
              <w:widowControl w:val="0"/>
              <w:jc w:val="center"/>
            </w:pPr>
          </w:p>
        </w:tc>
        <w:tc>
          <w:tcPr>
            <w:tcW w:w="1185" w:type="dxa"/>
            <w:vAlign w:val="center"/>
          </w:tcPr>
          <w:p>
            <w:pPr>
              <w:widowControl w:val="0"/>
              <w:jc w:val="center"/>
            </w:pPr>
            <w:r>
              <w:t>3 kV</w:t>
            </w:r>
          </w:p>
        </w:tc>
        <w:tc>
          <w:tcPr>
            <w:tcW w:w="1185" w:type="dxa"/>
            <w:vAlign w:val="center"/>
          </w:tcPr>
          <w:p>
            <w:pPr>
              <w:widowControl w:val="0"/>
              <w:jc w:val="center"/>
            </w:pPr>
            <w:r>
              <w:t>6 kV</w:t>
            </w:r>
          </w:p>
        </w:tc>
        <w:tc>
          <w:tcPr>
            <w:tcW w:w="1185" w:type="dxa"/>
            <w:vAlign w:val="center"/>
          </w:tcPr>
          <w:p>
            <w:pPr>
              <w:widowControl w:val="0"/>
              <w:jc w:val="center"/>
            </w:pPr>
            <w:r>
              <w:t>10 kV</w:t>
            </w:r>
          </w:p>
        </w:tc>
      </w:tr>
      <w:tr>
        <w:trPr>
          <w:cantSplit/>
          <w:trHeight w:val="20"/>
        </w:trPr>
        <w:tc>
          <w:tcPr>
            <w:tcW w:w="1214" w:type="dxa"/>
            <w:vAlign w:val="center"/>
          </w:tcPr>
          <w:p>
            <w:pPr>
              <w:widowControl w:val="0"/>
              <w:jc w:val="center"/>
            </w:pPr>
            <w:r>
              <w:t>6</w:t>
            </w:r>
          </w:p>
        </w:tc>
        <w:tc>
          <w:tcPr>
            <w:tcW w:w="1161" w:type="dxa"/>
            <w:vAlign w:val="center"/>
          </w:tcPr>
          <w:p>
            <w:pPr>
              <w:widowControl w:val="0"/>
              <w:jc w:val="center"/>
            </w:pPr>
            <w:r>
              <w:t>–</w:t>
            </w:r>
          </w:p>
        </w:tc>
        <w:tc>
          <w:tcPr>
            <w:tcW w:w="1161" w:type="dxa"/>
            <w:vAlign w:val="center"/>
          </w:tcPr>
          <w:p>
            <w:pPr>
              <w:widowControl w:val="0"/>
              <w:jc w:val="center"/>
            </w:pPr>
            <w:r>
              <w:t>42</w:t>
            </w:r>
          </w:p>
        </w:tc>
        <w:tc>
          <w:tcPr>
            <w:tcW w:w="1162" w:type="dxa"/>
            <w:vAlign w:val="center"/>
          </w:tcPr>
          <w:p>
            <w:pPr>
              <w:widowControl w:val="0"/>
              <w:jc w:val="center"/>
            </w:pPr>
            <w:r>
              <w:t>–</w:t>
            </w:r>
          </w:p>
        </w:tc>
        <w:tc>
          <w:tcPr>
            <w:tcW w:w="1185" w:type="dxa"/>
            <w:vAlign w:val="center"/>
          </w:tcPr>
          <w:p>
            <w:pPr>
              <w:widowControl w:val="0"/>
              <w:jc w:val="center"/>
            </w:pPr>
            <w:r>
              <w:t>35</w:t>
            </w:r>
          </w:p>
        </w:tc>
        <w:tc>
          <w:tcPr>
            <w:tcW w:w="1185" w:type="dxa"/>
            <w:vAlign w:val="center"/>
          </w:tcPr>
          <w:p>
            <w:pPr>
              <w:widowControl w:val="0"/>
              <w:jc w:val="center"/>
            </w:pPr>
            <w:r>
              <w:t>–</w:t>
            </w:r>
          </w:p>
        </w:tc>
        <w:tc>
          <w:tcPr>
            <w:tcW w:w="1185" w:type="dxa"/>
            <w:vAlign w:val="center"/>
          </w:tcPr>
          <w:p>
            <w:pPr>
              <w:widowControl w:val="0"/>
              <w:jc w:val="center"/>
            </w:pPr>
            <w:r>
              <w:t>–</w:t>
            </w:r>
          </w:p>
        </w:tc>
      </w:tr>
      <w:tr>
        <w:trPr>
          <w:cantSplit/>
          <w:trHeight w:val="20"/>
        </w:trPr>
        <w:tc>
          <w:tcPr>
            <w:tcW w:w="1214" w:type="dxa"/>
            <w:vAlign w:val="center"/>
          </w:tcPr>
          <w:p>
            <w:pPr>
              <w:widowControl w:val="0"/>
              <w:jc w:val="center"/>
            </w:pPr>
            <w:r>
              <w:t>10</w:t>
            </w:r>
          </w:p>
        </w:tc>
        <w:tc>
          <w:tcPr>
            <w:tcW w:w="1161" w:type="dxa"/>
            <w:vAlign w:val="center"/>
          </w:tcPr>
          <w:p>
            <w:pPr>
              <w:widowControl w:val="0"/>
              <w:jc w:val="center"/>
            </w:pPr>
            <w:r>
              <w:t>75</w:t>
            </w:r>
          </w:p>
        </w:tc>
        <w:tc>
          <w:tcPr>
            <w:tcW w:w="1161" w:type="dxa"/>
            <w:vAlign w:val="center"/>
          </w:tcPr>
          <w:p>
            <w:pPr>
              <w:widowControl w:val="0"/>
              <w:jc w:val="center"/>
            </w:pPr>
            <w:r>
              <w:t>55</w:t>
            </w:r>
          </w:p>
        </w:tc>
        <w:tc>
          <w:tcPr>
            <w:tcW w:w="1162" w:type="dxa"/>
            <w:vAlign w:val="center"/>
          </w:tcPr>
          <w:p>
            <w:pPr>
              <w:widowControl w:val="0"/>
              <w:jc w:val="center"/>
            </w:pPr>
            <w:r>
              <w:t>45</w:t>
            </w:r>
          </w:p>
        </w:tc>
        <w:tc>
          <w:tcPr>
            <w:tcW w:w="1185" w:type="dxa"/>
            <w:vAlign w:val="center"/>
          </w:tcPr>
          <w:p>
            <w:pPr>
              <w:widowControl w:val="0"/>
              <w:jc w:val="center"/>
            </w:pPr>
            <w:r>
              <w:t>46</w:t>
            </w:r>
          </w:p>
        </w:tc>
        <w:tc>
          <w:tcPr>
            <w:tcW w:w="1185" w:type="dxa"/>
            <w:vAlign w:val="center"/>
          </w:tcPr>
          <w:p>
            <w:pPr>
              <w:widowControl w:val="0"/>
              <w:jc w:val="center"/>
            </w:pPr>
            <w:r>
              <w:t>42</w:t>
            </w:r>
          </w:p>
        </w:tc>
        <w:tc>
          <w:tcPr>
            <w:tcW w:w="1185" w:type="dxa"/>
            <w:vAlign w:val="center"/>
          </w:tcPr>
          <w:p>
            <w:pPr>
              <w:widowControl w:val="0"/>
              <w:jc w:val="center"/>
            </w:pPr>
            <w:r>
              <w:t>–</w:t>
            </w:r>
          </w:p>
        </w:tc>
      </w:tr>
      <w:tr>
        <w:trPr>
          <w:cantSplit/>
          <w:trHeight w:val="20"/>
        </w:trPr>
        <w:tc>
          <w:tcPr>
            <w:tcW w:w="1214" w:type="dxa"/>
            <w:vAlign w:val="center"/>
          </w:tcPr>
          <w:p>
            <w:pPr>
              <w:widowControl w:val="0"/>
              <w:jc w:val="center"/>
            </w:pPr>
            <w:r>
              <w:t>16</w:t>
            </w:r>
          </w:p>
        </w:tc>
        <w:tc>
          <w:tcPr>
            <w:tcW w:w="1161" w:type="dxa"/>
            <w:vAlign w:val="center"/>
          </w:tcPr>
          <w:p>
            <w:pPr>
              <w:widowControl w:val="0"/>
              <w:jc w:val="center"/>
            </w:pPr>
            <w:r>
              <w:t>90</w:t>
            </w:r>
          </w:p>
        </w:tc>
        <w:tc>
          <w:tcPr>
            <w:tcW w:w="1161" w:type="dxa"/>
            <w:vAlign w:val="center"/>
          </w:tcPr>
          <w:p>
            <w:pPr>
              <w:widowControl w:val="0"/>
              <w:jc w:val="center"/>
            </w:pPr>
            <w:r>
              <w:t>75</w:t>
            </w:r>
          </w:p>
        </w:tc>
        <w:tc>
          <w:tcPr>
            <w:tcW w:w="1162" w:type="dxa"/>
            <w:vAlign w:val="center"/>
          </w:tcPr>
          <w:p>
            <w:pPr>
              <w:widowControl w:val="0"/>
              <w:jc w:val="center"/>
            </w:pPr>
            <w:r>
              <w:t>60</w:t>
            </w:r>
          </w:p>
        </w:tc>
        <w:tc>
          <w:tcPr>
            <w:tcW w:w="1185" w:type="dxa"/>
            <w:vAlign w:val="center"/>
          </w:tcPr>
          <w:p>
            <w:pPr>
              <w:widowControl w:val="0"/>
              <w:jc w:val="center"/>
            </w:pPr>
            <w:r>
              <w:t>60</w:t>
            </w:r>
          </w:p>
        </w:tc>
        <w:tc>
          <w:tcPr>
            <w:tcW w:w="1185" w:type="dxa"/>
            <w:vAlign w:val="center"/>
          </w:tcPr>
          <w:p>
            <w:pPr>
              <w:widowControl w:val="0"/>
              <w:jc w:val="center"/>
            </w:pPr>
            <w:r>
              <w:t>50</w:t>
            </w:r>
          </w:p>
        </w:tc>
        <w:tc>
          <w:tcPr>
            <w:tcW w:w="1185" w:type="dxa"/>
            <w:vAlign w:val="center"/>
          </w:tcPr>
          <w:p>
            <w:pPr>
              <w:widowControl w:val="0"/>
              <w:jc w:val="center"/>
            </w:pPr>
            <w:r>
              <w:t>46</w:t>
            </w:r>
          </w:p>
        </w:tc>
      </w:tr>
      <w:tr>
        <w:trPr>
          <w:cantSplit/>
          <w:trHeight w:val="20"/>
        </w:trPr>
        <w:tc>
          <w:tcPr>
            <w:tcW w:w="1214" w:type="dxa"/>
            <w:vAlign w:val="center"/>
          </w:tcPr>
          <w:p>
            <w:pPr>
              <w:widowControl w:val="0"/>
              <w:jc w:val="center"/>
            </w:pPr>
            <w:r>
              <w:t>25</w:t>
            </w:r>
          </w:p>
        </w:tc>
        <w:tc>
          <w:tcPr>
            <w:tcW w:w="1161" w:type="dxa"/>
            <w:vAlign w:val="center"/>
          </w:tcPr>
          <w:p>
            <w:pPr>
              <w:widowControl w:val="0"/>
              <w:jc w:val="center"/>
            </w:pPr>
            <w:r>
              <w:t>125</w:t>
            </w:r>
          </w:p>
        </w:tc>
        <w:tc>
          <w:tcPr>
            <w:tcW w:w="1161" w:type="dxa"/>
            <w:vAlign w:val="center"/>
          </w:tcPr>
          <w:p>
            <w:pPr>
              <w:widowControl w:val="0"/>
              <w:jc w:val="center"/>
            </w:pPr>
            <w:r>
              <w:t>100</w:t>
            </w:r>
          </w:p>
        </w:tc>
        <w:tc>
          <w:tcPr>
            <w:tcW w:w="1162" w:type="dxa"/>
            <w:vAlign w:val="center"/>
          </w:tcPr>
          <w:p>
            <w:pPr>
              <w:widowControl w:val="0"/>
              <w:jc w:val="center"/>
            </w:pPr>
            <w:r>
              <w:t>75</w:t>
            </w:r>
          </w:p>
        </w:tc>
        <w:tc>
          <w:tcPr>
            <w:tcW w:w="1185" w:type="dxa"/>
            <w:vAlign w:val="center"/>
          </w:tcPr>
          <w:p>
            <w:pPr>
              <w:widowControl w:val="0"/>
              <w:jc w:val="center"/>
            </w:pPr>
            <w:r>
              <w:t>80</w:t>
            </w:r>
          </w:p>
        </w:tc>
        <w:tc>
          <w:tcPr>
            <w:tcW w:w="1185" w:type="dxa"/>
            <w:vAlign w:val="center"/>
          </w:tcPr>
          <w:p>
            <w:pPr>
              <w:widowControl w:val="0"/>
              <w:jc w:val="center"/>
            </w:pPr>
            <w:r>
              <w:t>70</w:t>
            </w:r>
          </w:p>
        </w:tc>
        <w:tc>
          <w:tcPr>
            <w:tcW w:w="1185" w:type="dxa"/>
            <w:vAlign w:val="center"/>
          </w:tcPr>
          <w:p>
            <w:pPr>
              <w:widowControl w:val="0"/>
              <w:jc w:val="center"/>
            </w:pPr>
            <w:r>
              <w:t>65</w:t>
            </w:r>
          </w:p>
        </w:tc>
      </w:tr>
      <w:tr>
        <w:trPr>
          <w:cantSplit/>
          <w:trHeight w:val="20"/>
        </w:trPr>
        <w:tc>
          <w:tcPr>
            <w:tcW w:w="1214" w:type="dxa"/>
            <w:vAlign w:val="center"/>
          </w:tcPr>
          <w:p>
            <w:pPr>
              <w:widowControl w:val="0"/>
              <w:jc w:val="center"/>
            </w:pPr>
            <w:r>
              <w:t>35</w:t>
            </w:r>
          </w:p>
        </w:tc>
        <w:tc>
          <w:tcPr>
            <w:tcW w:w="1161" w:type="dxa"/>
            <w:vAlign w:val="center"/>
          </w:tcPr>
          <w:p>
            <w:pPr>
              <w:widowControl w:val="0"/>
              <w:jc w:val="center"/>
            </w:pPr>
            <w:r>
              <w:t>155</w:t>
            </w:r>
          </w:p>
        </w:tc>
        <w:tc>
          <w:tcPr>
            <w:tcW w:w="1161" w:type="dxa"/>
            <w:vAlign w:val="center"/>
          </w:tcPr>
          <w:p>
            <w:pPr>
              <w:widowControl w:val="0"/>
              <w:jc w:val="center"/>
            </w:pPr>
            <w:r>
              <w:t>115</w:t>
            </w:r>
          </w:p>
        </w:tc>
        <w:tc>
          <w:tcPr>
            <w:tcW w:w="1162" w:type="dxa"/>
            <w:vAlign w:val="center"/>
          </w:tcPr>
          <w:p>
            <w:pPr>
              <w:widowControl w:val="0"/>
              <w:jc w:val="center"/>
            </w:pPr>
            <w:r>
              <w:t>95</w:t>
            </w:r>
          </w:p>
        </w:tc>
        <w:tc>
          <w:tcPr>
            <w:tcW w:w="1185" w:type="dxa"/>
            <w:vAlign w:val="center"/>
          </w:tcPr>
          <w:p>
            <w:pPr>
              <w:widowControl w:val="0"/>
              <w:jc w:val="center"/>
            </w:pPr>
            <w:r>
              <w:t>95</w:t>
            </w:r>
          </w:p>
        </w:tc>
        <w:tc>
          <w:tcPr>
            <w:tcW w:w="1185" w:type="dxa"/>
            <w:vAlign w:val="center"/>
          </w:tcPr>
          <w:p>
            <w:pPr>
              <w:widowControl w:val="0"/>
              <w:jc w:val="center"/>
            </w:pPr>
            <w:r>
              <w:t>85</w:t>
            </w:r>
          </w:p>
        </w:tc>
        <w:tc>
          <w:tcPr>
            <w:tcW w:w="1185" w:type="dxa"/>
            <w:vAlign w:val="center"/>
          </w:tcPr>
          <w:p>
            <w:pPr>
              <w:widowControl w:val="0"/>
              <w:jc w:val="center"/>
            </w:pPr>
            <w:r>
              <w:t>80</w:t>
            </w:r>
          </w:p>
        </w:tc>
      </w:tr>
      <w:tr>
        <w:trPr>
          <w:cantSplit/>
          <w:trHeight w:val="20"/>
        </w:trPr>
        <w:tc>
          <w:tcPr>
            <w:tcW w:w="1214" w:type="dxa"/>
            <w:vAlign w:val="center"/>
          </w:tcPr>
          <w:p>
            <w:pPr>
              <w:widowControl w:val="0"/>
              <w:jc w:val="center"/>
            </w:pPr>
            <w:r>
              <w:t>50</w:t>
            </w:r>
          </w:p>
        </w:tc>
        <w:tc>
          <w:tcPr>
            <w:tcW w:w="1161" w:type="dxa"/>
            <w:vAlign w:val="center"/>
          </w:tcPr>
          <w:p>
            <w:pPr>
              <w:widowControl w:val="0"/>
              <w:jc w:val="center"/>
            </w:pPr>
            <w:r>
              <w:t>190</w:t>
            </w:r>
          </w:p>
        </w:tc>
        <w:tc>
          <w:tcPr>
            <w:tcW w:w="1161" w:type="dxa"/>
            <w:vAlign w:val="center"/>
          </w:tcPr>
          <w:p>
            <w:pPr>
              <w:widowControl w:val="0"/>
              <w:jc w:val="center"/>
            </w:pPr>
            <w:r>
              <w:t>140</w:t>
            </w:r>
          </w:p>
        </w:tc>
        <w:tc>
          <w:tcPr>
            <w:tcW w:w="1162" w:type="dxa"/>
            <w:vAlign w:val="center"/>
          </w:tcPr>
          <w:p>
            <w:pPr>
              <w:widowControl w:val="0"/>
              <w:jc w:val="center"/>
            </w:pPr>
            <w:r>
              <w:t>110</w:t>
            </w:r>
          </w:p>
        </w:tc>
        <w:tc>
          <w:tcPr>
            <w:tcW w:w="1185" w:type="dxa"/>
            <w:vAlign w:val="center"/>
          </w:tcPr>
          <w:p>
            <w:pPr>
              <w:widowControl w:val="0"/>
              <w:jc w:val="center"/>
            </w:pPr>
            <w:r>
              <w:t>120</w:t>
            </w:r>
          </w:p>
        </w:tc>
        <w:tc>
          <w:tcPr>
            <w:tcW w:w="1185" w:type="dxa"/>
            <w:vAlign w:val="center"/>
          </w:tcPr>
          <w:p>
            <w:pPr>
              <w:widowControl w:val="0"/>
              <w:jc w:val="center"/>
            </w:pPr>
            <w:r>
              <w:t>110</w:t>
            </w:r>
          </w:p>
        </w:tc>
        <w:tc>
          <w:tcPr>
            <w:tcW w:w="1185" w:type="dxa"/>
            <w:vAlign w:val="center"/>
          </w:tcPr>
          <w:p>
            <w:pPr>
              <w:widowControl w:val="0"/>
              <w:jc w:val="center"/>
            </w:pPr>
            <w:r>
              <w:t>105</w:t>
            </w:r>
          </w:p>
        </w:tc>
      </w:tr>
      <w:tr>
        <w:trPr>
          <w:cantSplit/>
          <w:trHeight w:val="20"/>
        </w:trPr>
        <w:tc>
          <w:tcPr>
            <w:tcW w:w="1214" w:type="dxa"/>
            <w:vAlign w:val="center"/>
          </w:tcPr>
          <w:p>
            <w:pPr>
              <w:widowControl w:val="0"/>
              <w:jc w:val="center"/>
            </w:pPr>
            <w:r>
              <w:t>70</w:t>
            </w:r>
          </w:p>
        </w:tc>
        <w:tc>
          <w:tcPr>
            <w:tcW w:w="1161" w:type="dxa"/>
            <w:vAlign w:val="center"/>
          </w:tcPr>
          <w:p>
            <w:pPr>
              <w:widowControl w:val="0"/>
              <w:jc w:val="center"/>
            </w:pPr>
            <w:r>
              <w:t>235</w:t>
            </w:r>
          </w:p>
        </w:tc>
        <w:tc>
          <w:tcPr>
            <w:tcW w:w="1161" w:type="dxa"/>
            <w:vAlign w:val="center"/>
          </w:tcPr>
          <w:p>
            <w:pPr>
              <w:widowControl w:val="0"/>
              <w:jc w:val="center"/>
            </w:pPr>
            <w:r>
              <w:t>175</w:t>
            </w:r>
          </w:p>
        </w:tc>
        <w:tc>
          <w:tcPr>
            <w:tcW w:w="1162" w:type="dxa"/>
            <w:vAlign w:val="center"/>
          </w:tcPr>
          <w:p>
            <w:pPr>
              <w:widowControl w:val="0"/>
              <w:jc w:val="center"/>
            </w:pPr>
            <w:r>
              <w:t>140</w:t>
            </w:r>
          </w:p>
        </w:tc>
        <w:tc>
          <w:tcPr>
            <w:tcW w:w="1185" w:type="dxa"/>
            <w:vAlign w:val="center"/>
          </w:tcPr>
          <w:p>
            <w:pPr>
              <w:widowControl w:val="0"/>
              <w:jc w:val="center"/>
            </w:pPr>
            <w:r>
              <w:t>155</w:t>
            </w:r>
          </w:p>
        </w:tc>
        <w:tc>
          <w:tcPr>
            <w:tcW w:w="1185" w:type="dxa"/>
            <w:vAlign w:val="center"/>
          </w:tcPr>
          <w:p>
            <w:pPr>
              <w:widowControl w:val="0"/>
              <w:jc w:val="center"/>
            </w:pPr>
            <w:r>
              <w:t>135</w:t>
            </w:r>
          </w:p>
        </w:tc>
        <w:tc>
          <w:tcPr>
            <w:tcW w:w="1185" w:type="dxa"/>
            <w:vAlign w:val="center"/>
          </w:tcPr>
          <w:p>
            <w:pPr>
              <w:widowControl w:val="0"/>
              <w:jc w:val="center"/>
            </w:pPr>
            <w:r>
              <w:t>130</w:t>
            </w:r>
          </w:p>
        </w:tc>
      </w:tr>
      <w:tr>
        <w:trPr>
          <w:cantSplit/>
          <w:trHeight w:val="20"/>
        </w:trPr>
        <w:tc>
          <w:tcPr>
            <w:tcW w:w="1214" w:type="dxa"/>
            <w:vAlign w:val="center"/>
          </w:tcPr>
          <w:p>
            <w:pPr>
              <w:widowControl w:val="0"/>
              <w:jc w:val="center"/>
            </w:pPr>
            <w:r>
              <w:t>95</w:t>
            </w:r>
          </w:p>
        </w:tc>
        <w:tc>
          <w:tcPr>
            <w:tcW w:w="1161" w:type="dxa"/>
            <w:vAlign w:val="center"/>
          </w:tcPr>
          <w:p>
            <w:pPr>
              <w:widowControl w:val="0"/>
              <w:jc w:val="center"/>
            </w:pPr>
            <w:r>
              <w:t>275</w:t>
            </w:r>
          </w:p>
        </w:tc>
        <w:tc>
          <w:tcPr>
            <w:tcW w:w="1161" w:type="dxa"/>
            <w:vAlign w:val="center"/>
          </w:tcPr>
          <w:p>
            <w:pPr>
              <w:widowControl w:val="0"/>
              <w:jc w:val="center"/>
            </w:pPr>
            <w:r>
              <w:t>210</w:t>
            </w:r>
          </w:p>
        </w:tc>
        <w:tc>
          <w:tcPr>
            <w:tcW w:w="1162" w:type="dxa"/>
            <w:vAlign w:val="center"/>
          </w:tcPr>
          <w:p>
            <w:pPr>
              <w:widowControl w:val="0"/>
              <w:jc w:val="center"/>
            </w:pPr>
            <w:r>
              <w:t>165</w:t>
            </w:r>
          </w:p>
        </w:tc>
        <w:tc>
          <w:tcPr>
            <w:tcW w:w="1185" w:type="dxa"/>
            <w:vAlign w:val="center"/>
          </w:tcPr>
          <w:p>
            <w:pPr>
              <w:widowControl w:val="0"/>
              <w:jc w:val="center"/>
            </w:pPr>
            <w:r>
              <w:t>190</w:t>
            </w:r>
          </w:p>
        </w:tc>
        <w:tc>
          <w:tcPr>
            <w:tcW w:w="1185" w:type="dxa"/>
            <w:vAlign w:val="center"/>
          </w:tcPr>
          <w:p>
            <w:pPr>
              <w:widowControl w:val="0"/>
              <w:jc w:val="center"/>
            </w:pPr>
            <w:r>
              <w:t>165</w:t>
            </w:r>
          </w:p>
        </w:tc>
        <w:tc>
          <w:tcPr>
            <w:tcW w:w="1185" w:type="dxa"/>
            <w:vAlign w:val="center"/>
          </w:tcPr>
          <w:p>
            <w:pPr>
              <w:widowControl w:val="0"/>
              <w:jc w:val="center"/>
            </w:pPr>
            <w:r>
              <w:t>155</w:t>
            </w:r>
          </w:p>
        </w:tc>
      </w:tr>
      <w:tr>
        <w:trPr>
          <w:cantSplit/>
          <w:trHeight w:val="20"/>
        </w:trPr>
        <w:tc>
          <w:tcPr>
            <w:tcW w:w="1214" w:type="dxa"/>
            <w:vAlign w:val="center"/>
          </w:tcPr>
          <w:p>
            <w:pPr>
              <w:widowControl w:val="0"/>
              <w:jc w:val="center"/>
            </w:pPr>
            <w:r>
              <w:t>120</w:t>
            </w:r>
          </w:p>
        </w:tc>
        <w:tc>
          <w:tcPr>
            <w:tcW w:w="1161" w:type="dxa"/>
            <w:vAlign w:val="center"/>
          </w:tcPr>
          <w:p>
            <w:pPr>
              <w:widowControl w:val="0"/>
              <w:jc w:val="center"/>
            </w:pPr>
            <w:r>
              <w:t>320</w:t>
            </w:r>
          </w:p>
        </w:tc>
        <w:tc>
          <w:tcPr>
            <w:tcW w:w="1161" w:type="dxa"/>
            <w:vAlign w:val="center"/>
          </w:tcPr>
          <w:p>
            <w:pPr>
              <w:widowControl w:val="0"/>
              <w:jc w:val="center"/>
            </w:pPr>
            <w:r>
              <w:t>245</w:t>
            </w:r>
          </w:p>
        </w:tc>
        <w:tc>
          <w:tcPr>
            <w:tcW w:w="1162" w:type="dxa"/>
            <w:vAlign w:val="center"/>
          </w:tcPr>
          <w:p>
            <w:pPr>
              <w:widowControl w:val="0"/>
              <w:jc w:val="center"/>
            </w:pPr>
            <w:r>
              <w:t>200</w:t>
            </w:r>
          </w:p>
        </w:tc>
        <w:tc>
          <w:tcPr>
            <w:tcW w:w="1185" w:type="dxa"/>
            <w:vAlign w:val="center"/>
          </w:tcPr>
          <w:p>
            <w:pPr>
              <w:widowControl w:val="0"/>
              <w:jc w:val="center"/>
            </w:pPr>
            <w:r>
              <w:t>220</w:t>
            </w:r>
          </w:p>
        </w:tc>
        <w:tc>
          <w:tcPr>
            <w:tcW w:w="1185" w:type="dxa"/>
            <w:vAlign w:val="center"/>
          </w:tcPr>
          <w:p>
            <w:pPr>
              <w:widowControl w:val="0"/>
              <w:jc w:val="center"/>
            </w:pPr>
            <w:r>
              <w:t>190</w:t>
            </w:r>
          </w:p>
        </w:tc>
        <w:tc>
          <w:tcPr>
            <w:tcW w:w="1185" w:type="dxa"/>
            <w:vAlign w:val="center"/>
          </w:tcPr>
          <w:p>
            <w:pPr>
              <w:widowControl w:val="0"/>
              <w:jc w:val="center"/>
            </w:pPr>
            <w:r>
              <w:t>185</w:t>
            </w:r>
          </w:p>
        </w:tc>
      </w:tr>
      <w:tr>
        <w:trPr>
          <w:cantSplit/>
          <w:trHeight w:val="20"/>
        </w:trPr>
        <w:tc>
          <w:tcPr>
            <w:tcW w:w="1214" w:type="dxa"/>
            <w:vAlign w:val="center"/>
          </w:tcPr>
          <w:p>
            <w:pPr>
              <w:widowControl w:val="0"/>
              <w:jc w:val="center"/>
            </w:pPr>
            <w:r>
              <w:t>150</w:t>
            </w:r>
          </w:p>
        </w:tc>
        <w:tc>
          <w:tcPr>
            <w:tcW w:w="1161" w:type="dxa"/>
            <w:vAlign w:val="center"/>
          </w:tcPr>
          <w:p>
            <w:pPr>
              <w:widowControl w:val="0"/>
              <w:jc w:val="center"/>
            </w:pPr>
            <w:r>
              <w:t>360</w:t>
            </w:r>
          </w:p>
        </w:tc>
        <w:tc>
          <w:tcPr>
            <w:tcW w:w="1161" w:type="dxa"/>
            <w:vAlign w:val="center"/>
          </w:tcPr>
          <w:p>
            <w:pPr>
              <w:widowControl w:val="0"/>
              <w:jc w:val="center"/>
            </w:pPr>
            <w:r>
              <w:t>290</w:t>
            </w:r>
          </w:p>
        </w:tc>
        <w:tc>
          <w:tcPr>
            <w:tcW w:w="1162" w:type="dxa"/>
            <w:vAlign w:val="center"/>
          </w:tcPr>
          <w:p>
            <w:pPr>
              <w:widowControl w:val="0"/>
              <w:jc w:val="center"/>
            </w:pPr>
            <w:r>
              <w:t>230</w:t>
            </w:r>
          </w:p>
        </w:tc>
        <w:tc>
          <w:tcPr>
            <w:tcW w:w="1185" w:type="dxa"/>
            <w:vAlign w:val="center"/>
          </w:tcPr>
          <w:p>
            <w:pPr>
              <w:widowControl w:val="0"/>
              <w:jc w:val="center"/>
            </w:pPr>
            <w:r>
              <w:t>255</w:t>
            </w:r>
          </w:p>
        </w:tc>
        <w:tc>
          <w:tcPr>
            <w:tcW w:w="1185" w:type="dxa"/>
            <w:vAlign w:val="center"/>
          </w:tcPr>
          <w:p>
            <w:pPr>
              <w:widowControl w:val="0"/>
              <w:jc w:val="center"/>
            </w:pPr>
            <w:r>
              <w:t>225</w:t>
            </w:r>
          </w:p>
        </w:tc>
        <w:tc>
          <w:tcPr>
            <w:tcW w:w="1185" w:type="dxa"/>
            <w:vAlign w:val="center"/>
          </w:tcPr>
          <w:p>
            <w:pPr>
              <w:widowControl w:val="0"/>
              <w:jc w:val="center"/>
            </w:pPr>
            <w:r>
              <w:t>210</w:t>
            </w:r>
          </w:p>
        </w:tc>
      </w:tr>
      <w:tr>
        <w:trPr>
          <w:cantSplit/>
          <w:trHeight w:val="20"/>
        </w:trPr>
        <w:tc>
          <w:tcPr>
            <w:tcW w:w="1214" w:type="dxa"/>
            <w:vAlign w:val="center"/>
          </w:tcPr>
          <w:p>
            <w:pPr>
              <w:widowControl w:val="0"/>
              <w:jc w:val="center"/>
            </w:pPr>
            <w:r>
              <w:t>185</w:t>
            </w:r>
          </w:p>
        </w:tc>
        <w:tc>
          <w:tcPr>
            <w:tcW w:w="1161" w:type="dxa"/>
            <w:vAlign w:val="center"/>
          </w:tcPr>
          <w:p>
            <w:pPr>
              <w:widowControl w:val="0"/>
              <w:jc w:val="center"/>
            </w:pPr>
            <w:r>
              <w:t>405</w:t>
            </w:r>
          </w:p>
        </w:tc>
        <w:tc>
          <w:tcPr>
            <w:tcW w:w="1161" w:type="dxa"/>
            <w:vAlign w:val="center"/>
          </w:tcPr>
          <w:p>
            <w:pPr>
              <w:widowControl w:val="0"/>
              <w:jc w:val="center"/>
            </w:pPr>
            <w:r>
              <w:t>–</w:t>
            </w:r>
          </w:p>
        </w:tc>
        <w:tc>
          <w:tcPr>
            <w:tcW w:w="1162" w:type="dxa"/>
            <w:vAlign w:val="center"/>
          </w:tcPr>
          <w:p>
            <w:pPr>
              <w:widowControl w:val="0"/>
              <w:jc w:val="center"/>
            </w:pPr>
            <w:r>
              <w:t>260</w:t>
            </w:r>
          </w:p>
        </w:tc>
        <w:tc>
          <w:tcPr>
            <w:tcW w:w="1185" w:type="dxa"/>
            <w:vAlign w:val="center"/>
          </w:tcPr>
          <w:p>
            <w:pPr>
              <w:widowControl w:val="0"/>
              <w:jc w:val="center"/>
            </w:pPr>
            <w:r>
              <w:t>290</w:t>
            </w:r>
          </w:p>
        </w:tc>
        <w:tc>
          <w:tcPr>
            <w:tcW w:w="1185" w:type="dxa"/>
            <w:vAlign w:val="center"/>
          </w:tcPr>
          <w:p>
            <w:pPr>
              <w:widowControl w:val="0"/>
              <w:jc w:val="center"/>
            </w:pPr>
            <w:r>
              <w:t>250</w:t>
            </w:r>
          </w:p>
        </w:tc>
        <w:tc>
          <w:tcPr>
            <w:tcW w:w="1185" w:type="dxa"/>
            <w:vAlign w:val="center"/>
          </w:tcPr>
          <w:p>
            <w:pPr>
              <w:widowControl w:val="0"/>
              <w:jc w:val="center"/>
            </w:pPr>
            <w:r>
              <w:t>235</w:t>
            </w:r>
          </w:p>
        </w:tc>
      </w:tr>
      <w:tr>
        <w:trPr>
          <w:cantSplit/>
          <w:trHeight w:val="20"/>
        </w:trPr>
        <w:tc>
          <w:tcPr>
            <w:tcW w:w="1214" w:type="dxa"/>
            <w:vAlign w:val="center"/>
          </w:tcPr>
          <w:p>
            <w:pPr>
              <w:widowControl w:val="0"/>
              <w:jc w:val="center"/>
            </w:pPr>
            <w:r>
              <w:t>240</w:t>
            </w:r>
          </w:p>
        </w:tc>
        <w:tc>
          <w:tcPr>
            <w:tcW w:w="1161" w:type="dxa"/>
            <w:vAlign w:val="center"/>
          </w:tcPr>
          <w:p>
            <w:pPr>
              <w:widowControl w:val="0"/>
              <w:jc w:val="center"/>
            </w:pPr>
            <w:r>
              <w:t>470</w:t>
            </w:r>
          </w:p>
        </w:tc>
        <w:tc>
          <w:tcPr>
            <w:tcW w:w="1161" w:type="dxa"/>
            <w:vAlign w:val="center"/>
          </w:tcPr>
          <w:p>
            <w:pPr>
              <w:widowControl w:val="0"/>
              <w:jc w:val="center"/>
            </w:pPr>
            <w:r>
              <w:t>–</w:t>
            </w:r>
          </w:p>
        </w:tc>
        <w:tc>
          <w:tcPr>
            <w:tcW w:w="1162" w:type="dxa"/>
            <w:vAlign w:val="center"/>
          </w:tcPr>
          <w:p>
            <w:pPr>
              <w:widowControl w:val="0"/>
              <w:jc w:val="center"/>
            </w:pPr>
            <w:r>
              <w:t>–</w:t>
            </w:r>
          </w:p>
        </w:tc>
        <w:tc>
          <w:tcPr>
            <w:tcW w:w="1185" w:type="dxa"/>
            <w:vAlign w:val="center"/>
          </w:tcPr>
          <w:p>
            <w:pPr>
              <w:widowControl w:val="0"/>
              <w:jc w:val="center"/>
            </w:pPr>
            <w:r>
              <w:t>330</w:t>
            </w:r>
          </w:p>
        </w:tc>
        <w:tc>
          <w:tcPr>
            <w:tcW w:w="1185" w:type="dxa"/>
            <w:vAlign w:val="center"/>
          </w:tcPr>
          <w:p>
            <w:pPr>
              <w:widowControl w:val="0"/>
              <w:jc w:val="center"/>
            </w:pPr>
            <w:r>
              <w:t>290</w:t>
            </w:r>
          </w:p>
        </w:tc>
        <w:tc>
          <w:tcPr>
            <w:tcW w:w="1185" w:type="dxa"/>
            <w:vAlign w:val="center"/>
          </w:tcPr>
          <w:p>
            <w:pPr>
              <w:widowControl w:val="0"/>
              <w:jc w:val="center"/>
            </w:pPr>
            <w:r>
              <w:t>270</w:t>
            </w:r>
          </w:p>
        </w:tc>
      </w:tr>
    </w:tbl>
    <w:p>
      <w:pPr>
        <w:widowControl w:val="0"/>
        <w:ind w:firstLine="567"/>
        <w:jc w:val="both"/>
        <w:rPr>
          <w:b/>
          <w:bCs/>
        </w:rPr>
      </w:pPr>
    </w:p>
    <w:p>
      <w:pPr>
        <w:widowControl w:val="0"/>
        <w:ind w:firstLine="567"/>
        <w:jc w:val="both"/>
        <w:rPr>
          <w:b/>
          <w:bCs/>
        </w:rPr>
      </w:pPr>
      <w:r>
        <w:rPr>
          <w:b/>
          <w:bCs/>
        </w:rPr>
        <w:t>19 lentelė. Žemėje arba ore tiesiamų 6 kV įtampos varinių kabelių bendru švininiu apvalkalu, mažai įmirkyta popierine izoliacija leistinoji ilgalaikė srovė</w:t>
      </w:r>
    </w:p>
    <w:p>
      <w:pPr>
        <w:widowControl w:val="0"/>
        <w:ind w:firstLine="567"/>
        <w:jc w:val="both"/>
      </w:pPr>
    </w:p>
    <w:p>
      <w:pPr>
        <w:widowControl w:val="0"/>
        <w:ind w:firstLine="567"/>
        <w:jc w:val="both"/>
      </w:pPr>
      <w:r>
        <w:t xml:space="preserve">Temperatūra: kabelių – pagal Taisyklių 68 punktą, oro +25 </w:t>
      </w:r>
      <w:r>
        <w:rPr>
          <w:vertAlign w:val="superscript"/>
        </w:rPr>
        <w:t>o</w:t>
      </w:r>
      <w:r>
        <w:t xml:space="preserve">C, žemės +15 </w:t>
      </w:r>
      <w:r>
        <w:rPr>
          <w:vertAlign w:val="superscript"/>
        </w:rPr>
        <w:t>o</w:t>
      </w:r>
      <w:r>
        <w:t>C.</w:t>
      </w:r>
    </w:p>
    <w:p>
      <w:pPr>
        <w:widowControl w:val="0"/>
        <w:ind w:firstLine="567"/>
        <w:jc w:val="both"/>
      </w:pPr>
      <w:r>
        <w:t>Žemės savitoji šiluminė varža 1,2 K·m/W.</w:t>
      </w:r>
    </w:p>
    <w:p>
      <w:pPr>
        <w:widowControl w:val="0"/>
        <w:ind w:firstLine="567"/>
        <w:jc w:val="both"/>
        <w:rPr>
          <w:i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10"/>
        <w:gridCol w:w="3030"/>
        <w:gridCol w:w="3030"/>
      </w:tblGrid>
      <w:tr>
        <w:trPr>
          <w:cantSplit/>
          <w:trHeight w:val="20"/>
        </w:trPr>
        <w:tc>
          <w:tcPr>
            <w:tcW w:w="2727" w:type="dxa"/>
            <w:vMerge w:val="restart"/>
            <w:vAlign w:val="center"/>
          </w:tcPr>
          <w:p>
            <w:pPr>
              <w:widowControl w:val="0"/>
              <w:jc w:val="center"/>
            </w:pPr>
            <w:r>
              <w:t>Kabelio skerspjūvis,</w:t>
            </w:r>
          </w:p>
          <w:p>
            <w:pPr>
              <w:widowControl w:val="0"/>
              <w:jc w:val="center"/>
            </w:pPr>
            <w:r>
              <w:t>mm</w:t>
            </w:r>
            <w:r>
              <w:rPr>
                <w:vertAlign w:val="superscript"/>
              </w:rPr>
              <w:t>2</w:t>
            </w:r>
          </w:p>
        </w:tc>
        <w:tc>
          <w:tcPr>
            <w:tcW w:w="5490" w:type="dxa"/>
            <w:gridSpan w:val="2"/>
            <w:vAlign w:val="center"/>
          </w:tcPr>
          <w:p>
            <w:pPr>
              <w:widowControl w:val="0"/>
              <w:jc w:val="center"/>
            </w:pPr>
            <w:r>
              <w:t>Kabelių leistinoji ilgalaikė srovė, A</w:t>
            </w:r>
          </w:p>
        </w:tc>
      </w:tr>
      <w:tr>
        <w:trPr>
          <w:cantSplit/>
          <w:trHeight w:val="20"/>
        </w:trPr>
        <w:tc>
          <w:tcPr>
            <w:tcW w:w="2727" w:type="dxa"/>
            <w:vMerge/>
            <w:vAlign w:val="center"/>
          </w:tcPr>
          <w:p>
            <w:pPr>
              <w:widowControl w:val="0"/>
              <w:jc w:val="center"/>
              <w:rPr>
                <w:vertAlign w:val="superscript"/>
              </w:rPr>
            </w:pPr>
          </w:p>
        </w:tc>
        <w:tc>
          <w:tcPr>
            <w:tcW w:w="2745" w:type="dxa"/>
            <w:vAlign w:val="center"/>
          </w:tcPr>
          <w:p>
            <w:pPr>
              <w:widowControl w:val="0"/>
              <w:jc w:val="center"/>
            </w:pPr>
            <w:r>
              <w:t>žemėje</w:t>
            </w:r>
          </w:p>
        </w:tc>
        <w:tc>
          <w:tcPr>
            <w:tcW w:w="2745" w:type="dxa"/>
            <w:vAlign w:val="center"/>
          </w:tcPr>
          <w:p>
            <w:pPr>
              <w:widowControl w:val="0"/>
              <w:jc w:val="center"/>
            </w:pPr>
            <w:r>
              <w:t>ore</w:t>
            </w:r>
          </w:p>
        </w:tc>
      </w:tr>
      <w:tr>
        <w:trPr>
          <w:cantSplit/>
        </w:trPr>
        <w:tc>
          <w:tcPr>
            <w:tcW w:w="2727" w:type="dxa"/>
            <w:vAlign w:val="center"/>
          </w:tcPr>
          <w:p>
            <w:pPr>
              <w:widowControl w:val="0"/>
              <w:jc w:val="center"/>
            </w:pPr>
            <w:r>
              <w:t>16</w:t>
            </w:r>
          </w:p>
        </w:tc>
        <w:tc>
          <w:tcPr>
            <w:tcW w:w="2745" w:type="dxa"/>
            <w:vAlign w:val="center"/>
          </w:tcPr>
          <w:p>
            <w:pPr>
              <w:widowControl w:val="0"/>
              <w:jc w:val="center"/>
            </w:pPr>
            <w:r>
              <w:t>90</w:t>
            </w:r>
          </w:p>
        </w:tc>
        <w:tc>
          <w:tcPr>
            <w:tcW w:w="2745" w:type="dxa"/>
            <w:vAlign w:val="center"/>
          </w:tcPr>
          <w:p>
            <w:pPr>
              <w:widowControl w:val="0"/>
              <w:jc w:val="center"/>
            </w:pPr>
            <w:r>
              <w:t>65</w:t>
            </w:r>
          </w:p>
        </w:tc>
      </w:tr>
      <w:tr>
        <w:trPr>
          <w:cantSplit/>
        </w:trPr>
        <w:tc>
          <w:tcPr>
            <w:tcW w:w="2727" w:type="dxa"/>
            <w:vAlign w:val="center"/>
          </w:tcPr>
          <w:p>
            <w:pPr>
              <w:widowControl w:val="0"/>
              <w:jc w:val="center"/>
            </w:pPr>
            <w:r>
              <w:t>25</w:t>
            </w:r>
          </w:p>
        </w:tc>
        <w:tc>
          <w:tcPr>
            <w:tcW w:w="2745" w:type="dxa"/>
            <w:vAlign w:val="center"/>
          </w:tcPr>
          <w:p>
            <w:pPr>
              <w:widowControl w:val="0"/>
              <w:jc w:val="center"/>
            </w:pPr>
            <w:r>
              <w:t>120</w:t>
            </w:r>
          </w:p>
        </w:tc>
        <w:tc>
          <w:tcPr>
            <w:tcW w:w="2745" w:type="dxa"/>
            <w:vAlign w:val="center"/>
          </w:tcPr>
          <w:p>
            <w:pPr>
              <w:widowControl w:val="0"/>
              <w:jc w:val="center"/>
            </w:pPr>
            <w:r>
              <w:t>90</w:t>
            </w:r>
          </w:p>
        </w:tc>
      </w:tr>
      <w:tr>
        <w:trPr>
          <w:cantSplit/>
        </w:trPr>
        <w:tc>
          <w:tcPr>
            <w:tcW w:w="2727" w:type="dxa"/>
            <w:vAlign w:val="center"/>
          </w:tcPr>
          <w:p>
            <w:pPr>
              <w:widowControl w:val="0"/>
              <w:jc w:val="center"/>
            </w:pPr>
            <w:r>
              <w:t>35</w:t>
            </w:r>
          </w:p>
        </w:tc>
        <w:tc>
          <w:tcPr>
            <w:tcW w:w="2745" w:type="dxa"/>
            <w:vAlign w:val="center"/>
          </w:tcPr>
          <w:p>
            <w:pPr>
              <w:widowControl w:val="0"/>
              <w:jc w:val="center"/>
            </w:pPr>
            <w:r>
              <w:t>145</w:t>
            </w:r>
          </w:p>
        </w:tc>
        <w:tc>
          <w:tcPr>
            <w:tcW w:w="2745" w:type="dxa"/>
            <w:vAlign w:val="center"/>
          </w:tcPr>
          <w:p>
            <w:pPr>
              <w:widowControl w:val="0"/>
              <w:jc w:val="center"/>
            </w:pPr>
            <w:r>
              <w:t>110</w:t>
            </w:r>
          </w:p>
        </w:tc>
      </w:tr>
      <w:tr>
        <w:trPr>
          <w:cantSplit/>
        </w:trPr>
        <w:tc>
          <w:tcPr>
            <w:tcW w:w="2727" w:type="dxa"/>
            <w:vAlign w:val="center"/>
          </w:tcPr>
          <w:p>
            <w:pPr>
              <w:widowControl w:val="0"/>
              <w:jc w:val="center"/>
            </w:pPr>
            <w:r>
              <w:t>50</w:t>
            </w:r>
          </w:p>
        </w:tc>
        <w:tc>
          <w:tcPr>
            <w:tcW w:w="2745" w:type="dxa"/>
            <w:vAlign w:val="center"/>
          </w:tcPr>
          <w:p>
            <w:pPr>
              <w:widowControl w:val="0"/>
              <w:jc w:val="center"/>
            </w:pPr>
            <w:r>
              <w:t>180</w:t>
            </w:r>
          </w:p>
        </w:tc>
        <w:tc>
          <w:tcPr>
            <w:tcW w:w="2745" w:type="dxa"/>
            <w:vAlign w:val="center"/>
          </w:tcPr>
          <w:p>
            <w:pPr>
              <w:widowControl w:val="0"/>
              <w:jc w:val="center"/>
            </w:pPr>
            <w:r>
              <w:t>140</w:t>
            </w:r>
          </w:p>
        </w:tc>
      </w:tr>
      <w:tr>
        <w:trPr>
          <w:cantSplit/>
        </w:trPr>
        <w:tc>
          <w:tcPr>
            <w:tcW w:w="2727" w:type="dxa"/>
            <w:vAlign w:val="center"/>
          </w:tcPr>
          <w:p>
            <w:pPr>
              <w:widowControl w:val="0"/>
              <w:jc w:val="center"/>
            </w:pPr>
            <w:r>
              <w:t>70</w:t>
            </w:r>
          </w:p>
        </w:tc>
        <w:tc>
          <w:tcPr>
            <w:tcW w:w="2745" w:type="dxa"/>
            <w:vAlign w:val="center"/>
          </w:tcPr>
          <w:p>
            <w:pPr>
              <w:widowControl w:val="0"/>
              <w:jc w:val="center"/>
            </w:pPr>
            <w:r>
              <w:t>220</w:t>
            </w:r>
          </w:p>
        </w:tc>
        <w:tc>
          <w:tcPr>
            <w:tcW w:w="2745" w:type="dxa"/>
            <w:vAlign w:val="center"/>
          </w:tcPr>
          <w:p>
            <w:pPr>
              <w:widowControl w:val="0"/>
              <w:jc w:val="center"/>
            </w:pPr>
            <w:r>
              <w:t>170</w:t>
            </w:r>
          </w:p>
        </w:tc>
      </w:tr>
      <w:tr>
        <w:trPr>
          <w:cantSplit/>
        </w:trPr>
        <w:tc>
          <w:tcPr>
            <w:tcW w:w="2727" w:type="dxa"/>
            <w:vAlign w:val="center"/>
          </w:tcPr>
          <w:p>
            <w:pPr>
              <w:widowControl w:val="0"/>
              <w:jc w:val="center"/>
            </w:pPr>
            <w:r>
              <w:t>95</w:t>
            </w:r>
          </w:p>
        </w:tc>
        <w:tc>
          <w:tcPr>
            <w:tcW w:w="2745" w:type="dxa"/>
            <w:vAlign w:val="center"/>
          </w:tcPr>
          <w:p>
            <w:pPr>
              <w:widowControl w:val="0"/>
              <w:jc w:val="center"/>
            </w:pPr>
            <w:r>
              <w:t>265</w:t>
            </w:r>
          </w:p>
        </w:tc>
        <w:tc>
          <w:tcPr>
            <w:tcW w:w="2745" w:type="dxa"/>
            <w:vAlign w:val="center"/>
          </w:tcPr>
          <w:p>
            <w:pPr>
              <w:widowControl w:val="0"/>
              <w:jc w:val="center"/>
            </w:pPr>
            <w:r>
              <w:t>210</w:t>
            </w:r>
          </w:p>
        </w:tc>
      </w:tr>
      <w:tr>
        <w:trPr>
          <w:cantSplit/>
        </w:trPr>
        <w:tc>
          <w:tcPr>
            <w:tcW w:w="2727" w:type="dxa"/>
            <w:vAlign w:val="center"/>
          </w:tcPr>
          <w:p>
            <w:pPr>
              <w:widowControl w:val="0"/>
              <w:jc w:val="center"/>
            </w:pPr>
            <w:r>
              <w:t>120</w:t>
            </w:r>
          </w:p>
        </w:tc>
        <w:tc>
          <w:tcPr>
            <w:tcW w:w="2745" w:type="dxa"/>
            <w:vAlign w:val="center"/>
          </w:tcPr>
          <w:p>
            <w:pPr>
              <w:widowControl w:val="0"/>
              <w:jc w:val="center"/>
            </w:pPr>
            <w:r>
              <w:t>310</w:t>
            </w:r>
          </w:p>
        </w:tc>
        <w:tc>
          <w:tcPr>
            <w:tcW w:w="2745" w:type="dxa"/>
            <w:vAlign w:val="center"/>
          </w:tcPr>
          <w:p>
            <w:pPr>
              <w:widowControl w:val="0"/>
              <w:jc w:val="center"/>
            </w:pPr>
            <w:r>
              <w:t>245</w:t>
            </w:r>
          </w:p>
        </w:tc>
      </w:tr>
      <w:tr>
        <w:trPr>
          <w:cantSplit/>
        </w:trPr>
        <w:tc>
          <w:tcPr>
            <w:tcW w:w="2727" w:type="dxa"/>
            <w:vAlign w:val="center"/>
          </w:tcPr>
          <w:p>
            <w:pPr>
              <w:widowControl w:val="0"/>
              <w:jc w:val="center"/>
            </w:pPr>
            <w:r>
              <w:t>150</w:t>
            </w:r>
          </w:p>
        </w:tc>
        <w:tc>
          <w:tcPr>
            <w:tcW w:w="2745" w:type="dxa"/>
            <w:vAlign w:val="center"/>
          </w:tcPr>
          <w:p>
            <w:pPr>
              <w:widowControl w:val="0"/>
              <w:jc w:val="center"/>
            </w:pPr>
            <w:r>
              <w:t>355</w:t>
            </w:r>
          </w:p>
        </w:tc>
        <w:tc>
          <w:tcPr>
            <w:tcW w:w="2745" w:type="dxa"/>
            <w:vAlign w:val="center"/>
          </w:tcPr>
          <w:p>
            <w:pPr>
              <w:widowControl w:val="0"/>
              <w:jc w:val="center"/>
            </w:pPr>
            <w:r>
              <w:t>290</w:t>
            </w:r>
          </w:p>
        </w:tc>
      </w:tr>
    </w:tbl>
    <w:p>
      <w:pPr>
        <w:widowControl w:val="0"/>
        <w:jc w:val="both"/>
      </w:pPr>
    </w:p>
    <w:p>
      <w:pPr>
        <w:widowControl w:val="0"/>
        <w:ind w:firstLine="567"/>
        <w:jc w:val="both"/>
        <w:rPr>
          <w:b/>
          <w:bCs/>
        </w:rPr>
      </w:pPr>
      <w:r>
        <w:rPr>
          <w:b/>
          <w:bCs/>
        </w:rPr>
        <w:t>20 lentelė. Žemėje arba ore tiesiamų 6 kV įtampos aliumininių kabelių bendru švininiu apvalkalu, mažai įmirkyta popierine izoliacija leistinoji ilgalaikė srovė</w:t>
      </w:r>
    </w:p>
    <w:p>
      <w:pPr>
        <w:widowControl w:val="0"/>
        <w:ind w:firstLine="567"/>
        <w:jc w:val="both"/>
      </w:pPr>
    </w:p>
    <w:p>
      <w:pPr>
        <w:widowControl w:val="0"/>
        <w:ind w:firstLine="567"/>
        <w:jc w:val="both"/>
      </w:pPr>
      <w:r>
        <w:t xml:space="preserve">Temperatūra: kabelių – pagal Taisyklių 68 punktą, oro +25 </w:t>
      </w:r>
      <w:r>
        <w:rPr>
          <w:vertAlign w:val="superscript"/>
        </w:rPr>
        <w:t>o</w:t>
      </w:r>
      <w:r>
        <w:t xml:space="preserve">C, žemės +15 </w:t>
      </w:r>
      <w:r>
        <w:rPr>
          <w:vertAlign w:val="superscript"/>
        </w:rPr>
        <w:t>o</w:t>
      </w:r>
      <w:r>
        <w:t>C.</w:t>
      </w:r>
    </w:p>
    <w:p>
      <w:pPr>
        <w:widowControl w:val="0"/>
        <w:ind w:firstLine="567"/>
        <w:jc w:val="both"/>
      </w:pPr>
      <w:r>
        <w:t>Žemės savitoji šiluminė varža 1,2 K·m/W.</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64"/>
        <w:gridCol w:w="3053"/>
        <w:gridCol w:w="3053"/>
      </w:tblGrid>
      <w:tr>
        <w:trPr>
          <w:cantSplit/>
          <w:trHeight w:val="20"/>
          <w:tblHeader/>
        </w:trPr>
        <w:tc>
          <w:tcPr>
            <w:tcW w:w="2715" w:type="dxa"/>
            <w:vMerge w:val="restart"/>
            <w:vAlign w:val="center"/>
          </w:tcPr>
          <w:p>
            <w:pPr>
              <w:widowControl w:val="0"/>
              <w:jc w:val="center"/>
            </w:pPr>
            <w:r>
              <w:t>Kabelio skerspjūvis,</w:t>
            </w:r>
          </w:p>
          <w:p>
            <w:pPr>
              <w:widowControl w:val="0"/>
              <w:jc w:val="center"/>
            </w:pPr>
            <w:r>
              <w:t>mm</w:t>
            </w:r>
            <w:r>
              <w:rPr>
                <w:vertAlign w:val="superscript"/>
              </w:rPr>
              <w:t>2</w:t>
            </w:r>
          </w:p>
        </w:tc>
        <w:tc>
          <w:tcPr>
            <w:tcW w:w="5592" w:type="dxa"/>
            <w:gridSpan w:val="2"/>
            <w:vAlign w:val="center"/>
          </w:tcPr>
          <w:p>
            <w:pPr>
              <w:widowControl w:val="0"/>
              <w:jc w:val="center"/>
            </w:pPr>
            <w:r>
              <w:t>Kabelių leistinoji ilgalaikė srovė, A</w:t>
            </w:r>
          </w:p>
        </w:tc>
      </w:tr>
      <w:tr>
        <w:trPr>
          <w:cantSplit/>
          <w:trHeight w:val="20"/>
          <w:tblHeader/>
        </w:trPr>
        <w:tc>
          <w:tcPr>
            <w:tcW w:w="2715" w:type="dxa"/>
            <w:vMerge/>
            <w:vAlign w:val="center"/>
          </w:tcPr>
          <w:p>
            <w:pPr>
              <w:widowControl w:val="0"/>
              <w:jc w:val="center"/>
              <w:rPr>
                <w:vertAlign w:val="superscript"/>
              </w:rPr>
            </w:pPr>
          </w:p>
        </w:tc>
        <w:tc>
          <w:tcPr>
            <w:tcW w:w="2796" w:type="dxa"/>
            <w:vAlign w:val="center"/>
          </w:tcPr>
          <w:p>
            <w:pPr>
              <w:widowControl w:val="0"/>
              <w:jc w:val="center"/>
            </w:pPr>
            <w:r>
              <w:t>žemėje</w:t>
            </w:r>
          </w:p>
        </w:tc>
        <w:tc>
          <w:tcPr>
            <w:tcW w:w="2796" w:type="dxa"/>
            <w:vAlign w:val="center"/>
          </w:tcPr>
          <w:p>
            <w:pPr>
              <w:widowControl w:val="0"/>
              <w:jc w:val="center"/>
            </w:pPr>
            <w:r>
              <w:t>ore</w:t>
            </w:r>
          </w:p>
        </w:tc>
      </w:tr>
      <w:tr>
        <w:trPr>
          <w:cantSplit/>
          <w:trHeight w:val="20"/>
        </w:trPr>
        <w:tc>
          <w:tcPr>
            <w:tcW w:w="2715" w:type="dxa"/>
            <w:vAlign w:val="center"/>
          </w:tcPr>
          <w:p>
            <w:pPr>
              <w:widowControl w:val="0"/>
              <w:jc w:val="center"/>
            </w:pPr>
            <w:r>
              <w:t>16</w:t>
            </w:r>
          </w:p>
        </w:tc>
        <w:tc>
          <w:tcPr>
            <w:tcW w:w="2796" w:type="dxa"/>
            <w:vAlign w:val="center"/>
          </w:tcPr>
          <w:p>
            <w:pPr>
              <w:widowControl w:val="0"/>
              <w:jc w:val="center"/>
            </w:pPr>
            <w:r>
              <w:t>70</w:t>
            </w:r>
          </w:p>
        </w:tc>
        <w:tc>
          <w:tcPr>
            <w:tcW w:w="2796" w:type="dxa"/>
            <w:vAlign w:val="center"/>
          </w:tcPr>
          <w:p>
            <w:pPr>
              <w:widowControl w:val="0"/>
              <w:jc w:val="center"/>
            </w:pPr>
            <w:r>
              <w:t>50</w:t>
            </w:r>
          </w:p>
        </w:tc>
      </w:tr>
      <w:tr>
        <w:trPr>
          <w:cantSplit/>
          <w:trHeight w:val="20"/>
        </w:trPr>
        <w:tc>
          <w:tcPr>
            <w:tcW w:w="2715" w:type="dxa"/>
            <w:vAlign w:val="center"/>
          </w:tcPr>
          <w:p>
            <w:pPr>
              <w:widowControl w:val="0"/>
              <w:jc w:val="center"/>
            </w:pPr>
            <w:r>
              <w:t>25</w:t>
            </w:r>
          </w:p>
        </w:tc>
        <w:tc>
          <w:tcPr>
            <w:tcW w:w="2796" w:type="dxa"/>
            <w:vAlign w:val="center"/>
          </w:tcPr>
          <w:p>
            <w:pPr>
              <w:widowControl w:val="0"/>
              <w:jc w:val="center"/>
            </w:pPr>
            <w:r>
              <w:t>90</w:t>
            </w:r>
          </w:p>
        </w:tc>
        <w:tc>
          <w:tcPr>
            <w:tcW w:w="2796" w:type="dxa"/>
            <w:vAlign w:val="center"/>
          </w:tcPr>
          <w:p>
            <w:pPr>
              <w:widowControl w:val="0"/>
              <w:jc w:val="center"/>
            </w:pPr>
            <w:r>
              <w:t>70</w:t>
            </w:r>
          </w:p>
        </w:tc>
      </w:tr>
      <w:tr>
        <w:trPr>
          <w:cantSplit/>
          <w:trHeight w:val="20"/>
        </w:trPr>
        <w:tc>
          <w:tcPr>
            <w:tcW w:w="2715" w:type="dxa"/>
            <w:vAlign w:val="center"/>
          </w:tcPr>
          <w:p>
            <w:pPr>
              <w:widowControl w:val="0"/>
              <w:jc w:val="center"/>
            </w:pPr>
            <w:r>
              <w:t>35</w:t>
            </w:r>
          </w:p>
        </w:tc>
        <w:tc>
          <w:tcPr>
            <w:tcW w:w="2796" w:type="dxa"/>
            <w:vAlign w:val="center"/>
          </w:tcPr>
          <w:p>
            <w:pPr>
              <w:widowControl w:val="0"/>
              <w:jc w:val="center"/>
            </w:pPr>
            <w:r>
              <w:t>110</w:t>
            </w:r>
          </w:p>
        </w:tc>
        <w:tc>
          <w:tcPr>
            <w:tcW w:w="2796" w:type="dxa"/>
            <w:vAlign w:val="center"/>
          </w:tcPr>
          <w:p>
            <w:pPr>
              <w:widowControl w:val="0"/>
              <w:jc w:val="center"/>
            </w:pPr>
            <w:r>
              <w:t>85</w:t>
            </w:r>
          </w:p>
        </w:tc>
      </w:tr>
      <w:tr>
        <w:trPr>
          <w:cantSplit/>
          <w:trHeight w:val="20"/>
        </w:trPr>
        <w:tc>
          <w:tcPr>
            <w:tcW w:w="2715" w:type="dxa"/>
            <w:vAlign w:val="center"/>
          </w:tcPr>
          <w:p>
            <w:pPr>
              <w:widowControl w:val="0"/>
              <w:jc w:val="center"/>
            </w:pPr>
            <w:r>
              <w:t>50</w:t>
            </w:r>
          </w:p>
        </w:tc>
        <w:tc>
          <w:tcPr>
            <w:tcW w:w="2796" w:type="dxa"/>
            <w:vAlign w:val="center"/>
          </w:tcPr>
          <w:p>
            <w:pPr>
              <w:widowControl w:val="0"/>
              <w:jc w:val="center"/>
            </w:pPr>
            <w:r>
              <w:t>140</w:t>
            </w:r>
          </w:p>
        </w:tc>
        <w:tc>
          <w:tcPr>
            <w:tcW w:w="2796" w:type="dxa"/>
            <w:vAlign w:val="center"/>
          </w:tcPr>
          <w:p>
            <w:pPr>
              <w:widowControl w:val="0"/>
              <w:jc w:val="center"/>
            </w:pPr>
            <w:r>
              <w:t>110</w:t>
            </w:r>
          </w:p>
        </w:tc>
      </w:tr>
      <w:tr>
        <w:trPr>
          <w:cantSplit/>
          <w:trHeight w:val="20"/>
        </w:trPr>
        <w:tc>
          <w:tcPr>
            <w:tcW w:w="2715" w:type="dxa"/>
            <w:vAlign w:val="center"/>
          </w:tcPr>
          <w:p>
            <w:pPr>
              <w:widowControl w:val="0"/>
              <w:jc w:val="center"/>
            </w:pPr>
            <w:r>
              <w:t>70</w:t>
            </w:r>
          </w:p>
        </w:tc>
        <w:tc>
          <w:tcPr>
            <w:tcW w:w="2796" w:type="dxa"/>
            <w:vAlign w:val="center"/>
          </w:tcPr>
          <w:p>
            <w:pPr>
              <w:widowControl w:val="0"/>
              <w:jc w:val="center"/>
            </w:pPr>
            <w:r>
              <w:t>170</w:t>
            </w:r>
          </w:p>
        </w:tc>
        <w:tc>
          <w:tcPr>
            <w:tcW w:w="2796" w:type="dxa"/>
            <w:vAlign w:val="center"/>
          </w:tcPr>
          <w:p>
            <w:pPr>
              <w:widowControl w:val="0"/>
              <w:jc w:val="center"/>
            </w:pPr>
            <w:r>
              <w:t>130</w:t>
            </w:r>
          </w:p>
        </w:tc>
      </w:tr>
      <w:tr>
        <w:trPr>
          <w:cantSplit/>
          <w:trHeight w:val="20"/>
        </w:trPr>
        <w:tc>
          <w:tcPr>
            <w:tcW w:w="2715" w:type="dxa"/>
            <w:vAlign w:val="center"/>
          </w:tcPr>
          <w:p>
            <w:pPr>
              <w:widowControl w:val="0"/>
              <w:jc w:val="center"/>
            </w:pPr>
            <w:r>
              <w:t>95</w:t>
            </w:r>
          </w:p>
        </w:tc>
        <w:tc>
          <w:tcPr>
            <w:tcW w:w="2796" w:type="dxa"/>
            <w:vAlign w:val="center"/>
          </w:tcPr>
          <w:p>
            <w:pPr>
              <w:widowControl w:val="0"/>
              <w:jc w:val="center"/>
            </w:pPr>
            <w:r>
              <w:t>205</w:t>
            </w:r>
          </w:p>
        </w:tc>
        <w:tc>
          <w:tcPr>
            <w:tcW w:w="2796" w:type="dxa"/>
            <w:vAlign w:val="center"/>
          </w:tcPr>
          <w:p>
            <w:pPr>
              <w:widowControl w:val="0"/>
              <w:jc w:val="center"/>
            </w:pPr>
            <w:r>
              <w:t>160</w:t>
            </w:r>
          </w:p>
        </w:tc>
      </w:tr>
      <w:tr>
        <w:trPr>
          <w:cantSplit/>
          <w:trHeight w:val="20"/>
        </w:trPr>
        <w:tc>
          <w:tcPr>
            <w:tcW w:w="2715" w:type="dxa"/>
            <w:vAlign w:val="center"/>
          </w:tcPr>
          <w:p>
            <w:pPr>
              <w:widowControl w:val="0"/>
              <w:jc w:val="center"/>
            </w:pPr>
            <w:r>
              <w:t>120</w:t>
            </w:r>
          </w:p>
        </w:tc>
        <w:tc>
          <w:tcPr>
            <w:tcW w:w="2796" w:type="dxa"/>
            <w:vAlign w:val="center"/>
          </w:tcPr>
          <w:p>
            <w:pPr>
              <w:widowControl w:val="0"/>
              <w:jc w:val="center"/>
            </w:pPr>
            <w:r>
              <w:t>240</w:t>
            </w:r>
          </w:p>
        </w:tc>
        <w:tc>
          <w:tcPr>
            <w:tcW w:w="2796" w:type="dxa"/>
            <w:vAlign w:val="center"/>
          </w:tcPr>
          <w:p>
            <w:pPr>
              <w:widowControl w:val="0"/>
              <w:jc w:val="center"/>
            </w:pPr>
            <w:r>
              <w:t>190</w:t>
            </w:r>
          </w:p>
        </w:tc>
      </w:tr>
      <w:tr>
        <w:trPr>
          <w:cantSplit/>
          <w:trHeight w:val="20"/>
        </w:trPr>
        <w:tc>
          <w:tcPr>
            <w:tcW w:w="2715" w:type="dxa"/>
            <w:vAlign w:val="center"/>
          </w:tcPr>
          <w:p>
            <w:pPr>
              <w:widowControl w:val="0"/>
              <w:jc w:val="center"/>
            </w:pPr>
            <w:r>
              <w:t>150</w:t>
            </w:r>
          </w:p>
        </w:tc>
        <w:tc>
          <w:tcPr>
            <w:tcW w:w="2796" w:type="dxa"/>
            <w:vAlign w:val="center"/>
          </w:tcPr>
          <w:p>
            <w:pPr>
              <w:widowControl w:val="0"/>
              <w:jc w:val="center"/>
            </w:pPr>
            <w:r>
              <w:t>275</w:t>
            </w:r>
          </w:p>
        </w:tc>
        <w:tc>
          <w:tcPr>
            <w:tcW w:w="2796" w:type="dxa"/>
            <w:vAlign w:val="center"/>
          </w:tcPr>
          <w:p>
            <w:pPr>
              <w:widowControl w:val="0"/>
              <w:jc w:val="center"/>
            </w:pPr>
            <w:r>
              <w:t>225</w:t>
            </w:r>
          </w:p>
        </w:tc>
      </w:tr>
    </w:tbl>
    <w:p>
      <w:pPr>
        <w:widowControl w:val="0"/>
        <w:ind w:firstLine="567"/>
        <w:jc w:val="both"/>
        <w:rPr>
          <w:iCs/>
        </w:rPr>
      </w:pPr>
    </w:p>
    <w:p>
      <w:pPr>
        <w:widowControl w:val="0"/>
        <w:ind w:firstLine="567"/>
        <w:jc w:val="both"/>
        <w:rPr>
          <w:b/>
          <w:bCs/>
        </w:rPr>
      </w:pPr>
      <w:r>
        <w:rPr>
          <w:b/>
          <w:bCs/>
        </w:rPr>
        <w:t>21 lentelė. Žemėje, vandenyje arba ore tiesiamų 20 ir 35 kV įtampos varinių kabelių atskirais gyslų švininiais apvalkalais, netakia mase arba alyvos kanifolijos mišiniu įmirkyta popierine izoliacija leistinoji ilgalaikė srovė</w:t>
      </w:r>
    </w:p>
    <w:p>
      <w:pPr>
        <w:widowControl w:val="0"/>
        <w:ind w:firstLine="567"/>
        <w:jc w:val="both"/>
      </w:pPr>
    </w:p>
    <w:p>
      <w:pPr>
        <w:widowControl w:val="0"/>
        <w:ind w:firstLine="567"/>
        <w:jc w:val="both"/>
      </w:pPr>
      <w:r>
        <w:t xml:space="preserve">Temperatūra: kabelių – pagal Taisyklių 68 punktą, vandens +15 </w:t>
      </w:r>
      <w:r>
        <w:rPr>
          <w:vertAlign w:val="superscript"/>
        </w:rPr>
        <w:t>o</w:t>
      </w:r>
      <w:r>
        <w:t xml:space="preserve">C, žemės +15 </w:t>
      </w:r>
      <w:r>
        <w:rPr>
          <w:vertAlign w:val="superscript"/>
        </w:rPr>
        <w:t>o</w:t>
      </w:r>
      <w:r>
        <w:t xml:space="preserve">C, oro +25 </w:t>
      </w:r>
      <w:r>
        <w:rPr>
          <w:vertAlign w:val="superscript"/>
        </w:rPr>
        <w:t>o</w:t>
      </w:r>
      <w:r>
        <w:t>C.</w:t>
      </w:r>
    </w:p>
    <w:p>
      <w:pPr>
        <w:widowControl w:val="0"/>
        <w:ind w:firstLine="567"/>
        <w:jc w:val="both"/>
      </w:pPr>
      <w:r>
        <w:t>Žemės savitoji šiluminė varža 1,2 K·m/W.</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9"/>
        <w:gridCol w:w="1183"/>
        <w:gridCol w:w="1182"/>
        <w:gridCol w:w="1182"/>
        <w:gridCol w:w="1168"/>
        <w:gridCol w:w="1168"/>
        <w:gridCol w:w="1168"/>
      </w:tblGrid>
      <w:tr>
        <w:trPr>
          <w:cantSplit/>
          <w:trHeight w:val="20"/>
        </w:trPr>
        <w:tc>
          <w:tcPr>
            <w:tcW w:w="1451" w:type="dxa"/>
            <w:vMerge w:val="restart"/>
            <w:vAlign w:val="center"/>
          </w:tcPr>
          <w:p>
            <w:pPr>
              <w:widowControl w:val="0"/>
              <w:jc w:val="center"/>
            </w:pPr>
            <w:r>
              <w:t>Kabelio skerspjūvis,</w:t>
            </w:r>
          </w:p>
          <w:p>
            <w:pPr>
              <w:widowControl w:val="0"/>
              <w:jc w:val="center"/>
            </w:pPr>
            <w:r>
              <w:t>mm</w:t>
            </w:r>
            <w:r>
              <w:rPr>
                <w:vertAlign w:val="superscript"/>
              </w:rPr>
              <w:t>2</w:t>
            </w:r>
          </w:p>
        </w:tc>
        <w:tc>
          <w:tcPr>
            <w:tcW w:w="5070" w:type="dxa"/>
            <w:gridSpan w:val="6"/>
            <w:vAlign w:val="center"/>
          </w:tcPr>
          <w:p>
            <w:pPr>
              <w:widowControl w:val="0"/>
              <w:jc w:val="center"/>
            </w:pPr>
            <w:r>
              <w:t>Kabelių leistinoji ilgalaikė srovė, A</w:t>
            </w:r>
          </w:p>
        </w:tc>
      </w:tr>
      <w:tr>
        <w:trPr>
          <w:cantSplit/>
          <w:trHeight w:val="20"/>
        </w:trPr>
        <w:tc>
          <w:tcPr>
            <w:tcW w:w="1451" w:type="dxa"/>
            <w:vMerge/>
            <w:vAlign w:val="center"/>
          </w:tcPr>
          <w:p>
            <w:pPr>
              <w:widowControl w:val="0"/>
              <w:jc w:val="center"/>
            </w:pPr>
          </w:p>
        </w:tc>
        <w:tc>
          <w:tcPr>
            <w:tcW w:w="2550" w:type="dxa"/>
            <w:gridSpan w:val="3"/>
            <w:vAlign w:val="center"/>
          </w:tcPr>
          <w:p>
            <w:pPr>
              <w:widowControl w:val="0"/>
              <w:jc w:val="center"/>
            </w:pPr>
            <w:r>
              <w:t>20 kV</w:t>
            </w:r>
          </w:p>
        </w:tc>
        <w:tc>
          <w:tcPr>
            <w:tcW w:w="2520" w:type="dxa"/>
            <w:gridSpan w:val="3"/>
            <w:vAlign w:val="center"/>
          </w:tcPr>
          <w:p>
            <w:pPr>
              <w:widowControl w:val="0"/>
              <w:jc w:val="center"/>
            </w:pPr>
            <w:r>
              <w:t>35 kV</w:t>
            </w:r>
          </w:p>
        </w:tc>
      </w:tr>
      <w:tr>
        <w:trPr>
          <w:cantSplit/>
          <w:trHeight w:val="20"/>
        </w:trPr>
        <w:tc>
          <w:tcPr>
            <w:tcW w:w="1451" w:type="dxa"/>
            <w:vMerge/>
            <w:vAlign w:val="center"/>
          </w:tcPr>
          <w:p>
            <w:pPr>
              <w:widowControl w:val="0"/>
              <w:jc w:val="center"/>
            </w:pPr>
          </w:p>
        </w:tc>
        <w:tc>
          <w:tcPr>
            <w:tcW w:w="850" w:type="dxa"/>
            <w:vAlign w:val="center"/>
          </w:tcPr>
          <w:p>
            <w:pPr>
              <w:widowControl w:val="0"/>
              <w:jc w:val="center"/>
            </w:pPr>
            <w:r>
              <w:t>žemėje</w:t>
            </w:r>
          </w:p>
        </w:tc>
        <w:tc>
          <w:tcPr>
            <w:tcW w:w="850" w:type="dxa"/>
            <w:vAlign w:val="center"/>
          </w:tcPr>
          <w:p>
            <w:pPr>
              <w:widowControl w:val="0"/>
              <w:jc w:val="center"/>
            </w:pPr>
            <w:r>
              <w:t>vandenyje</w:t>
            </w:r>
          </w:p>
        </w:tc>
        <w:tc>
          <w:tcPr>
            <w:tcW w:w="850" w:type="dxa"/>
            <w:vAlign w:val="center"/>
          </w:tcPr>
          <w:p>
            <w:pPr>
              <w:widowControl w:val="0"/>
              <w:jc w:val="center"/>
            </w:pPr>
            <w:r>
              <w:t>ore</w:t>
            </w:r>
          </w:p>
        </w:tc>
        <w:tc>
          <w:tcPr>
            <w:tcW w:w="840" w:type="dxa"/>
            <w:vAlign w:val="center"/>
          </w:tcPr>
          <w:p>
            <w:pPr>
              <w:widowControl w:val="0"/>
              <w:jc w:val="center"/>
            </w:pPr>
            <w:r>
              <w:t>žemėje</w:t>
            </w:r>
          </w:p>
        </w:tc>
        <w:tc>
          <w:tcPr>
            <w:tcW w:w="840" w:type="dxa"/>
            <w:vAlign w:val="center"/>
          </w:tcPr>
          <w:p>
            <w:pPr>
              <w:widowControl w:val="0"/>
              <w:jc w:val="center"/>
            </w:pPr>
            <w:r>
              <w:t>vandenyje</w:t>
            </w:r>
          </w:p>
        </w:tc>
        <w:tc>
          <w:tcPr>
            <w:tcW w:w="840" w:type="dxa"/>
            <w:vAlign w:val="center"/>
          </w:tcPr>
          <w:p>
            <w:pPr>
              <w:widowControl w:val="0"/>
              <w:jc w:val="center"/>
            </w:pPr>
            <w:r>
              <w:t>ore</w:t>
            </w:r>
          </w:p>
        </w:tc>
      </w:tr>
      <w:tr>
        <w:trPr>
          <w:cantSplit/>
          <w:trHeight w:val="20"/>
        </w:trPr>
        <w:tc>
          <w:tcPr>
            <w:tcW w:w="1451" w:type="dxa"/>
            <w:vAlign w:val="center"/>
          </w:tcPr>
          <w:p>
            <w:pPr>
              <w:widowControl w:val="0"/>
              <w:jc w:val="center"/>
            </w:pPr>
            <w:r>
              <w:t>25</w:t>
            </w:r>
          </w:p>
        </w:tc>
        <w:tc>
          <w:tcPr>
            <w:tcW w:w="850" w:type="dxa"/>
            <w:vAlign w:val="center"/>
          </w:tcPr>
          <w:p>
            <w:pPr>
              <w:widowControl w:val="0"/>
              <w:jc w:val="center"/>
            </w:pPr>
            <w:r>
              <w:t>110</w:t>
            </w:r>
          </w:p>
        </w:tc>
        <w:tc>
          <w:tcPr>
            <w:tcW w:w="850" w:type="dxa"/>
            <w:vAlign w:val="center"/>
          </w:tcPr>
          <w:p>
            <w:pPr>
              <w:widowControl w:val="0"/>
              <w:jc w:val="center"/>
            </w:pPr>
            <w:r>
              <w:t>120</w:t>
            </w:r>
          </w:p>
        </w:tc>
        <w:tc>
          <w:tcPr>
            <w:tcW w:w="850" w:type="dxa"/>
            <w:vAlign w:val="center"/>
          </w:tcPr>
          <w:p>
            <w:pPr>
              <w:widowControl w:val="0"/>
              <w:jc w:val="center"/>
            </w:pPr>
            <w:r>
              <w:t>85</w:t>
            </w:r>
          </w:p>
        </w:tc>
        <w:tc>
          <w:tcPr>
            <w:tcW w:w="840" w:type="dxa"/>
            <w:vAlign w:val="center"/>
          </w:tcPr>
          <w:p>
            <w:pPr>
              <w:widowControl w:val="0"/>
              <w:jc w:val="center"/>
            </w:pPr>
            <w:r>
              <w:t>–</w:t>
            </w:r>
          </w:p>
        </w:tc>
        <w:tc>
          <w:tcPr>
            <w:tcW w:w="840" w:type="dxa"/>
            <w:vAlign w:val="center"/>
          </w:tcPr>
          <w:p>
            <w:pPr>
              <w:widowControl w:val="0"/>
              <w:jc w:val="center"/>
            </w:pPr>
            <w:r>
              <w:t>–</w:t>
            </w:r>
          </w:p>
        </w:tc>
        <w:tc>
          <w:tcPr>
            <w:tcW w:w="840" w:type="dxa"/>
            <w:vAlign w:val="center"/>
          </w:tcPr>
          <w:p>
            <w:pPr>
              <w:widowControl w:val="0"/>
              <w:jc w:val="center"/>
            </w:pPr>
            <w:r>
              <w:t>–</w:t>
            </w:r>
          </w:p>
        </w:tc>
      </w:tr>
      <w:tr>
        <w:trPr>
          <w:cantSplit/>
          <w:trHeight w:val="20"/>
        </w:trPr>
        <w:tc>
          <w:tcPr>
            <w:tcW w:w="1451" w:type="dxa"/>
            <w:vAlign w:val="center"/>
          </w:tcPr>
          <w:p>
            <w:pPr>
              <w:widowControl w:val="0"/>
              <w:jc w:val="center"/>
            </w:pPr>
            <w:r>
              <w:t>35</w:t>
            </w:r>
          </w:p>
        </w:tc>
        <w:tc>
          <w:tcPr>
            <w:tcW w:w="850" w:type="dxa"/>
            <w:vAlign w:val="center"/>
          </w:tcPr>
          <w:p>
            <w:pPr>
              <w:widowControl w:val="0"/>
              <w:jc w:val="center"/>
            </w:pPr>
            <w:r>
              <w:t>135</w:t>
            </w:r>
          </w:p>
        </w:tc>
        <w:tc>
          <w:tcPr>
            <w:tcW w:w="850" w:type="dxa"/>
            <w:vAlign w:val="center"/>
          </w:tcPr>
          <w:p>
            <w:pPr>
              <w:widowControl w:val="0"/>
              <w:jc w:val="center"/>
            </w:pPr>
            <w:r>
              <w:t>145</w:t>
            </w:r>
          </w:p>
        </w:tc>
        <w:tc>
          <w:tcPr>
            <w:tcW w:w="850" w:type="dxa"/>
            <w:vAlign w:val="center"/>
          </w:tcPr>
          <w:p>
            <w:pPr>
              <w:widowControl w:val="0"/>
              <w:jc w:val="center"/>
            </w:pPr>
            <w:r>
              <w:t>100</w:t>
            </w:r>
          </w:p>
        </w:tc>
        <w:tc>
          <w:tcPr>
            <w:tcW w:w="840" w:type="dxa"/>
            <w:vAlign w:val="center"/>
          </w:tcPr>
          <w:p>
            <w:pPr>
              <w:widowControl w:val="0"/>
              <w:jc w:val="center"/>
            </w:pPr>
            <w:r>
              <w:t>–</w:t>
            </w:r>
          </w:p>
        </w:tc>
        <w:tc>
          <w:tcPr>
            <w:tcW w:w="840" w:type="dxa"/>
            <w:vAlign w:val="center"/>
          </w:tcPr>
          <w:p>
            <w:pPr>
              <w:widowControl w:val="0"/>
              <w:jc w:val="center"/>
            </w:pPr>
            <w:r>
              <w:t>–</w:t>
            </w:r>
          </w:p>
        </w:tc>
        <w:tc>
          <w:tcPr>
            <w:tcW w:w="840" w:type="dxa"/>
            <w:vAlign w:val="center"/>
          </w:tcPr>
          <w:p>
            <w:pPr>
              <w:widowControl w:val="0"/>
              <w:jc w:val="center"/>
            </w:pPr>
            <w:r>
              <w:t>–</w:t>
            </w:r>
          </w:p>
        </w:tc>
      </w:tr>
      <w:tr>
        <w:trPr>
          <w:cantSplit/>
          <w:trHeight w:val="20"/>
        </w:trPr>
        <w:tc>
          <w:tcPr>
            <w:tcW w:w="1451" w:type="dxa"/>
            <w:vAlign w:val="center"/>
          </w:tcPr>
          <w:p>
            <w:pPr>
              <w:widowControl w:val="0"/>
              <w:jc w:val="center"/>
            </w:pPr>
            <w:r>
              <w:t>50</w:t>
            </w:r>
          </w:p>
        </w:tc>
        <w:tc>
          <w:tcPr>
            <w:tcW w:w="850" w:type="dxa"/>
            <w:vAlign w:val="center"/>
          </w:tcPr>
          <w:p>
            <w:pPr>
              <w:widowControl w:val="0"/>
              <w:jc w:val="center"/>
            </w:pPr>
            <w:r>
              <w:t>165</w:t>
            </w:r>
          </w:p>
        </w:tc>
        <w:tc>
          <w:tcPr>
            <w:tcW w:w="850" w:type="dxa"/>
            <w:vAlign w:val="center"/>
          </w:tcPr>
          <w:p>
            <w:pPr>
              <w:widowControl w:val="0"/>
              <w:jc w:val="center"/>
            </w:pPr>
            <w:r>
              <w:t>180</w:t>
            </w:r>
          </w:p>
        </w:tc>
        <w:tc>
          <w:tcPr>
            <w:tcW w:w="850" w:type="dxa"/>
            <w:vAlign w:val="center"/>
          </w:tcPr>
          <w:p>
            <w:pPr>
              <w:widowControl w:val="0"/>
              <w:jc w:val="center"/>
            </w:pPr>
            <w:r>
              <w:t>120</w:t>
            </w:r>
          </w:p>
        </w:tc>
        <w:tc>
          <w:tcPr>
            <w:tcW w:w="840" w:type="dxa"/>
            <w:vAlign w:val="center"/>
          </w:tcPr>
          <w:p>
            <w:pPr>
              <w:widowControl w:val="0"/>
              <w:jc w:val="center"/>
            </w:pPr>
            <w:r>
              <w:t>–</w:t>
            </w:r>
          </w:p>
        </w:tc>
        <w:tc>
          <w:tcPr>
            <w:tcW w:w="840" w:type="dxa"/>
            <w:vAlign w:val="center"/>
          </w:tcPr>
          <w:p>
            <w:pPr>
              <w:widowControl w:val="0"/>
              <w:jc w:val="center"/>
            </w:pPr>
            <w:r>
              <w:t>–</w:t>
            </w:r>
          </w:p>
        </w:tc>
        <w:tc>
          <w:tcPr>
            <w:tcW w:w="840" w:type="dxa"/>
            <w:vAlign w:val="center"/>
          </w:tcPr>
          <w:p>
            <w:pPr>
              <w:widowControl w:val="0"/>
              <w:jc w:val="center"/>
            </w:pPr>
            <w:r>
              <w:t>–</w:t>
            </w:r>
          </w:p>
        </w:tc>
      </w:tr>
      <w:tr>
        <w:trPr>
          <w:cantSplit/>
          <w:trHeight w:val="20"/>
        </w:trPr>
        <w:tc>
          <w:tcPr>
            <w:tcW w:w="1451" w:type="dxa"/>
            <w:vAlign w:val="center"/>
          </w:tcPr>
          <w:p>
            <w:pPr>
              <w:widowControl w:val="0"/>
              <w:jc w:val="center"/>
            </w:pPr>
            <w:r>
              <w:t>70</w:t>
            </w:r>
          </w:p>
        </w:tc>
        <w:tc>
          <w:tcPr>
            <w:tcW w:w="850" w:type="dxa"/>
            <w:vAlign w:val="center"/>
          </w:tcPr>
          <w:p>
            <w:pPr>
              <w:widowControl w:val="0"/>
              <w:jc w:val="center"/>
            </w:pPr>
            <w:r>
              <w:t>200</w:t>
            </w:r>
          </w:p>
        </w:tc>
        <w:tc>
          <w:tcPr>
            <w:tcW w:w="850" w:type="dxa"/>
            <w:vAlign w:val="center"/>
          </w:tcPr>
          <w:p>
            <w:pPr>
              <w:widowControl w:val="0"/>
              <w:jc w:val="center"/>
            </w:pPr>
            <w:r>
              <w:t>225</w:t>
            </w:r>
          </w:p>
        </w:tc>
        <w:tc>
          <w:tcPr>
            <w:tcW w:w="850" w:type="dxa"/>
            <w:vAlign w:val="center"/>
          </w:tcPr>
          <w:p>
            <w:pPr>
              <w:widowControl w:val="0"/>
              <w:jc w:val="center"/>
            </w:pPr>
            <w:r>
              <w:t>150</w:t>
            </w:r>
          </w:p>
        </w:tc>
        <w:tc>
          <w:tcPr>
            <w:tcW w:w="840" w:type="dxa"/>
            <w:vAlign w:val="center"/>
          </w:tcPr>
          <w:p>
            <w:pPr>
              <w:widowControl w:val="0"/>
              <w:jc w:val="center"/>
            </w:pPr>
            <w:r>
              <w:t>–</w:t>
            </w:r>
          </w:p>
        </w:tc>
        <w:tc>
          <w:tcPr>
            <w:tcW w:w="840" w:type="dxa"/>
            <w:vAlign w:val="center"/>
          </w:tcPr>
          <w:p>
            <w:pPr>
              <w:widowControl w:val="0"/>
              <w:jc w:val="center"/>
            </w:pPr>
            <w:r>
              <w:t>–</w:t>
            </w:r>
          </w:p>
        </w:tc>
        <w:tc>
          <w:tcPr>
            <w:tcW w:w="840" w:type="dxa"/>
            <w:vAlign w:val="center"/>
          </w:tcPr>
          <w:p>
            <w:pPr>
              <w:widowControl w:val="0"/>
              <w:jc w:val="center"/>
            </w:pPr>
            <w:r>
              <w:t>–</w:t>
            </w:r>
          </w:p>
        </w:tc>
      </w:tr>
      <w:tr>
        <w:trPr>
          <w:cantSplit/>
          <w:trHeight w:val="20"/>
        </w:trPr>
        <w:tc>
          <w:tcPr>
            <w:tcW w:w="1451" w:type="dxa"/>
            <w:vAlign w:val="center"/>
          </w:tcPr>
          <w:p>
            <w:pPr>
              <w:widowControl w:val="0"/>
              <w:jc w:val="center"/>
            </w:pPr>
            <w:r>
              <w:t>95</w:t>
            </w:r>
          </w:p>
        </w:tc>
        <w:tc>
          <w:tcPr>
            <w:tcW w:w="850" w:type="dxa"/>
            <w:vAlign w:val="center"/>
          </w:tcPr>
          <w:p>
            <w:pPr>
              <w:widowControl w:val="0"/>
              <w:jc w:val="center"/>
            </w:pPr>
            <w:r>
              <w:t>240</w:t>
            </w:r>
          </w:p>
        </w:tc>
        <w:tc>
          <w:tcPr>
            <w:tcW w:w="850" w:type="dxa"/>
            <w:vAlign w:val="center"/>
          </w:tcPr>
          <w:p>
            <w:pPr>
              <w:widowControl w:val="0"/>
              <w:jc w:val="center"/>
            </w:pPr>
            <w:r>
              <w:t>275</w:t>
            </w:r>
          </w:p>
        </w:tc>
        <w:tc>
          <w:tcPr>
            <w:tcW w:w="850" w:type="dxa"/>
            <w:vAlign w:val="center"/>
          </w:tcPr>
          <w:p>
            <w:pPr>
              <w:widowControl w:val="0"/>
              <w:jc w:val="center"/>
            </w:pPr>
            <w:r>
              <w:t>180</w:t>
            </w:r>
          </w:p>
        </w:tc>
        <w:tc>
          <w:tcPr>
            <w:tcW w:w="840" w:type="dxa"/>
            <w:vAlign w:val="center"/>
          </w:tcPr>
          <w:p>
            <w:pPr>
              <w:widowControl w:val="0"/>
              <w:jc w:val="center"/>
            </w:pPr>
            <w:r>
              <w:t>–</w:t>
            </w:r>
          </w:p>
        </w:tc>
        <w:tc>
          <w:tcPr>
            <w:tcW w:w="840" w:type="dxa"/>
            <w:vAlign w:val="center"/>
          </w:tcPr>
          <w:p>
            <w:pPr>
              <w:widowControl w:val="0"/>
              <w:jc w:val="center"/>
            </w:pPr>
            <w:r>
              <w:t>–</w:t>
            </w:r>
          </w:p>
        </w:tc>
        <w:tc>
          <w:tcPr>
            <w:tcW w:w="840" w:type="dxa"/>
            <w:vAlign w:val="center"/>
          </w:tcPr>
          <w:p>
            <w:pPr>
              <w:widowControl w:val="0"/>
              <w:jc w:val="center"/>
            </w:pPr>
            <w:r>
              <w:t>–</w:t>
            </w:r>
          </w:p>
        </w:tc>
      </w:tr>
      <w:tr>
        <w:trPr>
          <w:cantSplit/>
          <w:trHeight w:val="20"/>
        </w:trPr>
        <w:tc>
          <w:tcPr>
            <w:tcW w:w="1451" w:type="dxa"/>
            <w:vAlign w:val="center"/>
          </w:tcPr>
          <w:p>
            <w:pPr>
              <w:widowControl w:val="0"/>
              <w:jc w:val="center"/>
            </w:pPr>
            <w:r>
              <w:t>120</w:t>
            </w:r>
          </w:p>
        </w:tc>
        <w:tc>
          <w:tcPr>
            <w:tcW w:w="850" w:type="dxa"/>
            <w:vAlign w:val="center"/>
          </w:tcPr>
          <w:p>
            <w:pPr>
              <w:widowControl w:val="0"/>
              <w:jc w:val="center"/>
            </w:pPr>
            <w:r>
              <w:t>275</w:t>
            </w:r>
          </w:p>
        </w:tc>
        <w:tc>
          <w:tcPr>
            <w:tcW w:w="850" w:type="dxa"/>
            <w:vAlign w:val="center"/>
          </w:tcPr>
          <w:p>
            <w:pPr>
              <w:widowControl w:val="0"/>
              <w:jc w:val="center"/>
            </w:pPr>
            <w:r>
              <w:t>315</w:t>
            </w:r>
          </w:p>
        </w:tc>
        <w:tc>
          <w:tcPr>
            <w:tcW w:w="850" w:type="dxa"/>
            <w:vAlign w:val="center"/>
          </w:tcPr>
          <w:p>
            <w:pPr>
              <w:widowControl w:val="0"/>
              <w:jc w:val="center"/>
            </w:pPr>
            <w:r>
              <w:t>205</w:t>
            </w:r>
          </w:p>
        </w:tc>
        <w:tc>
          <w:tcPr>
            <w:tcW w:w="840" w:type="dxa"/>
            <w:vAlign w:val="center"/>
          </w:tcPr>
          <w:p>
            <w:pPr>
              <w:widowControl w:val="0"/>
              <w:jc w:val="center"/>
            </w:pPr>
            <w:r>
              <w:t>270</w:t>
            </w:r>
          </w:p>
        </w:tc>
        <w:tc>
          <w:tcPr>
            <w:tcW w:w="840" w:type="dxa"/>
            <w:vAlign w:val="center"/>
          </w:tcPr>
          <w:p>
            <w:pPr>
              <w:widowControl w:val="0"/>
              <w:jc w:val="center"/>
            </w:pPr>
            <w:r>
              <w:t>290</w:t>
            </w:r>
          </w:p>
        </w:tc>
        <w:tc>
          <w:tcPr>
            <w:tcW w:w="840" w:type="dxa"/>
            <w:vAlign w:val="center"/>
          </w:tcPr>
          <w:p>
            <w:pPr>
              <w:widowControl w:val="0"/>
              <w:jc w:val="center"/>
            </w:pPr>
            <w:r>
              <w:t>205</w:t>
            </w:r>
          </w:p>
        </w:tc>
      </w:tr>
      <w:tr>
        <w:trPr>
          <w:cantSplit/>
          <w:trHeight w:val="20"/>
        </w:trPr>
        <w:tc>
          <w:tcPr>
            <w:tcW w:w="1451" w:type="dxa"/>
            <w:vAlign w:val="center"/>
          </w:tcPr>
          <w:p>
            <w:pPr>
              <w:widowControl w:val="0"/>
              <w:jc w:val="center"/>
            </w:pPr>
            <w:r>
              <w:t>150</w:t>
            </w:r>
          </w:p>
        </w:tc>
        <w:tc>
          <w:tcPr>
            <w:tcW w:w="850" w:type="dxa"/>
            <w:vAlign w:val="center"/>
          </w:tcPr>
          <w:p>
            <w:pPr>
              <w:widowControl w:val="0"/>
              <w:jc w:val="center"/>
            </w:pPr>
            <w:r>
              <w:t>315</w:t>
            </w:r>
          </w:p>
        </w:tc>
        <w:tc>
          <w:tcPr>
            <w:tcW w:w="850" w:type="dxa"/>
            <w:vAlign w:val="center"/>
          </w:tcPr>
          <w:p>
            <w:pPr>
              <w:widowControl w:val="0"/>
              <w:jc w:val="center"/>
            </w:pPr>
            <w:r>
              <w:t>350</w:t>
            </w:r>
          </w:p>
        </w:tc>
        <w:tc>
          <w:tcPr>
            <w:tcW w:w="850" w:type="dxa"/>
            <w:vAlign w:val="center"/>
          </w:tcPr>
          <w:p>
            <w:pPr>
              <w:widowControl w:val="0"/>
              <w:jc w:val="center"/>
            </w:pPr>
            <w:r>
              <w:t>230</w:t>
            </w:r>
          </w:p>
        </w:tc>
        <w:tc>
          <w:tcPr>
            <w:tcW w:w="840" w:type="dxa"/>
            <w:vAlign w:val="center"/>
          </w:tcPr>
          <w:p>
            <w:pPr>
              <w:widowControl w:val="0"/>
              <w:jc w:val="center"/>
            </w:pPr>
            <w:r>
              <w:t>310</w:t>
            </w:r>
          </w:p>
        </w:tc>
        <w:tc>
          <w:tcPr>
            <w:tcW w:w="840" w:type="dxa"/>
            <w:vAlign w:val="center"/>
          </w:tcPr>
          <w:p>
            <w:pPr>
              <w:widowControl w:val="0"/>
              <w:jc w:val="center"/>
            </w:pPr>
            <w:r>
              <w:t>–</w:t>
            </w:r>
          </w:p>
        </w:tc>
        <w:tc>
          <w:tcPr>
            <w:tcW w:w="840" w:type="dxa"/>
            <w:vAlign w:val="center"/>
          </w:tcPr>
          <w:p>
            <w:pPr>
              <w:widowControl w:val="0"/>
              <w:jc w:val="center"/>
            </w:pPr>
            <w:r>
              <w:t>230</w:t>
            </w:r>
          </w:p>
        </w:tc>
      </w:tr>
      <w:tr>
        <w:trPr>
          <w:cantSplit/>
          <w:trHeight w:val="20"/>
        </w:trPr>
        <w:tc>
          <w:tcPr>
            <w:tcW w:w="1451" w:type="dxa"/>
            <w:vAlign w:val="center"/>
          </w:tcPr>
          <w:p>
            <w:pPr>
              <w:widowControl w:val="0"/>
              <w:jc w:val="center"/>
            </w:pPr>
            <w:r>
              <w:t>185</w:t>
            </w:r>
          </w:p>
        </w:tc>
        <w:tc>
          <w:tcPr>
            <w:tcW w:w="850" w:type="dxa"/>
            <w:vAlign w:val="center"/>
          </w:tcPr>
          <w:p>
            <w:pPr>
              <w:widowControl w:val="0"/>
              <w:jc w:val="center"/>
            </w:pPr>
            <w:r>
              <w:t>355</w:t>
            </w:r>
          </w:p>
        </w:tc>
        <w:tc>
          <w:tcPr>
            <w:tcW w:w="850" w:type="dxa"/>
            <w:vAlign w:val="center"/>
          </w:tcPr>
          <w:p>
            <w:pPr>
              <w:widowControl w:val="0"/>
              <w:jc w:val="center"/>
            </w:pPr>
            <w:r>
              <w:t>390</w:t>
            </w:r>
          </w:p>
        </w:tc>
        <w:tc>
          <w:tcPr>
            <w:tcW w:w="850" w:type="dxa"/>
            <w:vAlign w:val="center"/>
          </w:tcPr>
          <w:p>
            <w:pPr>
              <w:widowControl w:val="0"/>
              <w:jc w:val="center"/>
            </w:pPr>
            <w:r>
              <w:t>265</w:t>
            </w:r>
          </w:p>
        </w:tc>
        <w:tc>
          <w:tcPr>
            <w:tcW w:w="840" w:type="dxa"/>
            <w:vAlign w:val="center"/>
          </w:tcPr>
          <w:p>
            <w:pPr>
              <w:widowControl w:val="0"/>
              <w:jc w:val="center"/>
            </w:pPr>
            <w:r>
              <w:t>–</w:t>
            </w:r>
          </w:p>
        </w:tc>
        <w:tc>
          <w:tcPr>
            <w:tcW w:w="840" w:type="dxa"/>
            <w:vAlign w:val="center"/>
          </w:tcPr>
          <w:p>
            <w:pPr>
              <w:widowControl w:val="0"/>
              <w:jc w:val="center"/>
            </w:pPr>
            <w:r>
              <w:t>–</w:t>
            </w:r>
          </w:p>
        </w:tc>
        <w:tc>
          <w:tcPr>
            <w:tcW w:w="840" w:type="dxa"/>
            <w:vAlign w:val="center"/>
          </w:tcPr>
          <w:p>
            <w:pPr>
              <w:widowControl w:val="0"/>
              <w:jc w:val="center"/>
            </w:pPr>
            <w:r>
              <w:t>–</w:t>
            </w:r>
          </w:p>
        </w:tc>
      </w:tr>
    </w:tbl>
    <w:p>
      <w:pPr>
        <w:widowControl w:val="0"/>
        <w:ind w:firstLine="567"/>
        <w:jc w:val="both"/>
        <w:rPr>
          <w:b/>
          <w:bCs/>
        </w:rPr>
      </w:pPr>
    </w:p>
    <w:p>
      <w:pPr>
        <w:widowControl w:val="0"/>
        <w:ind w:firstLine="567"/>
        <w:jc w:val="both"/>
        <w:rPr>
          <w:b/>
          <w:bCs/>
        </w:rPr>
      </w:pPr>
      <w:r>
        <w:rPr>
          <w:b/>
          <w:bCs/>
        </w:rPr>
        <w:t>22 lentelė. Žemėje, vandenyje arba ore tiesiamų 20 ir 35 kV įtampos aliumininių kabelių atskirais gyslų švininiais apvalkalais, netakia mase arba alyvos kanifolijos mišiniu įmirkyta popierine izoliacija leistinoji ilgalaikė srovė</w:t>
      </w:r>
    </w:p>
    <w:p>
      <w:pPr>
        <w:widowControl w:val="0"/>
        <w:ind w:firstLine="567"/>
        <w:jc w:val="both"/>
      </w:pPr>
    </w:p>
    <w:p>
      <w:pPr>
        <w:widowControl w:val="0"/>
        <w:ind w:firstLine="567"/>
        <w:jc w:val="both"/>
      </w:pPr>
      <w:r>
        <w:t xml:space="preserve">Temperatūra: kabelių – pagal Taisyklių 68 punktą, žemės ir vandens +15 </w:t>
      </w:r>
      <w:r>
        <w:rPr>
          <w:vertAlign w:val="superscript"/>
        </w:rPr>
        <w:t>o</w:t>
      </w:r>
      <w:r>
        <w:t xml:space="preserve">C, oro +25 </w:t>
      </w:r>
      <w:r>
        <w:rPr>
          <w:vertAlign w:val="superscript"/>
        </w:rPr>
        <w:t>o</w:t>
      </w:r>
      <w:r>
        <w:t>C.</w:t>
      </w:r>
    </w:p>
    <w:p>
      <w:pPr>
        <w:widowControl w:val="0"/>
        <w:ind w:firstLine="567"/>
        <w:jc w:val="both"/>
      </w:pPr>
      <w:r>
        <w:t>Žemės savitoji šiluminė varža 1,2 K·m/W.</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01"/>
        <w:gridCol w:w="1178"/>
        <w:gridCol w:w="1178"/>
        <w:gridCol w:w="1178"/>
        <w:gridCol w:w="1178"/>
        <w:gridCol w:w="1178"/>
        <w:gridCol w:w="1179"/>
      </w:tblGrid>
      <w:tr>
        <w:trPr>
          <w:cantSplit/>
          <w:trHeight w:val="20"/>
          <w:tblHeader/>
        </w:trPr>
        <w:tc>
          <w:tcPr>
            <w:tcW w:w="1438" w:type="dxa"/>
            <w:vMerge w:val="restart"/>
            <w:vAlign w:val="center"/>
          </w:tcPr>
          <w:p>
            <w:pPr>
              <w:widowControl w:val="0"/>
              <w:jc w:val="center"/>
            </w:pPr>
            <w:r>
              <w:t>Kabelio skerspjūvis,</w:t>
            </w:r>
          </w:p>
          <w:p>
            <w:pPr>
              <w:widowControl w:val="0"/>
              <w:jc w:val="center"/>
            </w:pPr>
            <w:r>
              <w:t>mm</w:t>
            </w:r>
            <w:r>
              <w:rPr>
                <w:vertAlign w:val="superscript"/>
              </w:rPr>
              <w:t>2</w:t>
            </w:r>
          </w:p>
        </w:tc>
        <w:tc>
          <w:tcPr>
            <w:tcW w:w="5083" w:type="dxa"/>
            <w:gridSpan w:val="6"/>
            <w:vAlign w:val="center"/>
          </w:tcPr>
          <w:p>
            <w:pPr>
              <w:widowControl w:val="0"/>
              <w:jc w:val="center"/>
            </w:pPr>
            <w:r>
              <w:t>Kabelių leistinoji ilgalaikė srovė, A</w:t>
            </w:r>
          </w:p>
        </w:tc>
      </w:tr>
      <w:tr>
        <w:trPr>
          <w:cantSplit/>
          <w:trHeight w:val="20"/>
          <w:tblHeader/>
        </w:trPr>
        <w:tc>
          <w:tcPr>
            <w:tcW w:w="1438" w:type="dxa"/>
            <w:vMerge/>
            <w:vAlign w:val="center"/>
          </w:tcPr>
          <w:p>
            <w:pPr>
              <w:widowControl w:val="0"/>
              <w:jc w:val="center"/>
            </w:pPr>
          </w:p>
        </w:tc>
        <w:tc>
          <w:tcPr>
            <w:tcW w:w="2541" w:type="dxa"/>
            <w:gridSpan w:val="3"/>
            <w:vAlign w:val="center"/>
          </w:tcPr>
          <w:p>
            <w:pPr>
              <w:widowControl w:val="0"/>
              <w:jc w:val="center"/>
            </w:pPr>
            <w:r>
              <w:t>20 kV</w:t>
            </w:r>
          </w:p>
        </w:tc>
        <w:tc>
          <w:tcPr>
            <w:tcW w:w="2542" w:type="dxa"/>
            <w:gridSpan w:val="3"/>
            <w:vAlign w:val="center"/>
          </w:tcPr>
          <w:p>
            <w:pPr>
              <w:widowControl w:val="0"/>
              <w:jc w:val="center"/>
            </w:pPr>
            <w:r>
              <w:t>35 kV</w:t>
            </w:r>
          </w:p>
        </w:tc>
      </w:tr>
      <w:tr>
        <w:trPr>
          <w:cantSplit/>
          <w:trHeight w:val="20"/>
          <w:tblHeader/>
        </w:trPr>
        <w:tc>
          <w:tcPr>
            <w:tcW w:w="1438" w:type="dxa"/>
            <w:vMerge/>
            <w:vAlign w:val="center"/>
          </w:tcPr>
          <w:p>
            <w:pPr>
              <w:widowControl w:val="0"/>
              <w:jc w:val="center"/>
            </w:pPr>
          </w:p>
        </w:tc>
        <w:tc>
          <w:tcPr>
            <w:tcW w:w="847" w:type="dxa"/>
            <w:vAlign w:val="center"/>
          </w:tcPr>
          <w:p>
            <w:pPr>
              <w:widowControl w:val="0"/>
              <w:jc w:val="center"/>
            </w:pPr>
            <w:r>
              <w:t>žemėje</w:t>
            </w:r>
          </w:p>
        </w:tc>
        <w:tc>
          <w:tcPr>
            <w:tcW w:w="847" w:type="dxa"/>
            <w:vAlign w:val="center"/>
          </w:tcPr>
          <w:p>
            <w:pPr>
              <w:widowControl w:val="0"/>
              <w:jc w:val="center"/>
            </w:pPr>
            <w:r>
              <w:t>vandenyje</w:t>
            </w:r>
          </w:p>
        </w:tc>
        <w:tc>
          <w:tcPr>
            <w:tcW w:w="847" w:type="dxa"/>
            <w:vAlign w:val="center"/>
          </w:tcPr>
          <w:p>
            <w:pPr>
              <w:widowControl w:val="0"/>
              <w:jc w:val="center"/>
            </w:pPr>
            <w:r>
              <w:t>ore</w:t>
            </w:r>
          </w:p>
        </w:tc>
        <w:tc>
          <w:tcPr>
            <w:tcW w:w="847" w:type="dxa"/>
            <w:vAlign w:val="center"/>
          </w:tcPr>
          <w:p>
            <w:pPr>
              <w:widowControl w:val="0"/>
              <w:jc w:val="center"/>
            </w:pPr>
            <w:r>
              <w:t>žemėje</w:t>
            </w:r>
          </w:p>
        </w:tc>
        <w:tc>
          <w:tcPr>
            <w:tcW w:w="847" w:type="dxa"/>
            <w:vAlign w:val="center"/>
          </w:tcPr>
          <w:p>
            <w:pPr>
              <w:widowControl w:val="0"/>
              <w:jc w:val="center"/>
            </w:pPr>
            <w:r>
              <w:t>vandenyje</w:t>
            </w:r>
          </w:p>
        </w:tc>
        <w:tc>
          <w:tcPr>
            <w:tcW w:w="848" w:type="dxa"/>
            <w:vAlign w:val="center"/>
          </w:tcPr>
          <w:p>
            <w:pPr>
              <w:widowControl w:val="0"/>
              <w:jc w:val="center"/>
            </w:pPr>
            <w:r>
              <w:t>ore</w:t>
            </w:r>
          </w:p>
        </w:tc>
      </w:tr>
      <w:tr>
        <w:trPr>
          <w:trHeight w:val="20"/>
        </w:trPr>
        <w:tc>
          <w:tcPr>
            <w:tcW w:w="1438" w:type="dxa"/>
            <w:vAlign w:val="center"/>
          </w:tcPr>
          <w:p>
            <w:pPr>
              <w:widowControl w:val="0"/>
              <w:jc w:val="center"/>
            </w:pPr>
            <w:r>
              <w:t>25</w:t>
            </w:r>
          </w:p>
        </w:tc>
        <w:tc>
          <w:tcPr>
            <w:tcW w:w="847" w:type="dxa"/>
            <w:vAlign w:val="center"/>
          </w:tcPr>
          <w:p>
            <w:pPr>
              <w:widowControl w:val="0"/>
              <w:jc w:val="center"/>
            </w:pPr>
            <w:r>
              <w:t>85</w:t>
            </w:r>
          </w:p>
        </w:tc>
        <w:tc>
          <w:tcPr>
            <w:tcW w:w="847" w:type="dxa"/>
            <w:vAlign w:val="center"/>
          </w:tcPr>
          <w:p>
            <w:pPr>
              <w:widowControl w:val="0"/>
              <w:jc w:val="center"/>
            </w:pPr>
            <w:r>
              <w:t>90</w:t>
            </w:r>
          </w:p>
        </w:tc>
        <w:tc>
          <w:tcPr>
            <w:tcW w:w="847" w:type="dxa"/>
            <w:vAlign w:val="center"/>
          </w:tcPr>
          <w:p>
            <w:pPr>
              <w:widowControl w:val="0"/>
              <w:jc w:val="center"/>
            </w:pPr>
            <w:r>
              <w:t>65</w:t>
            </w:r>
          </w:p>
        </w:tc>
        <w:tc>
          <w:tcPr>
            <w:tcW w:w="847" w:type="dxa"/>
            <w:vAlign w:val="center"/>
          </w:tcPr>
          <w:p>
            <w:pPr>
              <w:widowControl w:val="0"/>
              <w:jc w:val="center"/>
            </w:pPr>
            <w:r>
              <w:t>–</w:t>
            </w:r>
          </w:p>
        </w:tc>
        <w:tc>
          <w:tcPr>
            <w:tcW w:w="847" w:type="dxa"/>
            <w:vAlign w:val="center"/>
          </w:tcPr>
          <w:p>
            <w:pPr>
              <w:widowControl w:val="0"/>
              <w:jc w:val="center"/>
            </w:pPr>
            <w:r>
              <w:t>–</w:t>
            </w:r>
          </w:p>
        </w:tc>
        <w:tc>
          <w:tcPr>
            <w:tcW w:w="848" w:type="dxa"/>
            <w:vAlign w:val="center"/>
          </w:tcPr>
          <w:p>
            <w:pPr>
              <w:widowControl w:val="0"/>
              <w:jc w:val="center"/>
            </w:pPr>
            <w:r>
              <w:t>–</w:t>
            </w:r>
          </w:p>
        </w:tc>
      </w:tr>
      <w:tr>
        <w:trPr>
          <w:trHeight w:val="20"/>
        </w:trPr>
        <w:tc>
          <w:tcPr>
            <w:tcW w:w="1438" w:type="dxa"/>
            <w:vAlign w:val="center"/>
          </w:tcPr>
          <w:p>
            <w:pPr>
              <w:widowControl w:val="0"/>
              <w:jc w:val="center"/>
            </w:pPr>
            <w:r>
              <w:t>35</w:t>
            </w:r>
          </w:p>
        </w:tc>
        <w:tc>
          <w:tcPr>
            <w:tcW w:w="847" w:type="dxa"/>
            <w:vAlign w:val="center"/>
          </w:tcPr>
          <w:p>
            <w:pPr>
              <w:widowControl w:val="0"/>
              <w:jc w:val="center"/>
            </w:pPr>
            <w:r>
              <w:t>105</w:t>
            </w:r>
          </w:p>
        </w:tc>
        <w:tc>
          <w:tcPr>
            <w:tcW w:w="847" w:type="dxa"/>
            <w:vAlign w:val="center"/>
          </w:tcPr>
          <w:p>
            <w:pPr>
              <w:widowControl w:val="0"/>
              <w:jc w:val="center"/>
            </w:pPr>
            <w:r>
              <w:t>110</w:t>
            </w:r>
          </w:p>
        </w:tc>
        <w:tc>
          <w:tcPr>
            <w:tcW w:w="847" w:type="dxa"/>
            <w:vAlign w:val="center"/>
          </w:tcPr>
          <w:p>
            <w:pPr>
              <w:widowControl w:val="0"/>
              <w:jc w:val="center"/>
            </w:pPr>
            <w:r>
              <w:t>75</w:t>
            </w:r>
          </w:p>
        </w:tc>
        <w:tc>
          <w:tcPr>
            <w:tcW w:w="847" w:type="dxa"/>
            <w:vAlign w:val="center"/>
          </w:tcPr>
          <w:p>
            <w:pPr>
              <w:widowControl w:val="0"/>
              <w:jc w:val="center"/>
            </w:pPr>
            <w:r>
              <w:t>–</w:t>
            </w:r>
          </w:p>
        </w:tc>
        <w:tc>
          <w:tcPr>
            <w:tcW w:w="847" w:type="dxa"/>
            <w:vAlign w:val="center"/>
          </w:tcPr>
          <w:p>
            <w:pPr>
              <w:widowControl w:val="0"/>
              <w:jc w:val="center"/>
            </w:pPr>
            <w:r>
              <w:t>–</w:t>
            </w:r>
          </w:p>
        </w:tc>
        <w:tc>
          <w:tcPr>
            <w:tcW w:w="848" w:type="dxa"/>
            <w:vAlign w:val="center"/>
          </w:tcPr>
          <w:p>
            <w:pPr>
              <w:widowControl w:val="0"/>
              <w:jc w:val="center"/>
            </w:pPr>
            <w:r>
              <w:t>–</w:t>
            </w:r>
          </w:p>
        </w:tc>
      </w:tr>
      <w:tr>
        <w:trPr>
          <w:trHeight w:val="20"/>
        </w:trPr>
        <w:tc>
          <w:tcPr>
            <w:tcW w:w="1438" w:type="dxa"/>
            <w:vAlign w:val="center"/>
          </w:tcPr>
          <w:p>
            <w:pPr>
              <w:widowControl w:val="0"/>
              <w:jc w:val="center"/>
            </w:pPr>
            <w:r>
              <w:t>50</w:t>
            </w:r>
          </w:p>
        </w:tc>
        <w:tc>
          <w:tcPr>
            <w:tcW w:w="847" w:type="dxa"/>
            <w:vAlign w:val="center"/>
          </w:tcPr>
          <w:p>
            <w:pPr>
              <w:widowControl w:val="0"/>
              <w:jc w:val="center"/>
            </w:pPr>
            <w:r>
              <w:t>125</w:t>
            </w:r>
          </w:p>
        </w:tc>
        <w:tc>
          <w:tcPr>
            <w:tcW w:w="847" w:type="dxa"/>
            <w:vAlign w:val="center"/>
          </w:tcPr>
          <w:p>
            <w:pPr>
              <w:widowControl w:val="0"/>
              <w:jc w:val="center"/>
            </w:pPr>
            <w:r>
              <w:t>140</w:t>
            </w:r>
          </w:p>
        </w:tc>
        <w:tc>
          <w:tcPr>
            <w:tcW w:w="847" w:type="dxa"/>
            <w:vAlign w:val="center"/>
          </w:tcPr>
          <w:p>
            <w:pPr>
              <w:widowControl w:val="0"/>
              <w:jc w:val="center"/>
            </w:pPr>
            <w:r>
              <w:t>90</w:t>
            </w:r>
          </w:p>
        </w:tc>
        <w:tc>
          <w:tcPr>
            <w:tcW w:w="847" w:type="dxa"/>
            <w:vAlign w:val="center"/>
          </w:tcPr>
          <w:p>
            <w:pPr>
              <w:widowControl w:val="0"/>
              <w:jc w:val="center"/>
            </w:pPr>
            <w:r>
              <w:t>–</w:t>
            </w:r>
          </w:p>
        </w:tc>
        <w:tc>
          <w:tcPr>
            <w:tcW w:w="847" w:type="dxa"/>
            <w:vAlign w:val="center"/>
          </w:tcPr>
          <w:p>
            <w:pPr>
              <w:widowControl w:val="0"/>
              <w:jc w:val="center"/>
            </w:pPr>
            <w:r>
              <w:t>–</w:t>
            </w:r>
          </w:p>
        </w:tc>
        <w:tc>
          <w:tcPr>
            <w:tcW w:w="848" w:type="dxa"/>
            <w:vAlign w:val="center"/>
          </w:tcPr>
          <w:p>
            <w:pPr>
              <w:widowControl w:val="0"/>
              <w:jc w:val="center"/>
            </w:pPr>
            <w:r>
              <w:t>–</w:t>
            </w:r>
          </w:p>
        </w:tc>
      </w:tr>
      <w:tr>
        <w:trPr>
          <w:trHeight w:val="20"/>
        </w:trPr>
        <w:tc>
          <w:tcPr>
            <w:tcW w:w="1438" w:type="dxa"/>
            <w:vAlign w:val="center"/>
          </w:tcPr>
          <w:p>
            <w:pPr>
              <w:widowControl w:val="0"/>
              <w:jc w:val="center"/>
            </w:pPr>
            <w:r>
              <w:t>70</w:t>
            </w:r>
          </w:p>
        </w:tc>
        <w:tc>
          <w:tcPr>
            <w:tcW w:w="847" w:type="dxa"/>
            <w:vAlign w:val="center"/>
          </w:tcPr>
          <w:p>
            <w:pPr>
              <w:widowControl w:val="0"/>
              <w:jc w:val="center"/>
            </w:pPr>
            <w:r>
              <w:t>155</w:t>
            </w:r>
          </w:p>
        </w:tc>
        <w:tc>
          <w:tcPr>
            <w:tcW w:w="847" w:type="dxa"/>
            <w:vAlign w:val="center"/>
          </w:tcPr>
          <w:p>
            <w:pPr>
              <w:widowControl w:val="0"/>
              <w:jc w:val="center"/>
            </w:pPr>
            <w:r>
              <w:t>175</w:t>
            </w:r>
          </w:p>
        </w:tc>
        <w:tc>
          <w:tcPr>
            <w:tcW w:w="847" w:type="dxa"/>
            <w:vAlign w:val="center"/>
          </w:tcPr>
          <w:p>
            <w:pPr>
              <w:widowControl w:val="0"/>
              <w:jc w:val="center"/>
            </w:pPr>
            <w:r>
              <w:t>115</w:t>
            </w:r>
          </w:p>
        </w:tc>
        <w:tc>
          <w:tcPr>
            <w:tcW w:w="847" w:type="dxa"/>
            <w:vAlign w:val="center"/>
          </w:tcPr>
          <w:p>
            <w:pPr>
              <w:widowControl w:val="0"/>
              <w:jc w:val="center"/>
            </w:pPr>
            <w:r>
              <w:t>–</w:t>
            </w:r>
          </w:p>
        </w:tc>
        <w:tc>
          <w:tcPr>
            <w:tcW w:w="847" w:type="dxa"/>
            <w:vAlign w:val="center"/>
          </w:tcPr>
          <w:p>
            <w:pPr>
              <w:widowControl w:val="0"/>
              <w:jc w:val="center"/>
            </w:pPr>
            <w:r>
              <w:t>–</w:t>
            </w:r>
          </w:p>
        </w:tc>
        <w:tc>
          <w:tcPr>
            <w:tcW w:w="848" w:type="dxa"/>
            <w:vAlign w:val="center"/>
          </w:tcPr>
          <w:p>
            <w:pPr>
              <w:widowControl w:val="0"/>
              <w:jc w:val="center"/>
            </w:pPr>
            <w:r>
              <w:t>–</w:t>
            </w:r>
          </w:p>
        </w:tc>
      </w:tr>
      <w:tr>
        <w:trPr>
          <w:trHeight w:val="20"/>
        </w:trPr>
        <w:tc>
          <w:tcPr>
            <w:tcW w:w="1438" w:type="dxa"/>
            <w:vAlign w:val="center"/>
          </w:tcPr>
          <w:p>
            <w:pPr>
              <w:widowControl w:val="0"/>
              <w:jc w:val="center"/>
            </w:pPr>
            <w:r>
              <w:t>95</w:t>
            </w:r>
          </w:p>
        </w:tc>
        <w:tc>
          <w:tcPr>
            <w:tcW w:w="847" w:type="dxa"/>
            <w:vAlign w:val="center"/>
          </w:tcPr>
          <w:p>
            <w:pPr>
              <w:widowControl w:val="0"/>
              <w:jc w:val="center"/>
            </w:pPr>
            <w:r>
              <w:t>185</w:t>
            </w:r>
          </w:p>
        </w:tc>
        <w:tc>
          <w:tcPr>
            <w:tcW w:w="847" w:type="dxa"/>
            <w:vAlign w:val="center"/>
          </w:tcPr>
          <w:p>
            <w:pPr>
              <w:widowControl w:val="0"/>
              <w:jc w:val="center"/>
            </w:pPr>
            <w:r>
              <w:t>210</w:t>
            </w:r>
          </w:p>
        </w:tc>
        <w:tc>
          <w:tcPr>
            <w:tcW w:w="847" w:type="dxa"/>
            <w:vAlign w:val="center"/>
          </w:tcPr>
          <w:p>
            <w:pPr>
              <w:widowControl w:val="0"/>
              <w:jc w:val="center"/>
            </w:pPr>
            <w:r>
              <w:t>140</w:t>
            </w:r>
          </w:p>
        </w:tc>
        <w:tc>
          <w:tcPr>
            <w:tcW w:w="847" w:type="dxa"/>
            <w:vAlign w:val="center"/>
          </w:tcPr>
          <w:p>
            <w:pPr>
              <w:widowControl w:val="0"/>
              <w:jc w:val="center"/>
            </w:pPr>
            <w:r>
              <w:t>–</w:t>
            </w:r>
          </w:p>
        </w:tc>
        <w:tc>
          <w:tcPr>
            <w:tcW w:w="847" w:type="dxa"/>
            <w:vAlign w:val="center"/>
          </w:tcPr>
          <w:p>
            <w:pPr>
              <w:widowControl w:val="0"/>
              <w:jc w:val="center"/>
            </w:pPr>
            <w:r>
              <w:t>–</w:t>
            </w:r>
          </w:p>
        </w:tc>
        <w:tc>
          <w:tcPr>
            <w:tcW w:w="848" w:type="dxa"/>
            <w:vAlign w:val="center"/>
          </w:tcPr>
          <w:p>
            <w:pPr>
              <w:widowControl w:val="0"/>
              <w:jc w:val="center"/>
            </w:pPr>
            <w:r>
              <w:t>–</w:t>
            </w:r>
          </w:p>
        </w:tc>
      </w:tr>
      <w:tr>
        <w:trPr>
          <w:trHeight w:val="20"/>
        </w:trPr>
        <w:tc>
          <w:tcPr>
            <w:tcW w:w="1438" w:type="dxa"/>
            <w:vAlign w:val="center"/>
          </w:tcPr>
          <w:p>
            <w:pPr>
              <w:widowControl w:val="0"/>
              <w:jc w:val="center"/>
            </w:pPr>
            <w:r>
              <w:t>120</w:t>
            </w:r>
          </w:p>
        </w:tc>
        <w:tc>
          <w:tcPr>
            <w:tcW w:w="847" w:type="dxa"/>
            <w:vAlign w:val="center"/>
          </w:tcPr>
          <w:p>
            <w:pPr>
              <w:widowControl w:val="0"/>
              <w:jc w:val="center"/>
            </w:pPr>
            <w:r>
              <w:t>210</w:t>
            </w:r>
          </w:p>
        </w:tc>
        <w:tc>
          <w:tcPr>
            <w:tcW w:w="847" w:type="dxa"/>
            <w:vAlign w:val="center"/>
          </w:tcPr>
          <w:p>
            <w:pPr>
              <w:widowControl w:val="0"/>
              <w:jc w:val="center"/>
            </w:pPr>
            <w:r>
              <w:t>245</w:t>
            </w:r>
          </w:p>
        </w:tc>
        <w:tc>
          <w:tcPr>
            <w:tcW w:w="847" w:type="dxa"/>
            <w:vAlign w:val="center"/>
          </w:tcPr>
          <w:p>
            <w:pPr>
              <w:widowControl w:val="0"/>
              <w:jc w:val="center"/>
            </w:pPr>
            <w:r>
              <w:t>160</w:t>
            </w:r>
          </w:p>
        </w:tc>
        <w:tc>
          <w:tcPr>
            <w:tcW w:w="847" w:type="dxa"/>
            <w:vAlign w:val="center"/>
          </w:tcPr>
          <w:p>
            <w:pPr>
              <w:widowControl w:val="0"/>
              <w:jc w:val="center"/>
            </w:pPr>
            <w:r>
              <w:t>210</w:t>
            </w:r>
          </w:p>
        </w:tc>
        <w:tc>
          <w:tcPr>
            <w:tcW w:w="847" w:type="dxa"/>
            <w:vAlign w:val="center"/>
          </w:tcPr>
          <w:p>
            <w:pPr>
              <w:widowControl w:val="0"/>
              <w:jc w:val="center"/>
            </w:pPr>
            <w:r>
              <w:t>225</w:t>
            </w:r>
          </w:p>
        </w:tc>
        <w:tc>
          <w:tcPr>
            <w:tcW w:w="848" w:type="dxa"/>
            <w:vAlign w:val="center"/>
          </w:tcPr>
          <w:p>
            <w:pPr>
              <w:widowControl w:val="0"/>
              <w:jc w:val="center"/>
            </w:pPr>
            <w:r>
              <w:t>160</w:t>
            </w:r>
          </w:p>
        </w:tc>
      </w:tr>
      <w:tr>
        <w:trPr>
          <w:trHeight w:val="20"/>
        </w:trPr>
        <w:tc>
          <w:tcPr>
            <w:tcW w:w="1438" w:type="dxa"/>
            <w:vAlign w:val="center"/>
          </w:tcPr>
          <w:p>
            <w:pPr>
              <w:widowControl w:val="0"/>
              <w:jc w:val="center"/>
            </w:pPr>
            <w:r>
              <w:t>150</w:t>
            </w:r>
          </w:p>
        </w:tc>
        <w:tc>
          <w:tcPr>
            <w:tcW w:w="847" w:type="dxa"/>
            <w:vAlign w:val="center"/>
          </w:tcPr>
          <w:p>
            <w:pPr>
              <w:widowControl w:val="0"/>
              <w:jc w:val="center"/>
            </w:pPr>
            <w:r>
              <w:t>240</w:t>
            </w:r>
          </w:p>
        </w:tc>
        <w:tc>
          <w:tcPr>
            <w:tcW w:w="847" w:type="dxa"/>
            <w:vAlign w:val="center"/>
          </w:tcPr>
          <w:p>
            <w:pPr>
              <w:widowControl w:val="0"/>
              <w:jc w:val="center"/>
            </w:pPr>
            <w:r>
              <w:t>270</w:t>
            </w:r>
          </w:p>
        </w:tc>
        <w:tc>
          <w:tcPr>
            <w:tcW w:w="847" w:type="dxa"/>
            <w:vAlign w:val="center"/>
          </w:tcPr>
          <w:p>
            <w:pPr>
              <w:widowControl w:val="0"/>
              <w:jc w:val="center"/>
            </w:pPr>
            <w:r>
              <w:t>175</w:t>
            </w:r>
          </w:p>
        </w:tc>
        <w:tc>
          <w:tcPr>
            <w:tcW w:w="847" w:type="dxa"/>
            <w:vAlign w:val="center"/>
          </w:tcPr>
          <w:p>
            <w:pPr>
              <w:widowControl w:val="0"/>
              <w:jc w:val="center"/>
            </w:pPr>
            <w:r>
              <w:t>240</w:t>
            </w:r>
          </w:p>
        </w:tc>
        <w:tc>
          <w:tcPr>
            <w:tcW w:w="847" w:type="dxa"/>
            <w:vAlign w:val="center"/>
          </w:tcPr>
          <w:p>
            <w:pPr>
              <w:widowControl w:val="0"/>
              <w:jc w:val="center"/>
            </w:pPr>
            <w:r>
              <w:t>–</w:t>
            </w:r>
          </w:p>
        </w:tc>
        <w:tc>
          <w:tcPr>
            <w:tcW w:w="848" w:type="dxa"/>
            <w:vAlign w:val="center"/>
          </w:tcPr>
          <w:p>
            <w:pPr>
              <w:widowControl w:val="0"/>
              <w:jc w:val="center"/>
            </w:pPr>
            <w:r>
              <w:t>175</w:t>
            </w:r>
          </w:p>
        </w:tc>
      </w:tr>
      <w:tr>
        <w:trPr>
          <w:trHeight w:val="20"/>
        </w:trPr>
        <w:tc>
          <w:tcPr>
            <w:tcW w:w="1438" w:type="dxa"/>
            <w:vAlign w:val="center"/>
          </w:tcPr>
          <w:p>
            <w:pPr>
              <w:widowControl w:val="0"/>
              <w:jc w:val="center"/>
            </w:pPr>
            <w:r>
              <w:t>185</w:t>
            </w:r>
          </w:p>
        </w:tc>
        <w:tc>
          <w:tcPr>
            <w:tcW w:w="847" w:type="dxa"/>
            <w:vAlign w:val="center"/>
          </w:tcPr>
          <w:p>
            <w:pPr>
              <w:widowControl w:val="0"/>
              <w:jc w:val="center"/>
            </w:pPr>
            <w:r>
              <w:t>275</w:t>
            </w:r>
          </w:p>
        </w:tc>
        <w:tc>
          <w:tcPr>
            <w:tcW w:w="847" w:type="dxa"/>
            <w:vAlign w:val="center"/>
          </w:tcPr>
          <w:p>
            <w:pPr>
              <w:widowControl w:val="0"/>
              <w:jc w:val="center"/>
            </w:pPr>
            <w:r>
              <w:t>300</w:t>
            </w:r>
          </w:p>
        </w:tc>
        <w:tc>
          <w:tcPr>
            <w:tcW w:w="847" w:type="dxa"/>
            <w:vAlign w:val="center"/>
          </w:tcPr>
          <w:p>
            <w:pPr>
              <w:widowControl w:val="0"/>
              <w:jc w:val="center"/>
            </w:pPr>
            <w:r>
              <w:t>205</w:t>
            </w:r>
          </w:p>
        </w:tc>
        <w:tc>
          <w:tcPr>
            <w:tcW w:w="847" w:type="dxa"/>
            <w:vAlign w:val="center"/>
          </w:tcPr>
          <w:p>
            <w:pPr>
              <w:widowControl w:val="0"/>
              <w:jc w:val="center"/>
            </w:pPr>
            <w:r>
              <w:t>–</w:t>
            </w:r>
          </w:p>
        </w:tc>
        <w:tc>
          <w:tcPr>
            <w:tcW w:w="847" w:type="dxa"/>
            <w:vAlign w:val="center"/>
          </w:tcPr>
          <w:p>
            <w:pPr>
              <w:widowControl w:val="0"/>
              <w:jc w:val="center"/>
            </w:pPr>
            <w:r>
              <w:t>–</w:t>
            </w:r>
          </w:p>
        </w:tc>
        <w:tc>
          <w:tcPr>
            <w:tcW w:w="848" w:type="dxa"/>
            <w:vAlign w:val="center"/>
          </w:tcPr>
          <w:p>
            <w:pPr>
              <w:widowControl w:val="0"/>
              <w:jc w:val="center"/>
            </w:pPr>
            <w:r>
              <w:t>–</w:t>
            </w:r>
          </w:p>
        </w:tc>
      </w:tr>
    </w:tbl>
    <w:p>
      <w:pPr>
        <w:widowControl w:val="0"/>
        <w:jc w:val="both"/>
      </w:pPr>
    </w:p>
    <w:p>
      <w:pPr>
        <w:widowControl w:val="0"/>
        <w:ind w:firstLine="567"/>
        <w:jc w:val="both"/>
        <w:rPr>
          <w:b/>
          <w:bCs/>
        </w:rPr>
      </w:pPr>
      <w:r>
        <w:rPr>
          <w:b/>
          <w:bCs/>
        </w:rPr>
        <w:t>23 lentelė. Kitokiuose nei 1,2 K·m/W savitosios šiluminės varžos gruntuose paklotų kabelių leistinosios ilgalaikės srovės pataisos koeficientai</w:t>
      </w:r>
    </w:p>
    <w:p>
      <w:pPr>
        <w:widowControl w:val="0"/>
        <w:jc w:val="both"/>
        <w:rPr>
          <w:i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2772"/>
        <w:gridCol w:w="1960"/>
      </w:tblGrid>
      <w:tr>
        <w:tc>
          <w:tcPr>
            <w:tcW w:w="3119" w:type="dxa"/>
            <w:vAlign w:val="center"/>
          </w:tcPr>
          <w:p>
            <w:pPr>
              <w:widowControl w:val="0"/>
              <w:jc w:val="center"/>
            </w:pPr>
            <w:r>
              <w:t>Žemės charakteristika</w:t>
            </w:r>
          </w:p>
        </w:tc>
        <w:tc>
          <w:tcPr>
            <w:tcW w:w="1993" w:type="dxa"/>
            <w:vAlign w:val="center"/>
          </w:tcPr>
          <w:p>
            <w:pPr>
              <w:widowControl w:val="0"/>
              <w:jc w:val="center"/>
            </w:pPr>
            <w:r>
              <w:t>Savitoji šiluminė žemės varža, K·m/W</w:t>
            </w:r>
          </w:p>
        </w:tc>
        <w:tc>
          <w:tcPr>
            <w:tcW w:w="1409" w:type="dxa"/>
            <w:vAlign w:val="center"/>
          </w:tcPr>
          <w:p>
            <w:pPr>
              <w:widowControl w:val="0"/>
              <w:jc w:val="center"/>
            </w:pPr>
            <w:r>
              <w:t>Pataisos koeficientas</w:t>
            </w:r>
          </w:p>
        </w:tc>
      </w:tr>
      <w:tr>
        <w:tc>
          <w:tcPr>
            <w:tcW w:w="3119" w:type="dxa"/>
            <w:vAlign w:val="center"/>
          </w:tcPr>
          <w:p>
            <w:pPr>
              <w:widowControl w:val="0"/>
            </w:pPr>
            <w:r>
              <w:t xml:space="preserve">Didesnio kaip 9 </w:t>
              <w:sym w:font="Times New Roman" w:char="0025"/>
              <w:t xml:space="preserve"> drėgnumo smėlis, didesnio kaip 1 </w:t>
              <w:sym w:font="Times New Roman" w:char="0025"/>
              <w:t xml:space="preserve"> drėgnumo priemolis</w:t>
            </w:r>
          </w:p>
        </w:tc>
        <w:tc>
          <w:tcPr>
            <w:tcW w:w="1993" w:type="dxa"/>
            <w:vAlign w:val="center"/>
          </w:tcPr>
          <w:p>
            <w:pPr>
              <w:widowControl w:val="0"/>
              <w:jc w:val="center"/>
            </w:pPr>
            <w:r>
              <w:t>0,80</w:t>
            </w:r>
          </w:p>
        </w:tc>
        <w:tc>
          <w:tcPr>
            <w:tcW w:w="1409" w:type="dxa"/>
            <w:vAlign w:val="center"/>
          </w:tcPr>
          <w:p>
            <w:pPr>
              <w:widowControl w:val="0"/>
              <w:jc w:val="center"/>
            </w:pPr>
            <w:r>
              <w:t>1,05</w:t>
            </w:r>
          </w:p>
        </w:tc>
      </w:tr>
      <w:tr>
        <w:tc>
          <w:tcPr>
            <w:tcW w:w="3119" w:type="dxa"/>
            <w:vAlign w:val="center"/>
          </w:tcPr>
          <w:p>
            <w:pPr>
              <w:widowControl w:val="0"/>
            </w:pPr>
            <w:r>
              <w:t xml:space="preserve">7–9 </w:t>
              <w:sym w:font="Times New Roman" w:char="0025"/>
              <w:t xml:space="preserve"> drėgnumo smėlis ir normalus gruntas, 12–14 </w:t>
              <w:sym w:font="Times New Roman" w:char="0025"/>
              <w:t xml:space="preserve"> drėgnumo priemolis</w:t>
            </w:r>
          </w:p>
        </w:tc>
        <w:tc>
          <w:tcPr>
            <w:tcW w:w="1993" w:type="dxa"/>
            <w:vAlign w:val="center"/>
          </w:tcPr>
          <w:p>
            <w:pPr>
              <w:widowControl w:val="0"/>
              <w:jc w:val="center"/>
            </w:pPr>
            <w:r>
              <w:t>1,20</w:t>
            </w:r>
          </w:p>
        </w:tc>
        <w:tc>
          <w:tcPr>
            <w:tcW w:w="1409" w:type="dxa"/>
            <w:vAlign w:val="center"/>
          </w:tcPr>
          <w:p>
            <w:pPr>
              <w:widowControl w:val="0"/>
              <w:jc w:val="center"/>
            </w:pPr>
            <w:r>
              <w:t>1,00</w:t>
            </w:r>
          </w:p>
        </w:tc>
      </w:tr>
      <w:tr>
        <w:tc>
          <w:tcPr>
            <w:tcW w:w="3119" w:type="dxa"/>
            <w:vAlign w:val="center"/>
          </w:tcPr>
          <w:p>
            <w:pPr>
              <w:widowControl w:val="0"/>
            </w:pPr>
            <w:r>
              <w:t xml:space="preserve">4–7 </w:t>
              <w:sym w:font="Times New Roman" w:char="0025"/>
              <w:t xml:space="preserve"> drėgnumo smėlis, 8–12 </w:t>
              <w:sym w:font="Times New Roman" w:char="0025"/>
              <w:t xml:space="preserve"> drėgnumo priemolis</w:t>
            </w:r>
          </w:p>
        </w:tc>
        <w:tc>
          <w:tcPr>
            <w:tcW w:w="1993" w:type="dxa"/>
            <w:vAlign w:val="center"/>
          </w:tcPr>
          <w:p>
            <w:pPr>
              <w:widowControl w:val="0"/>
              <w:jc w:val="center"/>
            </w:pPr>
            <w:r>
              <w:t>2,00</w:t>
            </w:r>
          </w:p>
        </w:tc>
        <w:tc>
          <w:tcPr>
            <w:tcW w:w="1409" w:type="dxa"/>
            <w:vAlign w:val="center"/>
          </w:tcPr>
          <w:p>
            <w:pPr>
              <w:widowControl w:val="0"/>
              <w:jc w:val="center"/>
            </w:pPr>
            <w:r>
              <w:t>0,87</w:t>
            </w:r>
          </w:p>
        </w:tc>
      </w:tr>
      <w:tr>
        <w:tc>
          <w:tcPr>
            <w:tcW w:w="3119" w:type="dxa"/>
            <w:vAlign w:val="center"/>
          </w:tcPr>
          <w:p>
            <w:pPr>
              <w:widowControl w:val="0"/>
            </w:pPr>
            <w:r>
              <w:t xml:space="preserve">Mažesnio kaip 4 </w:t>
              <w:sym w:font="Times New Roman" w:char="0025"/>
              <w:t xml:space="preserve"> drėgnumo smėlis ir akmenuotas gruntas</w:t>
            </w:r>
          </w:p>
        </w:tc>
        <w:tc>
          <w:tcPr>
            <w:tcW w:w="1993" w:type="dxa"/>
            <w:vAlign w:val="center"/>
          </w:tcPr>
          <w:p>
            <w:pPr>
              <w:widowControl w:val="0"/>
              <w:jc w:val="center"/>
            </w:pPr>
            <w:r>
              <w:t>3,00</w:t>
            </w:r>
          </w:p>
        </w:tc>
        <w:tc>
          <w:tcPr>
            <w:tcW w:w="1409" w:type="dxa"/>
            <w:vAlign w:val="center"/>
          </w:tcPr>
          <w:p>
            <w:pPr>
              <w:widowControl w:val="0"/>
              <w:jc w:val="center"/>
            </w:pPr>
            <w:r>
              <w:t>0,75</w:t>
            </w:r>
          </w:p>
        </w:tc>
      </w:tr>
    </w:tbl>
    <w:p>
      <w:pPr>
        <w:widowControl w:val="0"/>
        <w:ind w:firstLine="567"/>
        <w:jc w:val="both"/>
        <w:rPr>
          <w:b/>
          <w:bCs/>
        </w:rPr>
      </w:pPr>
    </w:p>
    <w:p>
      <w:pPr>
        <w:widowControl w:val="0"/>
        <w:ind w:firstLine="567"/>
        <w:jc w:val="both"/>
        <w:rPr>
          <w:b/>
          <w:bCs/>
        </w:rPr>
      </w:pPr>
      <w:r>
        <w:rPr>
          <w:b/>
          <w:bCs/>
        </w:rPr>
        <w:t>24 lentelė. Ore tiesiamų iki 3 kV, 20 kV ir 35 kV įtampos varinių nešarvuotų viengyslių kabelių švininiu apvalkalu, netakia mase arba alyvos kanifolijos mišiniu įmirkyta popierine izoliacija leistinoji ilgalaikė srovė</w:t>
      </w:r>
    </w:p>
    <w:p>
      <w:pPr>
        <w:widowControl w:val="0"/>
        <w:ind w:firstLine="567"/>
        <w:jc w:val="both"/>
        <w:rPr>
          <w:b/>
          <w:bCs/>
        </w:rPr>
      </w:pPr>
    </w:p>
    <w:p>
      <w:pPr>
        <w:widowControl w:val="0"/>
        <w:ind w:firstLine="567"/>
        <w:jc w:val="both"/>
      </w:pPr>
      <w:r>
        <w:t xml:space="preserve">Temperatūra: kabelių – pagal Taisyklių 68 punktą, oro +25 </w:t>
      </w:r>
      <w:r>
        <w:rPr>
          <w:vertAlign w:val="superscript"/>
        </w:rPr>
        <w:t>o</w:t>
      </w:r>
      <w:r>
        <w:t>C.</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5"/>
        <w:gridCol w:w="2235"/>
        <w:gridCol w:w="2235"/>
        <w:gridCol w:w="2235"/>
      </w:tblGrid>
      <w:tr>
        <w:trPr>
          <w:cantSplit/>
          <w:trHeight w:val="20"/>
        </w:trPr>
        <w:tc>
          <w:tcPr>
            <w:tcW w:w="2166" w:type="dxa"/>
            <w:vMerge w:val="restart"/>
            <w:vAlign w:val="center"/>
          </w:tcPr>
          <w:p>
            <w:pPr>
              <w:widowControl w:val="0"/>
              <w:jc w:val="center"/>
              <w:rPr>
                <w:iCs/>
              </w:rPr>
            </w:pPr>
            <w:r>
              <w:rPr>
                <w:iCs/>
              </w:rPr>
              <w:t>Kabelio</w:t>
            </w:r>
          </w:p>
          <w:p>
            <w:pPr>
              <w:widowControl w:val="0"/>
              <w:jc w:val="center"/>
              <w:rPr>
                <w:iCs/>
              </w:rPr>
            </w:pPr>
            <w:r>
              <w:rPr>
                <w:iCs/>
              </w:rPr>
              <w:t>skerspjūvis, mm</w:t>
            </w:r>
            <w:r>
              <w:rPr>
                <w:iCs/>
                <w:vertAlign w:val="superscript"/>
              </w:rPr>
              <w:t>2</w:t>
            </w:r>
          </w:p>
        </w:tc>
        <w:tc>
          <w:tcPr>
            <w:tcW w:w="6141" w:type="dxa"/>
            <w:gridSpan w:val="3"/>
            <w:vAlign w:val="center"/>
          </w:tcPr>
          <w:p>
            <w:pPr>
              <w:widowControl w:val="0"/>
              <w:jc w:val="center"/>
              <w:rPr>
                <w:iCs/>
              </w:rPr>
            </w:pPr>
            <w:r>
              <w:rPr>
                <w:iCs/>
              </w:rPr>
              <w:t>Kabelių leistinoji ilgalaikė srovė, A</w:t>
            </w:r>
          </w:p>
        </w:tc>
      </w:tr>
      <w:tr>
        <w:trPr>
          <w:cantSplit/>
          <w:trHeight w:val="20"/>
        </w:trPr>
        <w:tc>
          <w:tcPr>
            <w:tcW w:w="2166" w:type="dxa"/>
            <w:vMerge/>
            <w:vAlign w:val="center"/>
          </w:tcPr>
          <w:p>
            <w:pPr>
              <w:widowControl w:val="0"/>
              <w:jc w:val="center"/>
              <w:rPr>
                <w:iCs/>
              </w:rPr>
            </w:pPr>
          </w:p>
        </w:tc>
        <w:tc>
          <w:tcPr>
            <w:tcW w:w="2047" w:type="dxa"/>
            <w:vAlign w:val="center"/>
          </w:tcPr>
          <w:p>
            <w:pPr>
              <w:widowControl w:val="0"/>
              <w:jc w:val="center"/>
              <w:rPr>
                <w:iCs/>
              </w:rPr>
            </w:pPr>
            <w:r>
              <w:rPr>
                <w:iCs/>
              </w:rPr>
              <w:t>iki 3 kV</w:t>
            </w:r>
          </w:p>
        </w:tc>
        <w:tc>
          <w:tcPr>
            <w:tcW w:w="2047" w:type="dxa"/>
            <w:vAlign w:val="center"/>
          </w:tcPr>
          <w:p>
            <w:pPr>
              <w:widowControl w:val="0"/>
              <w:jc w:val="center"/>
              <w:rPr>
                <w:iCs/>
              </w:rPr>
            </w:pPr>
            <w:r>
              <w:rPr>
                <w:iCs/>
              </w:rPr>
              <w:t>20 kV</w:t>
            </w:r>
          </w:p>
        </w:tc>
        <w:tc>
          <w:tcPr>
            <w:tcW w:w="2047" w:type="dxa"/>
            <w:vAlign w:val="center"/>
          </w:tcPr>
          <w:p>
            <w:pPr>
              <w:widowControl w:val="0"/>
              <w:jc w:val="center"/>
              <w:rPr>
                <w:iCs/>
              </w:rPr>
            </w:pPr>
            <w:r>
              <w:rPr>
                <w:iCs/>
              </w:rPr>
              <w:t>35 kV</w:t>
            </w:r>
          </w:p>
        </w:tc>
      </w:tr>
      <w:tr>
        <w:trPr>
          <w:trHeight w:val="20"/>
        </w:trPr>
        <w:tc>
          <w:tcPr>
            <w:tcW w:w="2166" w:type="dxa"/>
            <w:vAlign w:val="center"/>
          </w:tcPr>
          <w:p>
            <w:pPr>
              <w:widowControl w:val="0"/>
              <w:jc w:val="center"/>
              <w:rPr>
                <w:iCs/>
              </w:rPr>
            </w:pPr>
            <w:r>
              <w:rPr>
                <w:iCs/>
              </w:rPr>
              <w:t>10</w:t>
            </w:r>
          </w:p>
        </w:tc>
        <w:tc>
          <w:tcPr>
            <w:tcW w:w="2047" w:type="dxa"/>
            <w:vAlign w:val="center"/>
          </w:tcPr>
          <w:p>
            <w:pPr>
              <w:widowControl w:val="0"/>
              <w:jc w:val="center"/>
              <w:rPr>
                <w:iCs/>
              </w:rPr>
            </w:pPr>
            <w:r>
              <w:rPr>
                <w:iCs/>
              </w:rPr>
              <w:t>85/–</w:t>
            </w:r>
          </w:p>
        </w:tc>
        <w:tc>
          <w:tcPr>
            <w:tcW w:w="2047" w:type="dxa"/>
            <w:vAlign w:val="center"/>
          </w:tcPr>
          <w:p>
            <w:pPr>
              <w:widowControl w:val="0"/>
              <w:jc w:val="center"/>
              <w:rPr>
                <w:iCs/>
              </w:rPr>
            </w:pPr>
            <w:r>
              <w:rPr>
                <w:iCs/>
              </w:rPr>
              <w:t>–</w:t>
            </w:r>
          </w:p>
        </w:tc>
        <w:tc>
          <w:tcPr>
            <w:tcW w:w="2047" w:type="dxa"/>
            <w:vAlign w:val="center"/>
          </w:tcPr>
          <w:p>
            <w:pPr>
              <w:widowControl w:val="0"/>
              <w:jc w:val="center"/>
              <w:rPr>
                <w:iCs/>
              </w:rPr>
            </w:pPr>
            <w:r>
              <w:rPr>
                <w:iCs/>
              </w:rPr>
              <w:t>–</w:t>
            </w:r>
          </w:p>
        </w:tc>
      </w:tr>
      <w:tr>
        <w:trPr>
          <w:trHeight w:val="20"/>
        </w:trPr>
        <w:tc>
          <w:tcPr>
            <w:tcW w:w="2166" w:type="dxa"/>
            <w:vAlign w:val="center"/>
          </w:tcPr>
          <w:p>
            <w:pPr>
              <w:widowControl w:val="0"/>
              <w:jc w:val="center"/>
              <w:rPr>
                <w:iCs/>
              </w:rPr>
            </w:pPr>
            <w:r>
              <w:rPr>
                <w:iCs/>
              </w:rPr>
              <w:t>16</w:t>
            </w:r>
          </w:p>
        </w:tc>
        <w:tc>
          <w:tcPr>
            <w:tcW w:w="2047" w:type="dxa"/>
            <w:vAlign w:val="center"/>
          </w:tcPr>
          <w:p>
            <w:pPr>
              <w:widowControl w:val="0"/>
              <w:jc w:val="center"/>
              <w:rPr>
                <w:iCs/>
              </w:rPr>
            </w:pPr>
            <w:r>
              <w:rPr>
                <w:iCs/>
              </w:rPr>
              <w:t>120/–</w:t>
            </w:r>
          </w:p>
        </w:tc>
        <w:tc>
          <w:tcPr>
            <w:tcW w:w="2047" w:type="dxa"/>
            <w:vAlign w:val="center"/>
          </w:tcPr>
          <w:p>
            <w:pPr>
              <w:widowControl w:val="0"/>
              <w:jc w:val="center"/>
              <w:rPr>
                <w:iCs/>
              </w:rPr>
            </w:pPr>
            <w:r>
              <w:rPr>
                <w:iCs/>
              </w:rPr>
              <w:t>–</w:t>
            </w:r>
          </w:p>
        </w:tc>
        <w:tc>
          <w:tcPr>
            <w:tcW w:w="2047" w:type="dxa"/>
            <w:vAlign w:val="center"/>
          </w:tcPr>
          <w:p>
            <w:pPr>
              <w:widowControl w:val="0"/>
              <w:jc w:val="center"/>
              <w:rPr>
                <w:iCs/>
              </w:rPr>
            </w:pPr>
            <w:r>
              <w:rPr>
                <w:iCs/>
              </w:rPr>
              <w:t>–</w:t>
            </w:r>
          </w:p>
        </w:tc>
      </w:tr>
      <w:tr>
        <w:trPr>
          <w:trHeight w:val="20"/>
        </w:trPr>
        <w:tc>
          <w:tcPr>
            <w:tcW w:w="2166" w:type="dxa"/>
            <w:vAlign w:val="center"/>
          </w:tcPr>
          <w:p>
            <w:pPr>
              <w:widowControl w:val="0"/>
              <w:jc w:val="center"/>
              <w:rPr>
                <w:iCs/>
              </w:rPr>
            </w:pPr>
            <w:r>
              <w:rPr>
                <w:iCs/>
              </w:rPr>
              <w:t>25</w:t>
            </w:r>
          </w:p>
        </w:tc>
        <w:tc>
          <w:tcPr>
            <w:tcW w:w="2047" w:type="dxa"/>
            <w:vAlign w:val="center"/>
          </w:tcPr>
          <w:p>
            <w:pPr>
              <w:widowControl w:val="0"/>
              <w:jc w:val="center"/>
              <w:rPr>
                <w:iCs/>
              </w:rPr>
            </w:pPr>
            <w:r>
              <w:rPr>
                <w:iCs/>
              </w:rPr>
              <w:t>145/–</w:t>
            </w:r>
          </w:p>
        </w:tc>
        <w:tc>
          <w:tcPr>
            <w:tcW w:w="2047" w:type="dxa"/>
            <w:vAlign w:val="center"/>
          </w:tcPr>
          <w:p>
            <w:pPr>
              <w:widowControl w:val="0"/>
              <w:jc w:val="center"/>
              <w:rPr>
                <w:iCs/>
              </w:rPr>
            </w:pPr>
            <w:r>
              <w:rPr>
                <w:iCs/>
              </w:rPr>
              <w:t>105/110</w:t>
            </w:r>
          </w:p>
        </w:tc>
        <w:tc>
          <w:tcPr>
            <w:tcW w:w="2047" w:type="dxa"/>
            <w:vAlign w:val="center"/>
          </w:tcPr>
          <w:p>
            <w:pPr>
              <w:widowControl w:val="0"/>
              <w:jc w:val="center"/>
              <w:rPr>
                <w:iCs/>
              </w:rPr>
            </w:pPr>
            <w:r>
              <w:rPr>
                <w:iCs/>
              </w:rPr>
              <w:t>–</w:t>
            </w:r>
          </w:p>
        </w:tc>
      </w:tr>
      <w:tr>
        <w:trPr>
          <w:trHeight w:val="20"/>
        </w:trPr>
        <w:tc>
          <w:tcPr>
            <w:tcW w:w="2166" w:type="dxa"/>
            <w:vAlign w:val="center"/>
          </w:tcPr>
          <w:p>
            <w:pPr>
              <w:widowControl w:val="0"/>
              <w:jc w:val="center"/>
              <w:rPr>
                <w:iCs/>
              </w:rPr>
            </w:pPr>
            <w:r>
              <w:rPr>
                <w:iCs/>
              </w:rPr>
              <w:t>35</w:t>
            </w:r>
          </w:p>
        </w:tc>
        <w:tc>
          <w:tcPr>
            <w:tcW w:w="2047" w:type="dxa"/>
            <w:vAlign w:val="center"/>
          </w:tcPr>
          <w:p>
            <w:pPr>
              <w:widowControl w:val="0"/>
              <w:jc w:val="center"/>
              <w:rPr>
                <w:iCs/>
              </w:rPr>
            </w:pPr>
            <w:r>
              <w:rPr>
                <w:iCs/>
              </w:rPr>
              <w:t>170/–</w:t>
            </w:r>
          </w:p>
        </w:tc>
        <w:tc>
          <w:tcPr>
            <w:tcW w:w="2047" w:type="dxa"/>
            <w:vAlign w:val="center"/>
          </w:tcPr>
          <w:p>
            <w:pPr>
              <w:widowControl w:val="0"/>
              <w:jc w:val="center"/>
              <w:rPr>
                <w:iCs/>
              </w:rPr>
            </w:pPr>
            <w:r>
              <w:rPr>
                <w:iCs/>
              </w:rPr>
              <w:t>125/135</w:t>
            </w:r>
          </w:p>
        </w:tc>
        <w:tc>
          <w:tcPr>
            <w:tcW w:w="2047" w:type="dxa"/>
            <w:vAlign w:val="center"/>
          </w:tcPr>
          <w:p>
            <w:pPr>
              <w:widowControl w:val="0"/>
              <w:jc w:val="center"/>
              <w:rPr>
                <w:iCs/>
              </w:rPr>
            </w:pPr>
            <w:r>
              <w:rPr>
                <w:iCs/>
              </w:rPr>
              <w:t>–</w:t>
            </w:r>
          </w:p>
        </w:tc>
      </w:tr>
      <w:tr>
        <w:trPr>
          <w:trHeight w:val="20"/>
        </w:trPr>
        <w:tc>
          <w:tcPr>
            <w:tcW w:w="2166" w:type="dxa"/>
            <w:vAlign w:val="center"/>
          </w:tcPr>
          <w:p>
            <w:pPr>
              <w:widowControl w:val="0"/>
              <w:jc w:val="center"/>
              <w:rPr>
                <w:iCs/>
              </w:rPr>
            </w:pPr>
            <w:r>
              <w:rPr>
                <w:iCs/>
              </w:rPr>
              <w:t>50</w:t>
            </w:r>
          </w:p>
        </w:tc>
        <w:tc>
          <w:tcPr>
            <w:tcW w:w="2047" w:type="dxa"/>
            <w:vAlign w:val="center"/>
          </w:tcPr>
          <w:p>
            <w:pPr>
              <w:widowControl w:val="0"/>
              <w:jc w:val="center"/>
              <w:rPr>
                <w:iCs/>
              </w:rPr>
            </w:pPr>
            <w:r>
              <w:rPr>
                <w:iCs/>
              </w:rPr>
              <w:t>215/–</w:t>
            </w:r>
          </w:p>
        </w:tc>
        <w:tc>
          <w:tcPr>
            <w:tcW w:w="2047" w:type="dxa"/>
            <w:vAlign w:val="center"/>
          </w:tcPr>
          <w:p>
            <w:pPr>
              <w:widowControl w:val="0"/>
              <w:jc w:val="center"/>
              <w:rPr>
                <w:iCs/>
              </w:rPr>
            </w:pPr>
            <w:r>
              <w:rPr>
                <w:iCs/>
              </w:rPr>
              <w:t>155/165</w:t>
            </w:r>
          </w:p>
        </w:tc>
        <w:tc>
          <w:tcPr>
            <w:tcW w:w="2047" w:type="dxa"/>
            <w:vAlign w:val="center"/>
          </w:tcPr>
          <w:p>
            <w:pPr>
              <w:widowControl w:val="0"/>
              <w:jc w:val="center"/>
              <w:rPr>
                <w:iCs/>
              </w:rPr>
            </w:pPr>
            <w:r>
              <w:rPr>
                <w:iCs/>
              </w:rPr>
              <w:t>–</w:t>
            </w:r>
          </w:p>
        </w:tc>
      </w:tr>
      <w:tr>
        <w:trPr>
          <w:trHeight w:val="20"/>
        </w:trPr>
        <w:tc>
          <w:tcPr>
            <w:tcW w:w="2166" w:type="dxa"/>
            <w:vAlign w:val="center"/>
          </w:tcPr>
          <w:p>
            <w:pPr>
              <w:widowControl w:val="0"/>
              <w:jc w:val="center"/>
              <w:rPr>
                <w:iCs/>
              </w:rPr>
            </w:pPr>
            <w:r>
              <w:rPr>
                <w:iCs/>
              </w:rPr>
              <w:t>70</w:t>
            </w:r>
          </w:p>
        </w:tc>
        <w:tc>
          <w:tcPr>
            <w:tcW w:w="2047" w:type="dxa"/>
            <w:vAlign w:val="center"/>
          </w:tcPr>
          <w:p>
            <w:pPr>
              <w:widowControl w:val="0"/>
              <w:jc w:val="center"/>
              <w:rPr>
                <w:iCs/>
              </w:rPr>
            </w:pPr>
            <w:r>
              <w:rPr>
                <w:iCs/>
              </w:rPr>
              <w:t>260/–</w:t>
            </w:r>
          </w:p>
        </w:tc>
        <w:tc>
          <w:tcPr>
            <w:tcW w:w="2047" w:type="dxa"/>
            <w:vAlign w:val="center"/>
          </w:tcPr>
          <w:p>
            <w:pPr>
              <w:widowControl w:val="0"/>
              <w:jc w:val="center"/>
              <w:rPr>
                <w:iCs/>
              </w:rPr>
            </w:pPr>
            <w:r>
              <w:rPr>
                <w:iCs/>
              </w:rPr>
              <w:t>185/205</w:t>
            </w:r>
          </w:p>
        </w:tc>
        <w:tc>
          <w:tcPr>
            <w:tcW w:w="2047" w:type="dxa"/>
            <w:vAlign w:val="center"/>
          </w:tcPr>
          <w:p>
            <w:pPr>
              <w:widowControl w:val="0"/>
              <w:jc w:val="center"/>
              <w:rPr>
                <w:iCs/>
              </w:rPr>
            </w:pPr>
            <w:r>
              <w:rPr>
                <w:iCs/>
              </w:rPr>
              <w:t>–</w:t>
            </w:r>
          </w:p>
        </w:tc>
      </w:tr>
      <w:tr>
        <w:trPr>
          <w:trHeight w:val="20"/>
        </w:trPr>
        <w:tc>
          <w:tcPr>
            <w:tcW w:w="2166" w:type="dxa"/>
            <w:vAlign w:val="center"/>
          </w:tcPr>
          <w:p>
            <w:pPr>
              <w:widowControl w:val="0"/>
              <w:jc w:val="center"/>
              <w:rPr>
                <w:iCs/>
              </w:rPr>
            </w:pPr>
            <w:r>
              <w:rPr>
                <w:iCs/>
              </w:rPr>
              <w:t>95</w:t>
            </w:r>
          </w:p>
        </w:tc>
        <w:tc>
          <w:tcPr>
            <w:tcW w:w="2047" w:type="dxa"/>
            <w:vAlign w:val="center"/>
          </w:tcPr>
          <w:p>
            <w:pPr>
              <w:widowControl w:val="0"/>
              <w:jc w:val="center"/>
              <w:rPr>
                <w:iCs/>
              </w:rPr>
            </w:pPr>
            <w:r>
              <w:rPr>
                <w:iCs/>
              </w:rPr>
              <w:t>305/–</w:t>
            </w:r>
          </w:p>
        </w:tc>
        <w:tc>
          <w:tcPr>
            <w:tcW w:w="2047" w:type="dxa"/>
            <w:vAlign w:val="center"/>
          </w:tcPr>
          <w:p>
            <w:pPr>
              <w:widowControl w:val="0"/>
              <w:jc w:val="center"/>
              <w:rPr>
                <w:iCs/>
              </w:rPr>
            </w:pPr>
            <w:r>
              <w:rPr>
                <w:iCs/>
              </w:rPr>
              <w:t>220/255</w:t>
            </w:r>
          </w:p>
        </w:tc>
        <w:tc>
          <w:tcPr>
            <w:tcW w:w="2047" w:type="dxa"/>
            <w:vAlign w:val="center"/>
          </w:tcPr>
          <w:p>
            <w:pPr>
              <w:widowControl w:val="0"/>
              <w:jc w:val="center"/>
              <w:rPr>
                <w:iCs/>
              </w:rPr>
            </w:pPr>
            <w:r>
              <w:rPr>
                <w:iCs/>
              </w:rPr>
              <w:t>–</w:t>
            </w:r>
          </w:p>
        </w:tc>
      </w:tr>
      <w:tr>
        <w:trPr>
          <w:trHeight w:val="20"/>
        </w:trPr>
        <w:tc>
          <w:tcPr>
            <w:tcW w:w="2166" w:type="dxa"/>
            <w:vAlign w:val="center"/>
          </w:tcPr>
          <w:p>
            <w:pPr>
              <w:widowControl w:val="0"/>
              <w:jc w:val="center"/>
              <w:rPr>
                <w:iCs/>
              </w:rPr>
            </w:pPr>
            <w:r>
              <w:rPr>
                <w:iCs/>
              </w:rPr>
              <w:t>120</w:t>
            </w:r>
          </w:p>
        </w:tc>
        <w:tc>
          <w:tcPr>
            <w:tcW w:w="2047" w:type="dxa"/>
            <w:vAlign w:val="center"/>
          </w:tcPr>
          <w:p>
            <w:pPr>
              <w:widowControl w:val="0"/>
              <w:jc w:val="center"/>
              <w:rPr>
                <w:iCs/>
              </w:rPr>
            </w:pPr>
            <w:r>
              <w:rPr>
                <w:iCs/>
              </w:rPr>
              <w:t>330/–</w:t>
            </w:r>
          </w:p>
        </w:tc>
        <w:tc>
          <w:tcPr>
            <w:tcW w:w="2047" w:type="dxa"/>
            <w:vAlign w:val="center"/>
          </w:tcPr>
          <w:p>
            <w:pPr>
              <w:widowControl w:val="0"/>
              <w:jc w:val="center"/>
              <w:rPr>
                <w:iCs/>
              </w:rPr>
            </w:pPr>
            <w:r>
              <w:rPr>
                <w:iCs/>
              </w:rPr>
              <w:t>245/290</w:t>
            </w:r>
          </w:p>
        </w:tc>
        <w:tc>
          <w:tcPr>
            <w:tcW w:w="2047" w:type="dxa"/>
            <w:vAlign w:val="center"/>
          </w:tcPr>
          <w:p>
            <w:pPr>
              <w:widowControl w:val="0"/>
              <w:jc w:val="center"/>
              <w:rPr>
                <w:iCs/>
              </w:rPr>
            </w:pPr>
            <w:r>
              <w:rPr>
                <w:iCs/>
              </w:rPr>
              <w:t>240/265</w:t>
            </w:r>
          </w:p>
        </w:tc>
      </w:tr>
      <w:tr>
        <w:trPr>
          <w:trHeight w:val="20"/>
        </w:trPr>
        <w:tc>
          <w:tcPr>
            <w:tcW w:w="2166" w:type="dxa"/>
            <w:vAlign w:val="center"/>
          </w:tcPr>
          <w:p>
            <w:pPr>
              <w:widowControl w:val="0"/>
              <w:jc w:val="center"/>
              <w:rPr>
                <w:iCs/>
              </w:rPr>
            </w:pPr>
            <w:r>
              <w:rPr>
                <w:iCs/>
              </w:rPr>
              <w:t>150</w:t>
            </w:r>
          </w:p>
        </w:tc>
        <w:tc>
          <w:tcPr>
            <w:tcW w:w="2047" w:type="dxa"/>
            <w:vAlign w:val="center"/>
          </w:tcPr>
          <w:p>
            <w:pPr>
              <w:widowControl w:val="0"/>
              <w:jc w:val="center"/>
              <w:rPr>
                <w:iCs/>
              </w:rPr>
            </w:pPr>
            <w:r>
              <w:rPr>
                <w:iCs/>
              </w:rPr>
              <w:t>360/–</w:t>
            </w:r>
          </w:p>
        </w:tc>
        <w:tc>
          <w:tcPr>
            <w:tcW w:w="2047" w:type="dxa"/>
            <w:vAlign w:val="center"/>
          </w:tcPr>
          <w:p>
            <w:pPr>
              <w:widowControl w:val="0"/>
              <w:jc w:val="center"/>
              <w:rPr>
                <w:iCs/>
              </w:rPr>
            </w:pPr>
            <w:r>
              <w:rPr>
                <w:iCs/>
              </w:rPr>
              <w:t>270/330</w:t>
            </w:r>
          </w:p>
        </w:tc>
        <w:tc>
          <w:tcPr>
            <w:tcW w:w="2047" w:type="dxa"/>
            <w:vAlign w:val="center"/>
          </w:tcPr>
          <w:p>
            <w:pPr>
              <w:widowControl w:val="0"/>
              <w:jc w:val="center"/>
              <w:rPr>
                <w:iCs/>
              </w:rPr>
            </w:pPr>
            <w:r>
              <w:rPr>
                <w:iCs/>
              </w:rPr>
              <w:t>265/300</w:t>
            </w:r>
          </w:p>
        </w:tc>
      </w:tr>
      <w:tr>
        <w:trPr>
          <w:trHeight w:val="20"/>
        </w:trPr>
        <w:tc>
          <w:tcPr>
            <w:tcW w:w="2166" w:type="dxa"/>
            <w:vAlign w:val="center"/>
          </w:tcPr>
          <w:p>
            <w:pPr>
              <w:widowControl w:val="0"/>
              <w:jc w:val="center"/>
              <w:rPr>
                <w:iCs/>
              </w:rPr>
            </w:pPr>
            <w:r>
              <w:rPr>
                <w:iCs/>
              </w:rPr>
              <w:t>185</w:t>
            </w:r>
          </w:p>
        </w:tc>
        <w:tc>
          <w:tcPr>
            <w:tcW w:w="2047" w:type="dxa"/>
            <w:vAlign w:val="center"/>
          </w:tcPr>
          <w:p>
            <w:pPr>
              <w:widowControl w:val="0"/>
              <w:jc w:val="center"/>
              <w:rPr>
                <w:iCs/>
              </w:rPr>
            </w:pPr>
            <w:r>
              <w:rPr>
                <w:iCs/>
              </w:rPr>
              <w:t>385/–</w:t>
            </w:r>
          </w:p>
        </w:tc>
        <w:tc>
          <w:tcPr>
            <w:tcW w:w="2047" w:type="dxa"/>
            <w:vAlign w:val="center"/>
          </w:tcPr>
          <w:p>
            <w:pPr>
              <w:widowControl w:val="0"/>
              <w:jc w:val="center"/>
              <w:rPr>
                <w:iCs/>
              </w:rPr>
            </w:pPr>
            <w:r>
              <w:rPr>
                <w:iCs/>
              </w:rPr>
              <w:t>290/360</w:t>
            </w:r>
          </w:p>
        </w:tc>
        <w:tc>
          <w:tcPr>
            <w:tcW w:w="2047" w:type="dxa"/>
            <w:vAlign w:val="center"/>
          </w:tcPr>
          <w:p>
            <w:pPr>
              <w:widowControl w:val="0"/>
              <w:jc w:val="center"/>
              <w:rPr>
                <w:iCs/>
              </w:rPr>
            </w:pPr>
            <w:r>
              <w:rPr>
                <w:iCs/>
              </w:rPr>
              <w:t>285/335</w:t>
            </w:r>
          </w:p>
        </w:tc>
      </w:tr>
      <w:tr>
        <w:trPr>
          <w:trHeight w:val="20"/>
        </w:trPr>
        <w:tc>
          <w:tcPr>
            <w:tcW w:w="2166" w:type="dxa"/>
            <w:vAlign w:val="center"/>
          </w:tcPr>
          <w:p>
            <w:pPr>
              <w:widowControl w:val="0"/>
              <w:jc w:val="center"/>
              <w:rPr>
                <w:iCs/>
              </w:rPr>
            </w:pPr>
            <w:r>
              <w:rPr>
                <w:iCs/>
              </w:rPr>
              <w:t>240</w:t>
            </w:r>
          </w:p>
        </w:tc>
        <w:tc>
          <w:tcPr>
            <w:tcW w:w="2047" w:type="dxa"/>
            <w:vAlign w:val="center"/>
          </w:tcPr>
          <w:p>
            <w:pPr>
              <w:widowControl w:val="0"/>
              <w:jc w:val="center"/>
              <w:rPr>
                <w:iCs/>
              </w:rPr>
            </w:pPr>
            <w:r>
              <w:rPr>
                <w:iCs/>
              </w:rPr>
              <w:t>435/–</w:t>
            </w:r>
          </w:p>
        </w:tc>
        <w:tc>
          <w:tcPr>
            <w:tcW w:w="2047" w:type="dxa"/>
            <w:vAlign w:val="center"/>
          </w:tcPr>
          <w:p>
            <w:pPr>
              <w:widowControl w:val="0"/>
              <w:jc w:val="center"/>
              <w:rPr>
                <w:iCs/>
              </w:rPr>
            </w:pPr>
            <w:r>
              <w:rPr>
                <w:iCs/>
              </w:rPr>
              <w:t>320/395</w:t>
            </w:r>
          </w:p>
        </w:tc>
        <w:tc>
          <w:tcPr>
            <w:tcW w:w="2047" w:type="dxa"/>
            <w:vAlign w:val="center"/>
          </w:tcPr>
          <w:p>
            <w:pPr>
              <w:widowControl w:val="0"/>
              <w:jc w:val="center"/>
              <w:rPr>
                <w:iCs/>
              </w:rPr>
            </w:pPr>
            <w:r>
              <w:rPr>
                <w:iCs/>
              </w:rPr>
              <w:t>315/380</w:t>
            </w:r>
          </w:p>
        </w:tc>
      </w:tr>
      <w:tr>
        <w:trPr>
          <w:trHeight w:val="20"/>
        </w:trPr>
        <w:tc>
          <w:tcPr>
            <w:tcW w:w="2166" w:type="dxa"/>
            <w:vAlign w:val="center"/>
          </w:tcPr>
          <w:p>
            <w:pPr>
              <w:widowControl w:val="0"/>
              <w:jc w:val="center"/>
              <w:rPr>
                <w:iCs/>
              </w:rPr>
            </w:pPr>
            <w:r>
              <w:rPr>
                <w:iCs/>
              </w:rPr>
              <w:t>300</w:t>
            </w:r>
          </w:p>
        </w:tc>
        <w:tc>
          <w:tcPr>
            <w:tcW w:w="2047" w:type="dxa"/>
            <w:vAlign w:val="center"/>
          </w:tcPr>
          <w:p>
            <w:pPr>
              <w:widowControl w:val="0"/>
              <w:jc w:val="center"/>
              <w:rPr>
                <w:iCs/>
              </w:rPr>
            </w:pPr>
            <w:r>
              <w:rPr>
                <w:iCs/>
              </w:rPr>
              <w:t>460/–</w:t>
            </w:r>
          </w:p>
        </w:tc>
        <w:tc>
          <w:tcPr>
            <w:tcW w:w="2047" w:type="dxa"/>
            <w:vAlign w:val="center"/>
          </w:tcPr>
          <w:p>
            <w:pPr>
              <w:widowControl w:val="0"/>
              <w:jc w:val="center"/>
              <w:rPr>
                <w:iCs/>
              </w:rPr>
            </w:pPr>
            <w:r>
              <w:rPr>
                <w:iCs/>
              </w:rPr>
              <w:t>350/425</w:t>
            </w:r>
          </w:p>
        </w:tc>
        <w:tc>
          <w:tcPr>
            <w:tcW w:w="2047" w:type="dxa"/>
            <w:vAlign w:val="center"/>
          </w:tcPr>
          <w:p>
            <w:pPr>
              <w:widowControl w:val="0"/>
              <w:jc w:val="center"/>
              <w:rPr>
                <w:iCs/>
              </w:rPr>
            </w:pPr>
            <w:r>
              <w:rPr>
                <w:iCs/>
              </w:rPr>
              <w:t>340/420</w:t>
            </w:r>
          </w:p>
        </w:tc>
      </w:tr>
      <w:tr>
        <w:trPr>
          <w:trHeight w:val="20"/>
        </w:trPr>
        <w:tc>
          <w:tcPr>
            <w:tcW w:w="2166" w:type="dxa"/>
            <w:vAlign w:val="center"/>
          </w:tcPr>
          <w:p>
            <w:pPr>
              <w:widowControl w:val="0"/>
              <w:jc w:val="center"/>
              <w:rPr>
                <w:iCs/>
              </w:rPr>
            </w:pPr>
            <w:r>
              <w:rPr>
                <w:iCs/>
              </w:rPr>
              <w:t>400</w:t>
            </w:r>
          </w:p>
        </w:tc>
        <w:tc>
          <w:tcPr>
            <w:tcW w:w="2047" w:type="dxa"/>
            <w:vAlign w:val="center"/>
          </w:tcPr>
          <w:p>
            <w:pPr>
              <w:widowControl w:val="0"/>
              <w:jc w:val="center"/>
              <w:rPr>
                <w:iCs/>
              </w:rPr>
            </w:pPr>
            <w:r>
              <w:rPr>
                <w:iCs/>
              </w:rPr>
              <w:t>485/–</w:t>
            </w:r>
          </w:p>
        </w:tc>
        <w:tc>
          <w:tcPr>
            <w:tcW w:w="2047" w:type="dxa"/>
            <w:vAlign w:val="center"/>
          </w:tcPr>
          <w:p>
            <w:pPr>
              <w:widowControl w:val="0"/>
              <w:jc w:val="center"/>
              <w:rPr>
                <w:iCs/>
              </w:rPr>
            </w:pPr>
            <w:r>
              <w:rPr>
                <w:iCs/>
              </w:rPr>
              <w:t>370/450</w:t>
            </w:r>
          </w:p>
        </w:tc>
        <w:tc>
          <w:tcPr>
            <w:tcW w:w="2047" w:type="dxa"/>
            <w:vAlign w:val="center"/>
          </w:tcPr>
          <w:p>
            <w:pPr>
              <w:widowControl w:val="0"/>
              <w:jc w:val="center"/>
              <w:rPr>
                <w:iCs/>
              </w:rPr>
            </w:pPr>
            <w:r>
              <w:rPr>
                <w:iCs/>
              </w:rPr>
              <w:t>–</w:t>
            </w:r>
          </w:p>
        </w:tc>
      </w:tr>
    </w:tbl>
    <w:p>
      <w:pPr>
        <w:widowControl w:val="0"/>
        <w:ind w:firstLine="567"/>
        <w:jc w:val="both"/>
        <w:rPr>
          <w:b/>
          <w:bCs/>
        </w:rPr>
      </w:pPr>
    </w:p>
    <w:p>
      <w:pPr>
        <w:widowControl w:val="0"/>
        <w:ind w:firstLine="567"/>
        <w:jc w:val="both"/>
      </w:pPr>
      <w:r>
        <w:t>PASTABA. Skaitiklyje nurodoma kabelių, išdėstytų plokštumoje, srovė, esant nuo 35 iki 125 mm atstumui tarp jų, o vardiklyje – kabelių, išdėstytų dobilo lapo forma, be tarpų tarp jų.</w:t>
      </w:r>
    </w:p>
    <w:p>
      <w:pPr>
        <w:widowControl w:val="0"/>
        <w:ind w:firstLine="567"/>
        <w:jc w:val="both"/>
      </w:pPr>
    </w:p>
    <w:p>
      <w:pPr>
        <w:widowControl w:val="0"/>
        <w:ind w:firstLine="567"/>
        <w:jc w:val="both"/>
        <w:rPr>
          <w:b/>
          <w:bCs/>
        </w:rPr>
      </w:pPr>
      <w:r>
        <w:rPr>
          <w:b/>
          <w:bCs/>
        </w:rPr>
        <w:t>25 lentelė. Ore tiesiamų iki 3 kV, 20 kV ir 35 kV įtampos aliumininių nešarvuotų viengyslių kabelių švininiu apvalkalu, netakia mase arba alyvos kanifolijos mišiniu įmirkyta popierine izoliacija leistinoji ilgalaikė srovė</w:t>
      </w:r>
    </w:p>
    <w:p>
      <w:pPr>
        <w:widowControl w:val="0"/>
        <w:ind w:firstLine="567"/>
        <w:jc w:val="both"/>
      </w:pPr>
    </w:p>
    <w:p>
      <w:pPr>
        <w:widowControl w:val="0"/>
        <w:ind w:firstLine="567"/>
        <w:jc w:val="both"/>
      </w:pPr>
      <w:r>
        <w:t xml:space="preserve">Temperatūra: kabelių – pagal Taisyklių 68 punktą, oro +25 </w:t>
      </w:r>
      <w:r>
        <w:rPr>
          <w:vertAlign w:val="superscript"/>
        </w:rPr>
        <w:t>o</w:t>
      </w:r>
      <w:r>
        <w:t>C.</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2"/>
        <w:gridCol w:w="2312"/>
        <w:gridCol w:w="2328"/>
        <w:gridCol w:w="2348"/>
      </w:tblGrid>
      <w:tr>
        <w:trPr>
          <w:cantSplit/>
          <w:trHeight w:val="20"/>
          <w:tblHeader/>
        </w:trPr>
        <w:tc>
          <w:tcPr>
            <w:tcW w:w="1497" w:type="dxa"/>
            <w:vMerge w:val="restart"/>
            <w:vAlign w:val="center"/>
          </w:tcPr>
          <w:p>
            <w:pPr>
              <w:widowControl w:val="0"/>
              <w:jc w:val="center"/>
            </w:pPr>
            <w:r>
              <w:t>Kabelio skerspjūvis, mm</w:t>
            </w:r>
            <w:r>
              <w:rPr>
                <w:vertAlign w:val="superscript"/>
              </w:rPr>
              <w:t>2</w:t>
            </w:r>
          </w:p>
        </w:tc>
        <w:tc>
          <w:tcPr>
            <w:tcW w:w="5024" w:type="dxa"/>
            <w:gridSpan w:val="3"/>
            <w:vAlign w:val="center"/>
          </w:tcPr>
          <w:p>
            <w:pPr>
              <w:widowControl w:val="0"/>
              <w:jc w:val="center"/>
            </w:pPr>
            <w:r>
              <w:t>Kabelių leistinoji ilgalaikė srovė, A</w:t>
            </w:r>
          </w:p>
        </w:tc>
      </w:tr>
      <w:tr>
        <w:trPr>
          <w:cantSplit/>
          <w:trHeight w:val="20"/>
          <w:tblHeader/>
        </w:trPr>
        <w:tc>
          <w:tcPr>
            <w:tcW w:w="1497" w:type="dxa"/>
            <w:vMerge/>
            <w:vAlign w:val="center"/>
          </w:tcPr>
          <w:p>
            <w:pPr>
              <w:widowControl w:val="0"/>
              <w:jc w:val="center"/>
            </w:pPr>
          </w:p>
        </w:tc>
        <w:tc>
          <w:tcPr>
            <w:tcW w:w="1662" w:type="dxa"/>
            <w:vAlign w:val="center"/>
          </w:tcPr>
          <w:p>
            <w:pPr>
              <w:widowControl w:val="0"/>
              <w:jc w:val="center"/>
            </w:pPr>
            <w:r>
              <w:t>iki 3 kV</w:t>
            </w:r>
          </w:p>
        </w:tc>
        <w:tc>
          <w:tcPr>
            <w:tcW w:w="1674" w:type="dxa"/>
            <w:vAlign w:val="center"/>
          </w:tcPr>
          <w:p>
            <w:pPr>
              <w:widowControl w:val="0"/>
              <w:jc w:val="center"/>
            </w:pPr>
            <w:r>
              <w:t>20 kV</w:t>
            </w:r>
          </w:p>
        </w:tc>
        <w:tc>
          <w:tcPr>
            <w:tcW w:w="1688" w:type="dxa"/>
            <w:vAlign w:val="center"/>
          </w:tcPr>
          <w:p>
            <w:pPr>
              <w:widowControl w:val="0"/>
              <w:jc w:val="center"/>
            </w:pPr>
            <w:r>
              <w:t>35 kV</w:t>
            </w:r>
          </w:p>
        </w:tc>
      </w:tr>
      <w:tr>
        <w:trPr>
          <w:cantSplit/>
          <w:trHeight w:val="20"/>
        </w:trPr>
        <w:tc>
          <w:tcPr>
            <w:tcW w:w="1497" w:type="dxa"/>
            <w:vAlign w:val="center"/>
          </w:tcPr>
          <w:p>
            <w:pPr>
              <w:widowControl w:val="0"/>
              <w:jc w:val="center"/>
            </w:pPr>
            <w:r>
              <w:t>10</w:t>
            </w:r>
          </w:p>
        </w:tc>
        <w:tc>
          <w:tcPr>
            <w:tcW w:w="1662" w:type="dxa"/>
            <w:vAlign w:val="center"/>
          </w:tcPr>
          <w:p>
            <w:pPr>
              <w:widowControl w:val="0"/>
              <w:jc w:val="center"/>
            </w:pPr>
            <w:r>
              <w:t>65/–</w:t>
            </w:r>
          </w:p>
        </w:tc>
        <w:tc>
          <w:tcPr>
            <w:tcW w:w="1674" w:type="dxa"/>
            <w:vAlign w:val="center"/>
          </w:tcPr>
          <w:p>
            <w:pPr>
              <w:widowControl w:val="0"/>
              <w:jc w:val="center"/>
            </w:pPr>
            <w:r>
              <w:t>–</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16</w:t>
            </w:r>
          </w:p>
        </w:tc>
        <w:tc>
          <w:tcPr>
            <w:tcW w:w="1662" w:type="dxa"/>
            <w:vAlign w:val="center"/>
          </w:tcPr>
          <w:p>
            <w:pPr>
              <w:widowControl w:val="0"/>
              <w:jc w:val="center"/>
            </w:pPr>
            <w:r>
              <w:t>90/–</w:t>
            </w:r>
          </w:p>
        </w:tc>
        <w:tc>
          <w:tcPr>
            <w:tcW w:w="1674" w:type="dxa"/>
            <w:vAlign w:val="center"/>
          </w:tcPr>
          <w:p>
            <w:pPr>
              <w:widowControl w:val="0"/>
              <w:jc w:val="center"/>
            </w:pPr>
            <w:r>
              <w:t>–</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25</w:t>
            </w:r>
          </w:p>
        </w:tc>
        <w:tc>
          <w:tcPr>
            <w:tcW w:w="1662" w:type="dxa"/>
            <w:vAlign w:val="center"/>
          </w:tcPr>
          <w:p>
            <w:pPr>
              <w:widowControl w:val="0"/>
              <w:jc w:val="center"/>
            </w:pPr>
            <w:r>
              <w:t>110/–</w:t>
            </w:r>
          </w:p>
        </w:tc>
        <w:tc>
          <w:tcPr>
            <w:tcW w:w="1674" w:type="dxa"/>
            <w:vAlign w:val="center"/>
          </w:tcPr>
          <w:p>
            <w:pPr>
              <w:widowControl w:val="0"/>
              <w:jc w:val="center"/>
            </w:pPr>
            <w:r>
              <w:t>80/85</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35</w:t>
            </w:r>
          </w:p>
        </w:tc>
        <w:tc>
          <w:tcPr>
            <w:tcW w:w="1662" w:type="dxa"/>
            <w:vAlign w:val="center"/>
          </w:tcPr>
          <w:p>
            <w:pPr>
              <w:widowControl w:val="0"/>
              <w:jc w:val="center"/>
            </w:pPr>
            <w:r>
              <w:t>130/–</w:t>
            </w:r>
          </w:p>
        </w:tc>
        <w:tc>
          <w:tcPr>
            <w:tcW w:w="1674" w:type="dxa"/>
            <w:vAlign w:val="center"/>
          </w:tcPr>
          <w:p>
            <w:pPr>
              <w:widowControl w:val="0"/>
              <w:jc w:val="center"/>
            </w:pPr>
            <w:r>
              <w:t>95/105</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50</w:t>
            </w:r>
          </w:p>
        </w:tc>
        <w:tc>
          <w:tcPr>
            <w:tcW w:w="1662" w:type="dxa"/>
            <w:vAlign w:val="center"/>
          </w:tcPr>
          <w:p>
            <w:pPr>
              <w:widowControl w:val="0"/>
              <w:jc w:val="center"/>
            </w:pPr>
            <w:r>
              <w:t>165/–</w:t>
            </w:r>
          </w:p>
        </w:tc>
        <w:tc>
          <w:tcPr>
            <w:tcW w:w="1674" w:type="dxa"/>
            <w:vAlign w:val="center"/>
          </w:tcPr>
          <w:p>
            <w:pPr>
              <w:widowControl w:val="0"/>
              <w:jc w:val="center"/>
            </w:pPr>
            <w:r>
              <w:t>120/130</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70</w:t>
            </w:r>
          </w:p>
        </w:tc>
        <w:tc>
          <w:tcPr>
            <w:tcW w:w="1662" w:type="dxa"/>
            <w:vAlign w:val="center"/>
          </w:tcPr>
          <w:p>
            <w:pPr>
              <w:widowControl w:val="0"/>
              <w:jc w:val="center"/>
            </w:pPr>
            <w:r>
              <w:t>200/–</w:t>
            </w:r>
          </w:p>
        </w:tc>
        <w:tc>
          <w:tcPr>
            <w:tcW w:w="1674" w:type="dxa"/>
            <w:vAlign w:val="center"/>
          </w:tcPr>
          <w:p>
            <w:pPr>
              <w:widowControl w:val="0"/>
              <w:jc w:val="center"/>
            </w:pPr>
            <w:r>
              <w:t>140/160</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95</w:t>
            </w:r>
          </w:p>
        </w:tc>
        <w:tc>
          <w:tcPr>
            <w:tcW w:w="1662" w:type="dxa"/>
            <w:vAlign w:val="center"/>
          </w:tcPr>
          <w:p>
            <w:pPr>
              <w:widowControl w:val="0"/>
              <w:jc w:val="center"/>
            </w:pPr>
            <w:r>
              <w:t>235/–</w:t>
            </w:r>
          </w:p>
        </w:tc>
        <w:tc>
          <w:tcPr>
            <w:tcW w:w="1674" w:type="dxa"/>
            <w:vAlign w:val="center"/>
          </w:tcPr>
          <w:p>
            <w:pPr>
              <w:widowControl w:val="0"/>
              <w:jc w:val="center"/>
            </w:pPr>
            <w:r>
              <w:t>170/195</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120</w:t>
            </w:r>
          </w:p>
        </w:tc>
        <w:tc>
          <w:tcPr>
            <w:tcW w:w="1662" w:type="dxa"/>
            <w:vAlign w:val="center"/>
          </w:tcPr>
          <w:p>
            <w:pPr>
              <w:widowControl w:val="0"/>
              <w:jc w:val="center"/>
            </w:pPr>
            <w:r>
              <w:t>255/–</w:t>
            </w:r>
          </w:p>
        </w:tc>
        <w:tc>
          <w:tcPr>
            <w:tcW w:w="1674" w:type="dxa"/>
            <w:vAlign w:val="center"/>
          </w:tcPr>
          <w:p>
            <w:pPr>
              <w:widowControl w:val="0"/>
              <w:jc w:val="center"/>
            </w:pPr>
            <w:r>
              <w:t>190/225</w:t>
            </w:r>
          </w:p>
        </w:tc>
        <w:tc>
          <w:tcPr>
            <w:tcW w:w="1688" w:type="dxa"/>
            <w:vAlign w:val="center"/>
          </w:tcPr>
          <w:p>
            <w:pPr>
              <w:widowControl w:val="0"/>
              <w:jc w:val="center"/>
            </w:pPr>
            <w:r>
              <w:t>185/205</w:t>
            </w:r>
          </w:p>
        </w:tc>
      </w:tr>
      <w:tr>
        <w:trPr>
          <w:cantSplit/>
          <w:trHeight w:val="20"/>
        </w:trPr>
        <w:tc>
          <w:tcPr>
            <w:tcW w:w="1497" w:type="dxa"/>
            <w:vAlign w:val="center"/>
          </w:tcPr>
          <w:p>
            <w:pPr>
              <w:widowControl w:val="0"/>
              <w:jc w:val="center"/>
            </w:pPr>
            <w:r>
              <w:t>150</w:t>
            </w:r>
          </w:p>
        </w:tc>
        <w:tc>
          <w:tcPr>
            <w:tcW w:w="1662" w:type="dxa"/>
            <w:vAlign w:val="center"/>
          </w:tcPr>
          <w:p>
            <w:pPr>
              <w:widowControl w:val="0"/>
              <w:jc w:val="center"/>
            </w:pPr>
            <w:r>
              <w:t>275/–</w:t>
            </w:r>
          </w:p>
        </w:tc>
        <w:tc>
          <w:tcPr>
            <w:tcW w:w="1674" w:type="dxa"/>
            <w:vAlign w:val="center"/>
          </w:tcPr>
          <w:p>
            <w:pPr>
              <w:widowControl w:val="0"/>
              <w:jc w:val="center"/>
            </w:pPr>
            <w:r>
              <w:t>210/255</w:t>
            </w:r>
          </w:p>
        </w:tc>
        <w:tc>
          <w:tcPr>
            <w:tcW w:w="1688" w:type="dxa"/>
            <w:vAlign w:val="center"/>
          </w:tcPr>
          <w:p>
            <w:pPr>
              <w:widowControl w:val="0"/>
              <w:jc w:val="center"/>
            </w:pPr>
            <w:r>
              <w:t>205/230</w:t>
            </w:r>
          </w:p>
        </w:tc>
      </w:tr>
      <w:tr>
        <w:trPr>
          <w:cantSplit/>
          <w:trHeight w:val="20"/>
        </w:trPr>
        <w:tc>
          <w:tcPr>
            <w:tcW w:w="1497" w:type="dxa"/>
            <w:vAlign w:val="center"/>
          </w:tcPr>
          <w:p>
            <w:pPr>
              <w:widowControl w:val="0"/>
              <w:jc w:val="center"/>
            </w:pPr>
            <w:r>
              <w:t>185</w:t>
            </w:r>
          </w:p>
        </w:tc>
        <w:tc>
          <w:tcPr>
            <w:tcW w:w="1662" w:type="dxa"/>
            <w:vAlign w:val="center"/>
          </w:tcPr>
          <w:p>
            <w:pPr>
              <w:widowControl w:val="0"/>
              <w:jc w:val="center"/>
            </w:pPr>
            <w:r>
              <w:t>295/–</w:t>
            </w:r>
          </w:p>
        </w:tc>
        <w:tc>
          <w:tcPr>
            <w:tcW w:w="1674" w:type="dxa"/>
            <w:vAlign w:val="center"/>
          </w:tcPr>
          <w:p>
            <w:pPr>
              <w:widowControl w:val="0"/>
              <w:jc w:val="center"/>
            </w:pPr>
            <w:r>
              <w:t>225/275</w:t>
            </w:r>
          </w:p>
        </w:tc>
        <w:tc>
          <w:tcPr>
            <w:tcW w:w="1688" w:type="dxa"/>
            <w:vAlign w:val="center"/>
          </w:tcPr>
          <w:p>
            <w:pPr>
              <w:widowControl w:val="0"/>
              <w:jc w:val="center"/>
            </w:pPr>
            <w:r>
              <w:t>220/255</w:t>
            </w:r>
          </w:p>
        </w:tc>
      </w:tr>
      <w:tr>
        <w:trPr>
          <w:cantSplit/>
          <w:trHeight w:val="20"/>
        </w:trPr>
        <w:tc>
          <w:tcPr>
            <w:tcW w:w="1497" w:type="dxa"/>
            <w:vAlign w:val="center"/>
          </w:tcPr>
          <w:p>
            <w:pPr>
              <w:widowControl w:val="0"/>
              <w:jc w:val="center"/>
            </w:pPr>
            <w:r>
              <w:t>240</w:t>
            </w:r>
          </w:p>
        </w:tc>
        <w:tc>
          <w:tcPr>
            <w:tcW w:w="1662" w:type="dxa"/>
            <w:vAlign w:val="center"/>
          </w:tcPr>
          <w:p>
            <w:pPr>
              <w:widowControl w:val="0"/>
              <w:jc w:val="center"/>
            </w:pPr>
            <w:r>
              <w:t>335/–</w:t>
            </w:r>
          </w:p>
        </w:tc>
        <w:tc>
          <w:tcPr>
            <w:tcW w:w="1674" w:type="dxa"/>
            <w:vAlign w:val="center"/>
          </w:tcPr>
          <w:p>
            <w:pPr>
              <w:widowControl w:val="0"/>
              <w:jc w:val="center"/>
            </w:pPr>
            <w:r>
              <w:t>245/305</w:t>
            </w:r>
          </w:p>
        </w:tc>
        <w:tc>
          <w:tcPr>
            <w:tcW w:w="1688" w:type="dxa"/>
            <w:vAlign w:val="center"/>
          </w:tcPr>
          <w:p>
            <w:pPr>
              <w:widowControl w:val="0"/>
              <w:jc w:val="center"/>
            </w:pPr>
            <w:r>
              <w:t>245/290</w:t>
            </w:r>
          </w:p>
        </w:tc>
      </w:tr>
      <w:tr>
        <w:trPr>
          <w:cantSplit/>
          <w:trHeight w:val="20"/>
        </w:trPr>
        <w:tc>
          <w:tcPr>
            <w:tcW w:w="1497" w:type="dxa"/>
            <w:vAlign w:val="center"/>
          </w:tcPr>
          <w:p>
            <w:pPr>
              <w:widowControl w:val="0"/>
              <w:jc w:val="center"/>
            </w:pPr>
            <w:r>
              <w:t>300</w:t>
            </w:r>
          </w:p>
        </w:tc>
        <w:tc>
          <w:tcPr>
            <w:tcW w:w="1662" w:type="dxa"/>
            <w:vAlign w:val="center"/>
          </w:tcPr>
          <w:p>
            <w:pPr>
              <w:widowControl w:val="0"/>
              <w:jc w:val="center"/>
            </w:pPr>
            <w:r>
              <w:t>355/–</w:t>
            </w:r>
          </w:p>
        </w:tc>
        <w:tc>
          <w:tcPr>
            <w:tcW w:w="1674" w:type="dxa"/>
            <w:vAlign w:val="center"/>
          </w:tcPr>
          <w:p>
            <w:pPr>
              <w:widowControl w:val="0"/>
              <w:jc w:val="center"/>
            </w:pPr>
            <w:r>
              <w:t>270/330</w:t>
            </w:r>
          </w:p>
        </w:tc>
        <w:tc>
          <w:tcPr>
            <w:tcW w:w="1688" w:type="dxa"/>
            <w:vAlign w:val="center"/>
          </w:tcPr>
          <w:p>
            <w:pPr>
              <w:widowControl w:val="0"/>
              <w:jc w:val="center"/>
            </w:pPr>
            <w:r>
              <w:t>260/330</w:t>
            </w:r>
          </w:p>
        </w:tc>
      </w:tr>
      <w:tr>
        <w:trPr>
          <w:cantSplit/>
          <w:trHeight w:val="20"/>
        </w:trPr>
        <w:tc>
          <w:tcPr>
            <w:tcW w:w="1497" w:type="dxa"/>
            <w:vAlign w:val="center"/>
          </w:tcPr>
          <w:p>
            <w:pPr>
              <w:widowControl w:val="0"/>
              <w:jc w:val="center"/>
            </w:pPr>
            <w:r>
              <w:t>400</w:t>
            </w:r>
          </w:p>
        </w:tc>
        <w:tc>
          <w:tcPr>
            <w:tcW w:w="1662" w:type="dxa"/>
            <w:vAlign w:val="center"/>
          </w:tcPr>
          <w:p>
            <w:pPr>
              <w:widowControl w:val="0"/>
              <w:jc w:val="center"/>
            </w:pPr>
            <w:r>
              <w:t>375/–</w:t>
            </w:r>
          </w:p>
        </w:tc>
        <w:tc>
          <w:tcPr>
            <w:tcW w:w="1674" w:type="dxa"/>
            <w:vAlign w:val="center"/>
          </w:tcPr>
          <w:p>
            <w:pPr>
              <w:widowControl w:val="0"/>
              <w:jc w:val="center"/>
            </w:pPr>
            <w:r>
              <w:t>285/350</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500</w:t>
            </w:r>
          </w:p>
        </w:tc>
        <w:tc>
          <w:tcPr>
            <w:tcW w:w="1662" w:type="dxa"/>
            <w:vAlign w:val="center"/>
          </w:tcPr>
          <w:p>
            <w:pPr>
              <w:widowControl w:val="0"/>
              <w:jc w:val="center"/>
            </w:pPr>
            <w:r>
              <w:t>390/–</w:t>
            </w:r>
          </w:p>
        </w:tc>
        <w:tc>
          <w:tcPr>
            <w:tcW w:w="1674" w:type="dxa"/>
            <w:vAlign w:val="center"/>
          </w:tcPr>
          <w:p>
            <w:pPr>
              <w:widowControl w:val="0"/>
              <w:jc w:val="center"/>
            </w:pPr>
            <w:r>
              <w:t>–</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625</w:t>
            </w:r>
          </w:p>
        </w:tc>
        <w:tc>
          <w:tcPr>
            <w:tcW w:w="1662" w:type="dxa"/>
            <w:vAlign w:val="center"/>
          </w:tcPr>
          <w:p>
            <w:pPr>
              <w:widowControl w:val="0"/>
              <w:jc w:val="center"/>
            </w:pPr>
            <w:r>
              <w:t>405/–</w:t>
            </w:r>
          </w:p>
        </w:tc>
        <w:tc>
          <w:tcPr>
            <w:tcW w:w="1674" w:type="dxa"/>
            <w:vAlign w:val="center"/>
          </w:tcPr>
          <w:p>
            <w:pPr>
              <w:widowControl w:val="0"/>
              <w:jc w:val="center"/>
            </w:pPr>
            <w:r>
              <w:t>–</w:t>
            </w:r>
          </w:p>
        </w:tc>
        <w:tc>
          <w:tcPr>
            <w:tcW w:w="1688" w:type="dxa"/>
            <w:vAlign w:val="center"/>
          </w:tcPr>
          <w:p>
            <w:pPr>
              <w:widowControl w:val="0"/>
              <w:jc w:val="center"/>
            </w:pPr>
            <w:r>
              <w:t>–</w:t>
            </w:r>
          </w:p>
        </w:tc>
      </w:tr>
      <w:tr>
        <w:trPr>
          <w:cantSplit/>
          <w:trHeight w:val="20"/>
        </w:trPr>
        <w:tc>
          <w:tcPr>
            <w:tcW w:w="1497" w:type="dxa"/>
            <w:vAlign w:val="center"/>
          </w:tcPr>
          <w:p>
            <w:pPr>
              <w:widowControl w:val="0"/>
              <w:jc w:val="center"/>
            </w:pPr>
            <w:r>
              <w:t>800</w:t>
            </w:r>
          </w:p>
        </w:tc>
        <w:tc>
          <w:tcPr>
            <w:tcW w:w="1662" w:type="dxa"/>
            <w:vAlign w:val="center"/>
          </w:tcPr>
          <w:p>
            <w:pPr>
              <w:widowControl w:val="0"/>
              <w:jc w:val="center"/>
            </w:pPr>
            <w:r>
              <w:t>425/–</w:t>
            </w:r>
          </w:p>
        </w:tc>
        <w:tc>
          <w:tcPr>
            <w:tcW w:w="1674" w:type="dxa"/>
            <w:vAlign w:val="center"/>
          </w:tcPr>
          <w:p>
            <w:pPr>
              <w:widowControl w:val="0"/>
              <w:jc w:val="center"/>
            </w:pPr>
            <w:r>
              <w:t>–</w:t>
            </w:r>
          </w:p>
        </w:tc>
        <w:tc>
          <w:tcPr>
            <w:tcW w:w="1688" w:type="dxa"/>
            <w:vAlign w:val="center"/>
          </w:tcPr>
          <w:p>
            <w:pPr>
              <w:widowControl w:val="0"/>
              <w:jc w:val="center"/>
            </w:pPr>
            <w:r>
              <w:t>–</w:t>
            </w:r>
          </w:p>
        </w:tc>
      </w:tr>
    </w:tbl>
    <w:p>
      <w:pPr>
        <w:widowControl w:val="0"/>
        <w:ind w:firstLine="567"/>
        <w:jc w:val="both"/>
      </w:pPr>
    </w:p>
    <w:p>
      <w:pPr>
        <w:widowControl w:val="0"/>
        <w:ind w:firstLine="567"/>
        <w:jc w:val="both"/>
        <w:rPr>
          <w:i/>
        </w:rPr>
      </w:pPr>
      <w:r>
        <w:t>PASTABA. Skaitiklyje nurodoma kabelių, išdėstytų plokštumoje, srovė, esant atstumui tarp jų nuo 35 iki 125 mm, o vardiklyje – kabelių, išdėstytų dobilo lapo forma, be tarpų tarp jų</w:t>
      </w:r>
      <w:r>
        <w:rPr>
          <w:i/>
        </w:rPr>
        <w:t>.</w:t>
      </w:r>
    </w:p>
    <w:p>
      <w:pPr>
        <w:widowControl w:val="0"/>
        <w:ind w:firstLine="567"/>
        <w:jc w:val="both"/>
      </w:pPr>
    </w:p>
    <w:p>
      <w:pPr>
        <w:widowControl w:val="0"/>
        <w:ind w:firstLine="567"/>
        <w:jc w:val="both"/>
        <w:rPr>
          <w:b/>
          <w:bCs/>
        </w:rPr>
      </w:pPr>
      <w:r>
        <w:rPr>
          <w:b/>
          <w:bCs/>
        </w:rPr>
        <w:t>26 lentelė. Greta žemėje arba greta žemėje vamzdžiuose paklotų kabelių leistinosios ilgalaikės srovės pataisos koeficientai</w:t>
      </w:r>
    </w:p>
    <w:p>
      <w:pPr>
        <w:widowControl w:val="0"/>
        <w:ind w:firstLine="567"/>
        <w:jc w:val="both"/>
        <w:rPr>
          <w:i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173"/>
        <w:gridCol w:w="1174"/>
        <w:gridCol w:w="1174"/>
        <w:gridCol w:w="1174"/>
        <w:gridCol w:w="1174"/>
        <w:gridCol w:w="1174"/>
      </w:tblGrid>
      <w:tr>
        <w:trPr>
          <w:cantSplit/>
          <w:trHeight w:val="567"/>
        </w:trPr>
        <w:tc>
          <w:tcPr>
            <w:tcW w:w="1845" w:type="dxa"/>
            <w:vMerge w:val="restart"/>
            <w:vAlign w:val="center"/>
          </w:tcPr>
          <w:p>
            <w:pPr>
              <w:widowControl w:val="0"/>
              <w:jc w:val="center"/>
            </w:pPr>
            <w:r>
              <w:t>Atstumas tarp kabelių, mm</w:t>
            </w:r>
          </w:p>
        </w:tc>
        <w:tc>
          <w:tcPr>
            <w:tcW w:w="6408" w:type="dxa"/>
            <w:gridSpan w:val="6"/>
            <w:vAlign w:val="center"/>
          </w:tcPr>
          <w:p>
            <w:pPr>
              <w:widowControl w:val="0"/>
              <w:jc w:val="center"/>
            </w:pPr>
            <w:r>
              <w:t>Žemėje paklotų kabelių skaičius, vnt.</w:t>
            </w:r>
          </w:p>
        </w:tc>
      </w:tr>
      <w:tr>
        <w:trPr>
          <w:cantSplit/>
          <w:trHeight w:val="20"/>
        </w:trPr>
        <w:tc>
          <w:tcPr>
            <w:tcW w:w="1845" w:type="dxa"/>
            <w:vMerge/>
            <w:vAlign w:val="center"/>
          </w:tcPr>
          <w:p>
            <w:pPr>
              <w:widowControl w:val="0"/>
              <w:jc w:val="center"/>
            </w:pPr>
          </w:p>
        </w:tc>
        <w:tc>
          <w:tcPr>
            <w:tcW w:w="1068" w:type="dxa"/>
            <w:vAlign w:val="center"/>
          </w:tcPr>
          <w:p>
            <w:pPr>
              <w:widowControl w:val="0"/>
              <w:jc w:val="center"/>
            </w:pPr>
            <w:r>
              <w:t>1</w:t>
            </w:r>
          </w:p>
        </w:tc>
        <w:tc>
          <w:tcPr>
            <w:tcW w:w="1068" w:type="dxa"/>
            <w:vAlign w:val="center"/>
          </w:tcPr>
          <w:p>
            <w:pPr>
              <w:widowControl w:val="0"/>
              <w:jc w:val="center"/>
            </w:pPr>
            <w:r>
              <w:t>2</w:t>
            </w:r>
          </w:p>
        </w:tc>
        <w:tc>
          <w:tcPr>
            <w:tcW w:w="1068" w:type="dxa"/>
            <w:vAlign w:val="center"/>
          </w:tcPr>
          <w:p>
            <w:pPr>
              <w:widowControl w:val="0"/>
              <w:jc w:val="center"/>
            </w:pPr>
            <w:r>
              <w:t>3</w:t>
            </w:r>
          </w:p>
        </w:tc>
        <w:tc>
          <w:tcPr>
            <w:tcW w:w="1068" w:type="dxa"/>
            <w:vAlign w:val="center"/>
          </w:tcPr>
          <w:p>
            <w:pPr>
              <w:widowControl w:val="0"/>
              <w:jc w:val="center"/>
            </w:pPr>
            <w:r>
              <w:t>4</w:t>
            </w:r>
          </w:p>
        </w:tc>
        <w:tc>
          <w:tcPr>
            <w:tcW w:w="1068" w:type="dxa"/>
            <w:vAlign w:val="center"/>
          </w:tcPr>
          <w:p>
            <w:pPr>
              <w:widowControl w:val="0"/>
              <w:jc w:val="center"/>
            </w:pPr>
            <w:r>
              <w:t>5</w:t>
            </w:r>
          </w:p>
        </w:tc>
        <w:tc>
          <w:tcPr>
            <w:tcW w:w="1068" w:type="dxa"/>
            <w:vAlign w:val="center"/>
          </w:tcPr>
          <w:p>
            <w:pPr>
              <w:widowControl w:val="0"/>
              <w:jc w:val="center"/>
            </w:pPr>
            <w:r>
              <w:t>6</w:t>
            </w:r>
          </w:p>
        </w:tc>
      </w:tr>
      <w:tr>
        <w:trPr>
          <w:cantSplit/>
          <w:trHeight w:val="20"/>
        </w:trPr>
        <w:tc>
          <w:tcPr>
            <w:tcW w:w="1845" w:type="dxa"/>
            <w:vAlign w:val="center"/>
          </w:tcPr>
          <w:p>
            <w:pPr>
              <w:widowControl w:val="0"/>
              <w:jc w:val="center"/>
            </w:pPr>
            <w:r>
              <w:t>100</w:t>
            </w:r>
          </w:p>
        </w:tc>
        <w:tc>
          <w:tcPr>
            <w:tcW w:w="1068" w:type="dxa"/>
            <w:vAlign w:val="center"/>
          </w:tcPr>
          <w:p>
            <w:pPr>
              <w:widowControl w:val="0"/>
              <w:jc w:val="center"/>
            </w:pPr>
            <w:r>
              <w:t>1,00</w:t>
            </w:r>
          </w:p>
        </w:tc>
        <w:tc>
          <w:tcPr>
            <w:tcW w:w="1068" w:type="dxa"/>
            <w:vAlign w:val="center"/>
          </w:tcPr>
          <w:p>
            <w:pPr>
              <w:widowControl w:val="0"/>
              <w:jc w:val="center"/>
            </w:pPr>
            <w:r>
              <w:t>0,90</w:t>
            </w:r>
          </w:p>
        </w:tc>
        <w:tc>
          <w:tcPr>
            <w:tcW w:w="1068" w:type="dxa"/>
            <w:vAlign w:val="center"/>
          </w:tcPr>
          <w:p>
            <w:pPr>
              <w:widowControl w:val="0"/>
              <w:jc w:val="center"/>
            </w:pPr>
            <w:r>
              <w:t>0,85</w:t>
            </w:r>
          </w:p>
        </w:tc>
        <w:tc>
          <w:tcPr>
            <w:tcW w:w="1068" w:type="dxa"/>
            <w:vAlign w:val="center"/>
          </w:tcPr>
          <w:p>
            <w:pPr>
              <w:widowControl w:val="0"/>
              <w:jc w:val="center"/>
            </w:pPr>
            <w:r>
              <w:t>0,80</w:t>
            </w:r>
          </w:p>
        </w:tc>
        <w:tc>
          <w:tcPr>
            <w:tcW w:w="1068" w:type="dxa"/>
            <w:vAlign w:val="center"/>
          </w:tcPr>
          <w:p>
            <w:pPr>
              <w:widowControl w:val="0"/>
              <w:jc w:val="center"/>
            </w:pPr>
            <w:r>
              <w:t>0,78</w:t>
            </w:r>
          </w:p>
        </w:tc>
        <w:tc>
          <w:tcPr>
            <w:tcW w:w="1068" w:type="dxa"/>
            <w:vAlign w:val="center"/>
          </w:tcPr>
          <w:p>
            <w:pPr>
              <w:widowControl w:val="0"/>
              <w:jc w:val="center"/>
            </w:pPr>
            <w:r>
              <w:t>0,75</w:t>
            </w:r>
          </w:p>
        </w:tc>
      </w:tr>
      <w:tr>
        <w:trPr>
          <w:cantSplit/>
          <w:trHeight w:val="20"/>
        </w:trPr>
        <w:tc>
          <w:tcPr>
            <w:tcW w:w="1845" w:type="dxa"/>
            <w:vAlign w:val="center"/>
          </w:tcPr>
          <w:p>
            <w:pPr>
              <w:widowControl w:val="0"/>
              <w:jc w:val="center"/>
            </w:pPr>
            <w:r>
              <w:t>200</w:t>
            </w:r>
          </w:p>
        </w:tc>
        <w:tc>
          <w:tcPr>
            <w:tcW w:w="1068" w:type="dxa"/>
            <w:vAlign w:val="center"/>
          </w:tcPr>
          <w:p>
            <w:pPr>
              <w:widowControl w:val="0"/>
              <w:jc w:val="center"/>
            </w:pPr>
            <w:r>
              <w:t>1,00</w:t>
            </w:r>
          </w:p>
        </w:tc>
        <w:tc>
          <w:tcPr>
            <w:tcW w:w="1068" w:type="dxa"/>
            <w:vAlign w:val="center"/>
          </w:tcPr>
          <w:p>
            <w:pPr>
              <w:widowControl w:val="0"/>
              <w:jc w:val="center"/>
            </w:pPr>
            <w:r>
              <w:t>0,92</w:t>
            </w:r>
          </w:p>
        </w:tc>
        <w:tc>
          <w:tcPr>
            <w:tcW w:w="1068" w:type="dxa"/>
            <w:vAlign w:val="center"/>
          </w:tcPr>
          <w:p>
            <w:pPr>
              <w:widowControl w:val="0"/>
              <w:jc w:val="center"/>
            </w:pPr>
            <w:r>
              <w:t>0,87</w:t>
            </w:r>
          </w:p>
        </w:tc>
        <w:tc>
          <w:tcPr>
            <w:tcW w:w="1068" w:type="dxa"/>
            <w:vAlign w:val="center"/>
          </w:tcPr>
          <w:p>
            <w:pPr>
              <w:widowControl w:val="0"/>
              <w:jc w:val="center"/>
            </w:pPr>
            <w:r>
              <w:t>0,84</w:t>
            </w:r>
          </w:p>
        </w:tc>
        <w:tc>
          <w:tcPr>
            <w:tcW w:w="1068" w:type="dxa"/>
            <w:vAlign w:val="center"/>
          </w:tcPr>
          <w:p>
            <w:pPr>
              <w:widowControl w:val="0"/>
              <w:jc w:val="center"/>
            </w:pPr>
            <w:r>
              <w:t>0,82</w:t>
            </w:r>
          </w:p>
        </w:tc>
        <w:tc>
          <w:tcPr>
            <w:tcW w:w="1068" w:type="dxa"/>
            <w:vAlign w:val="center"/>
          </w:tcPr>
          <w:p>
            <w:pPr>
              <w:widowControl w:val="0"/>
              <w:jc w:val="center"/>
            </w:pPr>
            <w:r>
              <w:t>0,81</w:t>
            </w:r>
          </w:p>
        </w:tc>
      </w:tr>
      <w:tr>
        <w:trPr>
          <w:cantSplit/>
          <w:trHeight w:val="20"/>
        </w:trPr>
        <w:tc>
          <w:tcPr>
            <w:tcW w:w="1845" w:type="dxa"/>
            <w:vAlign w:val="center"/>
          </w:tcPr>
          <w:p>
            <w:pPr>
              <w:widowControl w:val="0"/>
              <w:jc w:val="center"/>
            </w:pPr>
            <w:r>
              <w:t>300</w:t>
            </w:r>
          </w:p>
        </w:tc>
        <w:tc>
          <w:tcPr>
            <w:tcW w:w="1068" w:type="dxa"/>
            <w:vAlign w:val="center"/>
          </w:tcPr>
          <w:p>
            <w:pPr>
              <w:widowControl w:val="0"/>
              <w:jc w:val="center"/>
            </w:pPr>
            <w:r>
              <w:t>1,00</w:t>
            </w:r>
          </w:p>
        </w:tc>
        <w:tc>
          <w:tcPr>
            <w:tcW w:w="1068" w:type="dxa"/>
            <w:vAlign w:val="center"/>
          </w:tcPr>
          <w:p>
            <w:pPr>
              <w:widowControl w:val="0"/>
              <w:jc w:val="center"/>
            </w:pPr>
            <w:r>
              <w:t>0,93</w:t>
            </w:r>
          </w:p>
        </w:tc>
        <w:tc>
          <w:tcPr>
            <w:tcW w:w="1068" w:type="dxa"/>
            <w:vAlign w:val="center"/>
          </w:tcPr>
          <w:p>
            <w:pPr>
              <w:widowControl w:val="0"/>
              <w:jc w:val="center"/>
            </w:pPr>
            <w:r>
              <w:t>0,90</w:t>
            </w:r>
          </w:p>
        </w:tc>
        <w:tc>
          <w:tcPr>
            <w:tcW w:w="1068" w:type="dxa"/>
            <w:vAlign w:val="center"/>
          </w:tcPr>
          <w:p>
            <w:pPr>
              <w:widowControl w:val="0"/>
              <w:jc w:val="center"/>
            </w:pPr>
            <w:r>
              <w:t>0,87</w:t>
            </w:r>
          </w:p>
        </w:tc>
        <w:tc>
          <w:tcPr>
            <w:tcW w:w="1068" w:type="dxa"/>
            <w:vAlign w:val="center"/>
          </w:tcPr>
          <w:p>
            <w:pPr>
              <w:widowControl w:val="0"/>
              <w:jc w:val="center"/>
            </w:pPr>
            <w:r>
              <w:t>0,86</w:t>
            </w:r>
          </w:p>
        </w:tc>
        <w:tc>
          <w:tcPr>
            <w:tcW w:w="1068" w:type="dxa"/>
            <w:vAlign w:val="center"/>
          </w:tcPr>
          <w:p>
            <w:pPr>
              <w:widowControl w:val="0"/>
              <w:jc w:val="center"/>
            </w:pPr>
            <w:r>
              <w:t>0,85</w:t>
            </w:r>
          </w:p>
        </w:tc>
      </w:tr>
    </w:tbl>
    <w:p>
      <w:pPr>
        <w:widowControl w:val="0"/>
        <w:ind w:firstLine="567"/>
        <w:jc w:val="both"/>
        <w:rPr>
          <w:b/>
          <w:bCs/>
        </w:rPr>
      </w:pPr>
    </w:p>
    <w:p>
      <w:pPr>
        <w:widowControl w:val="0"/>
        <w:ind w:firstLine="567"/>
        <w:jc w:val="both"/>
        <w:rPr>
          <w:b/>
          <w:bCs/>
        </w:rPr>
      </w:pPr>
      <w:r>
        <w:rPr>
          <w:b/>
          <w:bCs/>
        </w:rPr>
        <w:t>27 lentelė. 0,6/1,0 kV įtampos oro kabelių juodojo polietileno (PE, TIP-3) izoliacija leistinoji ilgalaikė srovė ir elektriniai parametrai</w:t>
      </w:r>
    </w:p>
    <w:p>
      <w:pPr>
        <w:widowControl w:val="0"/>
        <w:ind w:firstLine="567"/>
        <w:jc w:val="both"/>
      </w:pPr>
    </w:p>
    <w:p>
      <w:pPr>
        <w:widowControl w:val="0"/>
        <w:ind w:firstLine="567"/>
        <w:jc w:val="both"/>
      </w:pPr>
      <w:r>
        <w:t xml:space="preserve">Temperatūra: kabelių +70 </w:t>
      </w:r>
      <w:r>
        <w:rPr>
          <w:vertAlign w:val="superscript"/>
        </w:rPr>
        <w:t>o</w:t>
      </w:r>
      <w:r>
        <w:t xml:space="preserve">C, oro +25 </w:t>
      </w:r>
      <w:r>
        <w:rPr>
          <w:vertAlign w:val="superscript"/>
        </w:rPr>
        <w:t>o</w:t>
      </w:r>
      <w:r>
        <w:t xml:space="preserve">C; kabelių tekant 5 sek. trukmės trumpojo jungimo srovei +125 </w:t>
      </w:r>
      <w:r>
        <w:rPr>
          <w:vertAlign w:val="superscript"/>
        </w:rPr>
        <w:t>o</w:t>
      </w:r>
      <w:r>
        <w:t>C.</w:t>
      </w:r>
    </w:p>
    <w:p>
      <w:pPr>
        <w:widowControl w:val="0"/>
        <w:ind w:firstLine="634"/>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1381"/>
        <w:gridCol w:w="1971"/>
        <w:gridCol w:w="1927"/>
        <w:gridCol w:w="2213"/>
      </w:tblGrid>
      <w:tr>
        <w:trPr>
          <w:cantSplit/>
          <w:trHeight w:val="20"/>
        </w:trPr>
        <w:tc>
          <w:tcPr>
            <w:tcW w:w="1445" w:type="dxa"/>
            <w:vAlign w:val="center"/>
          </w:tcPr>
          <w:p>
            <w:pPr>
              <w:widowControl w:val="0"/>
              <w:jc w:val="center"/>
            </w:pPr>
            <w:r>
              <w:t>Kabelių skerspjūviai,</w:t>
            </w:r>
          </w:p>
          <w:p>
            <w:pPr>
              <w:widowControl w:val="0"/>
              <w:jc w:val="center"/>
            </w:pPr>
            <w:r>
              <w:t>mm</w:t>
            </w:r>
            <w:r>
              <w:rPr>
                <w:vertAlign w:val="superscript"/>
              </w:rPr>
              <w:t>2</w:t>
            </w:r>
          </w:p>
        </w:tc>
        <w:tc>
          <w:tcPr>
            <w:tcW w:w="1265" w:type="dxa"/>
            <w:vAlign w:val="center"/>
          </w:tcPr>
          <w:p>
            <w:pPr>
              <w:widowControl w:val="0"/>
              <w:jc w:val="center"/>
            </w:pPr>
            <w:r>
              <w:t>Leistinoji ilgalaikė srovė, A</w:t>
            </w:r>
          </w:p>
        </w:tc>
        <w:tc>
          <w:tcPr>
            <w:tcW w:w="1805" w:type="dxa"/>
            <w:vAlign w:val="center"/>
          </w:tcPr>
          <w:p>
            <w:pPr>
              <w:widowControl w:val="0"/>
              <w:jc w:val="center"/>
              <w:rPr>
                <w:highlight w:val="yellow"/>
              </w:rPr>
            </w:pPr>
            <w:r>
              <w:t xml:space="preserve">Fazinių laidininkų aktyvioji varža </w:t>
            </w:r>
            <w:r>
              <w:rPr>
                <w:vanish/>
              </w:rPr>
              <w:t xml:space="preserve">  </w:t>
            </w:r>
            <w:r>
              <w:rPr>
                <w:position w:val="-4"/>
              </w:rPr>
              <w:object w:dxaOrig="255" w:dyaOrig="255">
                <v:shape id="_x0000_i1092" type="#_x0000_t75" style="width:12.8pt;height:12.8pt" o:ole="">
                  <v:imagedata r:id="rId155" o:title=""/>
                </v:shape>
                <o:OLEObject Type="Embed" ProgID="Equation.3" ShapeID="_x0000_i1092" DrawAspect="Content" ObjectID="_0000000001" r:id="rId156"/>
              </w:object>
            </w:r>
            <w:r>
              <w:t xml:space="preserve"> /km, (20 oc)</w:t>
            </w:r>
          </w:p>
        </w:tc>
        <w:tc>
          <w:tcPr>
            <w:tcW w:w="1765" w:type="dxa"/>
            <w:vAlign w:val="center"/>
          </w:tcPr>
          <w:p>
            <w:pPr>
              <w:widowControl w:val="0"/>
              <w:jc w:val="center"/>
              <w:rPr>
                <w:highlight w:val="yellow"/>
              </w:rPr>
            </w:pPr>
            <w:r>
              <w:t xml:space="preserve">PEN laidininkų aktyvioji varža, </w:t>
            </w:r>
            <w:r>
              <w:rPr>
                <w:vanish/>
              </w:rPr>
              <w:t xml:space="preserve">  </w:t>
            </w:r>
            <w:r>
              <w:rPr>
                <w:position w:val="-4"/>
              </w:rPr>
              <w:object w:dxaOrig="255" w:dyaOrig="255">
                <v:shape id="_x0000_i1093" type="#_x0000_t75" style="width:12.8pt;height:12.8pt" o:ole="">
                  <v:imagedata r:id="rId157" o:title=""/>
                </v:shape>
                <o:OLEObject Type="Embed" ProgID="Equation.3" ShapeID="_x0000_i1093" DrawAspect="Content" ObjectID="_0000000001" r:id="rId158"/>
              </w:object>
            </w:r>
            <w:r>
              <w:t xml:space="preserve"> /km, (20 oc)</w:t>
            </w:r>
          </w:p>
        </w:tc>
        <w:tc>
          <w:tcPr>
            <w:tcW w:w="2027" w:type="dxa"/>
            <w:vAlign w:val="center"/>
          </w:tcPr>
          <w:p>
            <w:pPr>
              <w:widowControl w:val="0"/>
              <w:jc w:val="center"/>
            </w:pPr>
            <w:r>
              <w:t>Leistinoji ilgalaikė 1 sek. trukmės trumpojo jungimo srovė, kA</w:t>
            </w:r>
          </w:p>
        </w:tc>
      </w:tr>
      <w:tr>
        <w:trPr>
          <w:cantSplit/>
          <w:trHeight w:val="20"/>
        </w:trPr>
        <w:tc>
          <w:tcPr>
            <w:tcW w:w="1445" w:type="dxa"/>
            <w:vAlign w:val="center"/>
          </w:tcPr>
          <w:p>
            <w:pPr>
              <w:widowControl w:val="0"/>
              <w:jc w:val="center"/>
            </w:pPr>
            <w:r>
              <w:t>1</w:t>
              <w:sym w:font="Symbol" w:char="F0B4"/>
              <w:t>16+25</w:t>
            </w:r>
          </w:p>
        </w:tc>
        <w:tc>
          <w:tcPr>
            <w:tcW w:w="1265" w:type="dxa"/>
            <w:vAlign w:val="center"/>
          </w:tcPr>
          <w:p>
            <w:pPr>
              <w:widowControl w:val="0"/>
              <w:jc w:val="center"/>
            </w:pPr>
            <w:r>
              <w:t>75</w:t>
            </w:r>
          </w:p>
        </w:tc>
        <w:tc>
          <w:tcPr>
            <w:tcW w:w="1805" w:type="dxa"/>
            <w:vAlign w:val="center"/>
          </w:tcPr>
          <w:p>
            <w:pPr>
              <w:widowControl w:val="0"/>
              <w:jc w:val="center"/>
            </w:pPr>
            <w:r>
              <w:t>1,91</w:t>
            </w:r>
          </w:p>
        </w:tc>
        <w:tc>
          <w:tcPr>
            <w:tcW w:w="1765" w:type="dxa"/>
            <w:vAlign w:val="center"/>
          </w:tcPr>
          <w:p>
            <w:pPr>
              <w:widowControl w:val="0"/>
              <w:jc w:val="center"/>
            </w:pPr>
            <w:r>
              <w:t>1,38</w:t>
            </w:r>
          </w:p>
        </w:tc>
        <w:tc>
          <w:tcPr>
            <w:tcW w:w="2027" w:type="dxa"/>
            <w:vAlign w:val="center"/>
          </w:tcPr>
          <w:p>
            <w:pPr>
              <w:widowControl w:val="0"/>
              <w:jc w:val="center"/>
            </w:pPr>
            <w:r>
              <w:t>1,5</w:t>
            </w:r>
          </w:p>
        </w:tc>
      </w:tr>
      <w:tr>
        <w:trPr>
          <w:cantSplit/>
          <w:trHeight w:val="20"/>
        </w:trPr>
        <w:tc>
          <w:tcPr>
            <w:tcW w:w="1445" w:type="dxa"/>
            <w:vAlign w:val="center"/>
          </w:tcPr>
          <w:p>
            <w:pPr>
              <w:widowControl w:val="0"/>
              <w:jc w:val="center"/>
            </w:pPr>
            <w:r>
              <w:t>3</w:t>
              <w:sym w:font="Symbol" w:char="F0B4"/>
              <w:t>16+25</w:t>
            </w:r>
          </w:p>
        </w:tc>
        <w:tc>
          <w:tcPr>
            <w:tcW w:w="1265" w:type="dxa"/>
            <w:vAlign w:val="center"/>
          </w:tcPr>
          <w:p>
            <w:pPr>
              <w:widowControl w:val="0"/>
              <w:jc w:val="center"/>
            </w:pPr>
            <w:r>
              <w:t>70</w:t>
            </w:r>
          </w:p>
        </w:tc>
        <w:tc>
          <w:tcPr>
            <w:tcW w:w="1805" w:type="dxa"/>
            <w:vAlign w:val="center"/>
          </w:tcPr>
          <w:p>
            <w:pPr>
              <w:widowControl w:val="0"/>
              <w:jc w:val="center"/>
            </w:pPr>
            <w:r>
              <w:t>1,91</w:t>
            </w:r>
          </w:p>
        </w:tc>
        <w:tc>
          <w:tcPr>
            <w:tcW w:w="1765" w:type="dxa"/>
            <w:vAlign w:val="center"/>
          </w:tcPr>
          <w:p>
            <w:pPr>
              <w:widowControl w:val="0"/>
              <w:jc w:val="center"/>
            </w:pPr>
            <w:r>
              <w:t>1,38</w:t>
            </w:r>
          </w:p>
        </w:tc>
        <w:tc>
          <w:tcPr>
            <w:tcW w:w="2027" w:type="dxa"/>
            <w:vAlign w:val="center"/>
          </w:tcPr>
          <w:p>
            <w:pPr>
              <w:widowControl w:val="0"/>
              <w:jc w:val="center"/>
            </w:pPr>
            <w:r>
              <w:t>1,5</w:t>
            </w:r>
          </w:p>
        </w:tc>
      </w:tr>
      <w:tr>
        <w:trPr>
          <w:cantSplit/>
          <w:trHeight w:val="20"/>
        </w:trPr>
        <w:tc>
          <w:tcPr>
            <w:tcW w:w="1445" w:type="dxa"/>
            <w:vAlign w:val="center"/>
          </w:tcPr>
          <w:p>
            <w:pPr>
              <w:widowControl w:val="0"/>
              <w:jc w:val="center"/>
            </w:pPr>
            <w:r>
              <w:t>3</w:t>
              <w:sym w:font="Symbol" w:char="F0B4"/>
              <w:t>25+35</w:t>
            </w:r>
          </w:p>
        </w:tc>
        <w:tc>
          <w:tcPr>
            <w:tcW w:w="1265" w:type="dxa"/>
            <w:vAlign w:val="center"/>
          </w:tcPr>
          <w:p>
            <w:pPr>
              <w:widowControl w:val="0"/>
              <w:jc w:val="center"/>
            </w:pPr>
            <w:r>
              <w:t>95</w:t>
            </w:r>
          </w:p>
        </w:tc>
        <w:tc>
          <w:tcPr>
            <w:tcW w:w="1805" w:type="dxa"/>
            <w:vAlign w:val="center"/>
          </w:tcPr>
          <w:p>
            <w:pPr>
              <w:widowControl w:val="0"/>
              <w:jc w:val="center"/>
            </w:pPr>
            <w:r>
              <w:t>1,2</w:t>
            </w:r>
          </w:p>
        </w:tc>
        <w:tc>
          <w:tcPr>
            <w:tcW w:w="1765" w:type="dxa"/>
            <w:vAlign w:val="center"/>
          </w:tcPr>
          <w:p>
            <w:pPr>
              <w:widowControl w:val="0"/>
              <w:jc w:val="center"/>
            </w:pPr>
            <w:r>
              <w:t>0,986</w:t>
            </w:r>
          </w:p>
        </w:tc>
        <w:tc>
          <w:tcPr>
            <w:tcW w:w="2027" w:type="dxa"/>
            <w:vAlign w:val="center"/>
          </w:tcPr>
          <w:p>
            <w:pPr>
              <w:widowControl w:val="0"/>
              <w:jc w:val="center"/>
            </w:pPr>
            <w:r>
              <w:t>2,3</w:t>
            </w:r>
          </w:p>
        </w:tc>
      </w:tr>
      <w:tr>
        <w:trPr>
          <w:cantSplit/>
          <w:trHeight w:val="20"/>
        </w:trPr>
        <w:tc>
          <w:tcPr>
            <w:tcW w:w="1445" w:type="dxa"/>
            <w:vAlign w:val="center"/>
          </w:tcPr>
          <w:p>
            <w:pPr>
              <w:widowControl w:val="0"/>
              <w:jc w:val="center"/>
            </w:pPr>
            <w:r>
              <w:t>3</w:t>
              <w:sym w:font="Symbol" w:char="F0B4"/>
              <w:t>35+50</w:t>
            </w:r>
          </w:p>
        </w:tc>
        <w:tc>
          <w:tcPr>
            <w:tcW w:w="1265" w:type="dxa"/>
            <w:vAlign w:val="center"/>
          </w:tcPr>
          <w:p>
            <w:pPr>
              <w:widowControl w:val="0"/>
              <w:jc w:val="center"/>
            </w:pPr>
            <w:r>
              <w:t>115</w:t>
            </w:r>
          </w:p>
        </w:tc>
        <w:tc>
          <w:tcPr>
            <w:tcW w:w="1805" w:type="dxa"/>
            <w:vAlign w:val="center"/>
          </w:tcPr>
          <w:p>
            <w:pPr>
              <w:widowControl w:val="0"/>
              <w:jc w:val="center"/>
            </w:pPr>
            <w:r>
              <w:t>0,868</w:t>
            </w:r>
          </w:p>
        </w:tc>
        <w:tc>
          <w:tcPr>
            <w:tcW w:w="1765" w:type="dxa"/>
            <w:vAlign w:val="center"/>
          </w:tcPr>
          <w:p>
            <w:pPr>
              <w:widowControl w:val="0"/>
              <w:jc w:val="center"/>
            </w:pPr>
            <w:r>
              <w:t>0,72</w:t>
            </w:r>
          </w:p>
        </w:tc>
        <w:tc>
          <w:tcPr>
            <w:tcW w:w="2027" w:type="dxa"/>
            <w:vAlign w:val="center"/>
          </w:tcPr>
          <w:p>
            <w:pPr>
              <w:widowControl w:val="0"/>
              <w:jc w:val="center"/>
            </w:pPr>
            <w:r>
              <w:t>3,2</w:t>
            </w:r>
          </w:p>
        </w:tc>
      </w:tr>
      <w:tr>
        <w:trPr>
          <w:cantSplit/>
          <w:trHeight w:val="20"/>
        </w:trPr>
        <w:tc>
          <w:tcPr>
            <w:tcW w:w="1445" w:type="dxa"/>
            <w:vAlign w:val="center"/>
          </w:tcPr>
          <w:p>
            <w:pPr>
              <w:widowControl w:val="0"/>
              <w:jc w:val="center"/>
            </w:pPr>
            <w:r>
              <w:t>3</w:t>
              <w:sym w:font="Symbol" w:char="F0B4"/>
              <w:t>50+70</w:t>
            </w:r>
          </w:p>
        </w:tc>
        <w:tc>
          <w:tcPr>
            <w:tcW w:w="1265" w:type="dxa"/>
            <w:vAlign w:val="center"/>
          </w:tcPr>
          <w:p>
            <w:pPr>
              <w:widowControl w:val="0"/>
              <w:jc w:val="center"/>
            </w:pPr>
            <w:r>
              <w:t>140</w:t>
            </w:r>
          </w:p>
        </w:tc>
        <w:tc>
          <w:tcPr>
            <w:tcW w:w="1805" w:type="dxa"/>
            <w:vAlign w:val="center"/>
          </w:tcPr>
          <w:p>
            <w:pPr>
              <w:widowControl w:val="0"/>
              <w:jc w:val="center"/>
            </w:pPr>
            <w:r>
              <w:t>0,641</w:t>
            </w:r>
          </w:p>
        </w:tc>
        <w:tc>
          <w:tcPr>
            <w:tcW w:w="1765" w:type="dxa"/>
            <w:vAlign w:val="center"/>
          </w:tcPr>
          <w:p>
            <w:pPr>
              <w:widowControl w:val="0"/>
              <w:jc w:val="center"/>
            </w:pPr>
            <w:r>
              <w:t>0,493</w:t>
            </w:r>
          </w:p>
        </w:tc>
        <w:tc>
          <w:tcPr>
            <w:tcW w:w="2027" w:type="dxa"/>
            <w:vAlign w:val="center"/>
          </w:tcPr>
          <w:p>
            <w:pPr>
              <w:widowControl w:val="0"/>
              <w:jc w:val="center"/>
            </w:pPr>
            <w:r>
              <w:t>4,6</w:t>
            </w:r>
          </w:p>
        </w:tc>
      </w:tr>
      <w:tr>
        <w:trPr>
          <w:cantSplit/>
          <w:trHeight w:val="20"/>
        </w:trPr>
        <w:tc>
          <w:tcPr>
            <w:tcW w:w="1445" w:type="dxa"/>
            <w:vAlign w:val="center"/>
          </w:tcPr>
          <w:p>
            <w:pPr>
              <w:widowControl w:val="0"/>
              <w:jc w:val="center"/>
            </w:pPr>
            <w:r>
              <w:t>3</w:t>
              <w:sym w:font="Symbol" w:char="F0B4"/>
              <w:t>70+95</w:t>
            </w:r>
          </w:p>
        </w:tc>
        <w:tc>
          <w:tcPr>
            <w:tcW w:w="1265" w:type="dxa"/>
            <w:vAlign w:val="center"/>
          </w:tcPr>
          <w:p>
            <w:pPr>
              <w:widowControl w:val="0"/>
              <w:jc w:val="center"/>
            </w:pPr>
            <w:r>
              <w:t>180</w:t>
            </w:r>
          </w:p>
        </w:tc>
        <w:tc>
          <w:tcPr>
            <w:tcW w:w="1805" w:type="dxa"/>
            <w:vAlign w:val="center"/>
          </w:tcPr>
          <w:p>
            <w:pPr>
              <w:widowControl w:val="0"/>
              <w:jc w:val="center"/>
            </w:pPr>
            <w:r>
              <w:t>0,443</w:t>
            </w:r>
          </w:p>
        </w:tc>
        <w:tc>
          <w:tcPr>
            <w:tcW w:w="1765" w:type="dxa"/>
            <w:vAlign w:val="center"/>
          </w:tcPr>
          <w:p>
            <w:pPr>
              <w:widowControl w:val="0"/>
              <w:jc w:val="center"/>
            </w:pPr>
            <w:r>
              <w:t>0,363</w:t>
            </w:r>
          </w:p>
        </w:tc>
        <w:tc>
          <w:tcPr>
            <w:tcW w:w="2027" w:type="dxa"/>
            <w:vAlign w:val="center"/>
          </w:tcPr>
          <w:p>
            <w:pPr>
              <w:widowControl w:val="0"/>
              <w:jc w:val="center"/>
            </w:pPr>
            <w:r>
              <w:t>6,5</w:t>
            </w:r>
          </w:p>
        </w:tc>
      </w:tr>
      <w:tr>
        <w:trPr>
          <w:cantSplit/>
          <w:trHeight w:val="20"/>
        </w:trPr>
        <w:tc>
          <w:tcPr>
            <w:tcW w:w="1445" w:type="dxa"/>
            <w:vAlign w:val="center"/>
          </w:tcPr>
          <w:p>
            <w:pPr>
              <w:widowControl w:val="0"/>
              <w:jc w:val="center"/>
            </w:pPr>
            <w:r>
              <w:t>3</w:t>
              <w:sym w:font="Symbol" w:char="F0B4"/>
              <w:t>120+95</w:t>
            </w:r>
          </w:p>
        </w:tc>
        <w:tc>
          <w:tcPr>
            <w:tcW w:w="1265" w:type="dxa"/>
            <w:vAlign w:val="center"/>
          </w:tcPr>
          <w:p>
            <w:pPr>
              <w:widowControl w:val="0"/>
              <w:jc w:val="center"/>
            </w:pPr>
            <w:r>
              <w:t>250</w:t>
            </w:r>
          </w:p>
        </w:tc>
        <w:tc>
          <w:tcPr>
            <w:tcW w:w="1805" w:type="dxa"/>
            <w:vAlign w:val="center"/>
          </w:tcPr>
          <w:p>
            <w:pPr>
              <w:widowControl w:val="0"/>
              <w:jc w:val="center"/>
            </w:pPr>
            <w:r>
              <w:t>0,253</w:t>
            </w:r>
          </w:p>
        </w:tc>
        <w:tc>
          <w:tcPr>
            <w:tcW w:w="1765" w:type="dxa"/>
            <w:vAlign w:val="center"/>
          </w:tcPr>
          <w:p>
            <w:pPr>
              <w:widowControl w:val="0"/>
              <w:jc w:val="center"/>
            </w:pPr>
            <w:r>
              <w:t>0,363</w:t>
            </w:r>
          </w:p>
        </w:tc>
        <w:tc>
          <w:tcPr>
            <w:tcW w:w="2027" w:type="dxa"/>
            <w:vAlign w:val="center"/>
          </w:tcPr>
          <w:p>
            <w:pPr>
              <w:widowControl w:val="0"/>
              <w:jc w:val="center"/>
            </w:pPr>
            <w:r>
              <w:t>7,2</w:t>
            </w:r>
          </w:p>
        </w:tc>
      </w:tr>
      <w:tr>
        <w:trPr>
          <w:cantSplit/>
          <w:trHeight w:val="20"/>
        </w:trPr>
        <w:tc>
          <w:tcPr>
            <w:tcW w:w="1445" w:type="dxa"/>
            <w:vAlign w:val="center"/>
          </w:tcPr>
          <w:p>
            <w:pPr>
              <w:widowControl w:val="0"/>
              <w:jc w:val="center"/>
            </w:pPr>
            <w:r>
              <w:t>4</w:t>
              <w:sym w:font="Symbol" w:char="F0B4"/>
              <w:t>16+25</w:t>
            </w:r>
          </w:p>
        </w:tc>
        <w:tc>
          <w:tcPr>
            <w:tcW w:w="1265" w:type="dxa"/>
            <w:vAlign w:val="center"/>
          </w:tcPr>
          <w:p>
            <w:pPr>
              <w:widowControl w:val="0"/>
              <w:jc w:val="center"/>
            </w:pPr>
            <w:r>
              <w:t>70</w:t>
            </w:r>
          </w:p>
        </w:tc>
        <w:tc>
          <w:tcPr>
            <w:tcW w:w="1805" w:type="dxa"/>
            <w:vAlign w:val="center"/>
          </w:tcPr>
          <w:p>
            <w:pPr>
              <w:widowControl w:val="0"/>
              <w:jc w:val="center"/>
            </w:pPr>
            <w:r>
              <w:t>1,91</w:t>
            </w:r>
          </w:p>
        </w:tc>
        <w:tc>
          <w:tcPr>
            <w:tcW w:w="1765" w:type="dxa"/>
            <w:vAlign w:val="center"/>
          </w:tcPr>
          <w:p>
            <w:pPr>
              <w:widowControl w:val="0"/>
              <w:jc w:val="center"/>
            </w:pPr>
            <w:r>
              <w:t>1,38</w:t>
            </w:r>
          </w:p>
        </w:tc>
        <w:tc>
          <w:tcPr>
            <w:tcW w:w="2027" w:type="dxa"/>
            <w:vAlign w:val="center"/>
          </w:tcPr>
          <w:p>
            <w:pPr>
              <w:widowControl w:val="0"/>
              <w:jc w:val="center"/>
            </w:pPr>
            <w:r>
              <w:t>1,5</w:t>
            </w:r>
          </w:p>
        </w:tc>
      </w:tr>
      <w:tr>
        <w:trPr>
          <w:cantSplit/>
          <w:trHeight w:val="20"/>
        </w:trPr>
        <w:tc>
          <w:tcPr>
            <w:tcW w:w="1445" w:type="dxa"/>
            <w:vAlign w:val="center"/>
          </w:tcPr>
          <w:p>
            <w:pPr>
              <w:widowControl w:val="0"/>
              <w:jc w:val="center"/>
            </w:pPr>
            <w:r>
              <w:t>4</w:t>
              <w:sym w:font="Symbol" w:char="F0B4"/>
              <w:t>25+35</w:t>
            </w:r>
          </w:p>
        </w:tc>
        <w:tc>
          <w:tcPr>
            <w:tcW w:w="1265" w:type="dxa"/>
            <w:vAlign w:val="center"/>
          </w:tcPr>
          <w:p>
            <w:pPr>
              <w:widowControl w:val="0"/>
              <w:jc w:val="center"/>
            </w:pPr>
            <w:r>
              <w:t>95</w:t>
            </w:r>
          </w:p>
        </w:tc>
        <w:tc>
          <w:tcPr>
            <w:tcW w:w="1805" w:type="dxa"/>
            <w:vAlign w:val="center"/>
          </w:tcPr>
          <w:p>
            <w:pPr>
              <w:widowControl w:val="0"/>
              <w:jc w:val="center"/>
            </w:pPr>
            <w:r>
              <w:t>1,2</w:t>
            </w:r>
          </w:p>
        </w:tc>
        <w:tc>
          <w:tcPr>
            <w:tcW w:w="1765" w:type="dxa"/>
            <w:vAlign w:val="center"/>
          </w:tcPr>
          <w:p>
            <w:pPr>
              <w:widowControl w:val="0"/>
              <w:jc w:val="center"/>
            </w:pPr>
            <w:r>
              <w:t>0,986</w:t>
            </w:r>
          </w:p>
        </w:tc>
        <w:tc>
          <w:tcPr>
            <w:tcW w:w="2027" w:type="dxa"/>
            <w:vAlign w:val="center"/>
          </w:tcPr>
          <w:p>
            <w:pPr>
              <w:widowControl w:val="0"/>
              <w:jc w:val="center"/>
            </w:pPr>
            <w:r>
              <w:t>2,3</w:t>
            </w:r>
          </w:p>
        </w:tc>
      </w:tr>
    </w:tbl>
    <w:p>
      <w:pPr>
        <w:widowControl w:val="0"/>
        <w:ind w:firstLine="567"/>
        <w:jc w:val="both"/>
      </w:pPr>
    </w:p>
    <w:p>
      <w:pPr>
        <w:widowControl w:val="0"/>
        <w:tabs>
          <w:tab w:val="left" w:pos="567"/>
        </w:tabs>
        <w:ind w:firstLine="567"/>
        <w:jc w:val="both"/>
      </w:pPr>
      <w:r>
        <w:t>PASTABA. Duomenys pagal Lietuvos standartų LST 1790:2002 „Vardinės Uo/U(Um): 0,6/1 (1,2) kV įtampos oriniai skirstomieji kabeliai“ reikalavimus.</w:t>
      </w:r>
    </w:p>
    <w:p>
      <w:pPr>
        <w:widowControl w:val="0"/>
        <w:ind w:firstLine="567"/>
        <w:jc w:val="both"/>
      </w:pPr>
    </w:p>
    <w:p>
      <w:pPr>
        <w:widowControl w:val="0"/>
        <w:ind w:firstLine="567"/>
        <w:jc w:val="both"/>
        <w:rPr>
          <w:b/>
          <w:bCs/>
        </w:rPr>
      </w:pPr>
      <w:r>
        <w:rPr>
          <w:b/>
          <w:bCs/>
        </w:rPr>
        <w:t>28 lentelė. 0,6/1,0 kV įtampos oro kabelių juodojo polietileno (XLPE, TIX-4) izoliacija leistinoji ilgalaikė srovė ir elektriniai parametrai</w:t>
      </w:r>
    </w:p>
    <w:p>
      <w:pPr>
        <w:widowControl w:val="0"/>
        <w:ind w:firstLine="567"/>
        <w:jc w:val="both"/>
      </w:pPr>
    </w:p>
    <w:p>
      <w:pPr>
        <w:widowControl w:val="0"/>
        <w:ind w:firstLine="567"/>
        <w:jc w:val="both"/>
      </w:pPr>
      <w:r>
        <w:t xml:space="preserve">Temperatūra: kabelių +70 </w:t>
      </w:r>
      <w:r>
        <w:rPr>
          <w:vertAlign w:val="superscript"/>
        </w:rPr>
        <w:t>o</w:t>
      </w:r>
      <w:r>
        <w:t xml:space="preserve">C, oro +25 </w:t>
      </w:r>
      <w:r>
        <w:rPr>
          <w:vertAlign w:val="superscript"/>
        </w:rPr>
        <w:t>o</w:t>
      </w:r>
      <w:r>
        <w:t xml:space="preserve">C; kabelių tekant 5 sek. trukmės trumpojo jungimo srovei +250 </w:t>
      </w:r>
      <w:r>
        <w:rPr>
          <w:vertAlign w:val="superscript"/>
        </w:rPr>
        <w:t>o</w:t>
      </w:r>
      <w:r>
        <w:t>C.</w:t>
      </w:r>
    </w:p>
    <w:p>
      <w:pPr>
        <w:widowControl w:val="0"/>
        <w:ind w:firstLine="634"/>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77"/>
        <w:gridCol w:w="1381"/>
        <w:gridCol w:w="1971"/>
        <w:gridCol w:w="1775"/>
        <w:gridCol w:w="2366"/>
      </w:tblGrid>
      <w:tr>
        <w:trPr>
          <w:cantSplit/>
          <w:trHeight w:val="20"/>
        </w:trPr>
        <w:tc>
          <w:tcPr>
            <w:tcW w:w="1134" w:type="dxa"/>
            <w:vAlign w:val="center"/>
          </w:tcPr>
          <w:p>
            <w:pPr>
              <w:widowControl w:val="0"/>
              <w:jc w:val="center"/>
            </w:pPr>
            <w:r>
              <w:t>Kabelių skerspjūviai,</w:t>
            </w:r>
          </w:p>
          <w:p>
            <w:pPr>
              <w:widowControl w:val="0"/>
              <w:jc w:val="center"/>
            </w:pPr>
            <w:r>
              <w:t>mm</w:t>
            </w:r>
            <w:r>
              <w:rPr>
                <w:vertAlign w:val="superscript"/>
              </w:rPr>
              <w:t>2</w:t>
            </w:r>
          </w:p>
        </w:tc>
        <w:tc>
          <w:tcPr>
            <w:tcW w:w="993" w:type="dxa"/>
            <w:vAlign w:val="center"/>
          </w:tcPr>
          <w:p>
            <w:pPr>
              <w:widowControl w:val="0"/>
              <w:jc w:val="center"/>
            </w:pPr>
            <w:r>
              <w:t>Leistinoji ilgalaikė srovė, A</w:t>
            </w:r>
          </w:p>
        </w:tc>
        <w:tc>
          <w:tcPr>
            <w:tcW w:w="1417" w:type="dxa"/>
            <w:vAlign w:val="center"/>
          </w:tcPr>
          <w:p>
            <w:pPr>
              <w:widowControl w:val="0"/>
              <w:jc w:val="center"/>
              <w:rPr>
                <w:highlight w:val="yellow"/>
              </w:rPr>
            </w:pPr>
            <w:r>
              <w:t xml:space="preserve">Fazinių laidininkų aktyvioji varža, </w:t>
            </w:r>
            <w:r>
              <w:rPr>
                <w:vanish/>
              </w:rPr>
              <w:t xml:space="preserve">  </w:t>
            </w:r>
            <w:r>
              <w:rPr>
                <w:position w:val="-4"/>
              </w:rPr>
              <w:object w:dxaOrig="255" w:dyaOrig="255">
                <v:shape id="_x0000_i1094" type="#_x0000_t75" style="width:12.8pt;height:12.8pt" o:ole="">
                  <v:imagedata r:id="rId159" o:title=""/>
                </v:shape>
                <o:OLEObject Type="Embed" ProgID="Equation.3" ShapeID="_x0000_i1094" DrawAspect="Content" ObjectID="_0000000001" r:id="rId160"/>
              </w:object>
            </w:r>
            <w:r>
              <w:t xml:space="preserve"> /km, (20 oc)</w:t>
            </w:r>
          </w:p>
        </w:tc>
        <w:tc>
          <w:tcPr>
            <w:tcW w:w="1276" w:type="dxa"/>
            <w:vAlign w:val="center"/>
          </w:tcPr>
          <w:p>
            <w:pPr>
              <w:widowControl w:val="0"/>
              <w:jc w:val="center"/>
              <w:rPr>
                <w:highlight w:val="yellow"/>
              </w:rPr>
            </w:pPr>
            <w:r>
              <w:t xml:space="preserve">PEN laidininkų aktyvioji varža, </w:t>
            </w:r>
            <w:r>
              <w:rPr>
                <w:vanish/>
              </w:rPr>
              <w:t xml:space="preserve">  </w:t>
            </w:r>
            <w:r>
              <w:rPr>
                <w:position w:val="-4"/>
              </w:rPr>
              <w:object w:dxaOrig="255" w:dyaOrig="255">
                <v:shape id="_x0000_i1095" type="#_x0000_t75" style="width:12.8pt;height:12.8pt" o:ole="">
                  <v:imagedata r:id="rId161" o:title=""/>
                </v:shape>
                <o:OLEObject Type="Embed" ProgID="Equation.3" ShapeID="_x0000_i1095" DrawAspect="Content" ObjectID="_0000000001" r:id="rId162"/>
              </w:object>
            </w:r>
            <w:r>
              <w:t xml:space="preserve"> /km, (20 oc)</w:t>
            </w:r>
          </w:p>
        </w:tc>
        <w:tc>
          <w:tcPr>
            <w:tcW w:w="1701" w:type="dxa"/>
            <w:vAlign w:val="center"/>
          </w:tcPr>
          <w:p>
            <w:pPr>
              <w:widowControl w:val="0"/>
              <w:jc w:val="center"/>
            </w:pPr>
            <w:r>
              <w:t>Leistinoji ilgalaikė 1 sek. trukmės trumpojo jungimo srovė, kA</w:t>
            </w:r>
          </w:p>
        </w:tc>
      </w:tr>
      <w:tr>
        <w:trPr>
          <w:cantSplit/>
          <w:trHeight w:val="20"/>
        </w:trPr>
        <w:tc>
          <w:tcPr>
            <w:tcW w:w="1134" w:type="dxa"/>
            <w:vAlign w:val="center"/>
          </w:tcPr>
          <w:p>
            <w:pPr>
              <w:widowControl w:val="0"/>
              <w:jc w:val="center"/>
            </w:pPr>
            <w:r>
              <w:t>1</w:t>
              <w:sym w:font="Symbol" w:char="F0B4"/>
              <w:t>16+25</w:t>
            </w:r>
          </w:p>
        </w:tc>
        <w:tc>
          <w:tcPr>
            <w:tcW w:w="993" w:type="dxa"/>
            <w:vAlign w:val="center"/>
          </w:tcPr>
          <w:p>
            <w:pPr>
              <w:widowControl w:val="0"/>
              <w:jc w:val="center"/>
            </w:pPr>
            <w:r>
              <w:t>105</w:t>
            </w:r>
          </w:p>
        </w:tc>
        <w:tc>
          <w:tcPr>
            <w:tcW w:w="1417" w:type="dxa"/>
            <w:vAlign w:val="center"/>
          </w:tcPr>
          <w:p>
            <w:pPr>
              <w:widowControl w:val="0"/>
              <w:jc w:val="center"/>
            </w:pPr>
            <w:r>
              <w:t>1,91</w:t>
            </w:r>
          </w:p>
        </w:tc>
        <w:tc>
          <w:tcPr>
            <w:tcW w:w="1276" w:type="dxa"/>
            <w:vAlign w:val="center"/>
          </w:tcPr>
          <w:p>
            <w:pPr>
              <w:widowControl w:val="0"/>
              <w:jc w:val="center"/>
            </w:pPr>
            <w:r>
              <w:t>1,38</w:t>
            </w:r>
          </w:p>
        </w:tc>
        <w:tc>
          <w:tcPr>
            <w:tcW w:w="1701" w:type="dxa"/>
            <w:vAlign w:val="center"/>
          </w:tcPr>
          <w:p>
            <w:pPr>
              <w:widowControl w:val="0"/>
              <w:jc w:val="center"/>
            </w:pPr>
            <w:r>
              <w:t>1,5</w:t>
            </w:r>
          </w:p>
        </w:tc>
      </w:tr>
      <w:tr>
        <w:trPr>
          <w:cantSplit/>
          <w:trHeight w:val="20"/>
        </w:trPr>
        <w:tc>
          <w:tcPr>
            <w:tcW w:w="1134" w:type="dxa"/>
            <w:vAlign w:val="center"/>
          </w:tcPr>
          <w:p>
            <w:pPr>
              <w:widowControl w:val="0"/>
              <w:jc w:val="center"/>
            </w:pPr>
            <w:r>
              <w:t>3</w:t>
              <w:sym w:font="Symbol" w:char="F0B4"/>
              <w:t>16+25</w:t>
            </w:r>
          </w:p>
        </w:tc>
        <w:tc>
          <w:tcPr>
            <w:tcW w:w="993" w:type="dxa"/>
            <w:vAlign w:val="center"/>
          </w:tcPr>
          <w:p>
            <w:pPr>
              <w:widowControl w:val="0"/>
              <w:jc w:val="center"/>
            </w:pPr>
            <w:r>
              <w:t>100</w:t>
            </w:r>
          </w:p>
        </w:tc>
        <w:tc>
          <w:tcPr>
            <w:tcW w:w="1417" w:type="dxa"/>
            <w:vAlign w:val="center"/>
          </w:tcPr>
          <w:p>
            <w:pPr>
              <w:widowControl w:val="0"/>
              <w:jc w:val="center"/>
            </w:pPr>
            <w:r>
              <w:t>1,91</w:t>
            </w:r>
          </w:p>
        </w:tc>
        <w:tc>
          <w:tcPr>
            <w:tcW w:w="1276" w:type="dxa"/>
            <w:vAlign w:val="center"/>
          </w:tcPr>
          <w:p>
            <w:pPr>
              <w:widowControl w:val="0"/>
              <w:jc w:val="center"/>
            </w:pPr>
            <w:r>
              <w:t>1,38</w:t>
            </w:r>
          </w:p>
        </w:tc>
        <w:tc>
          <w:tcPr>
            <w:tcW w:w="1701" w:type="dxa"/>
            <w:vAlign w:val="center"/>
          </w:tcPr>
          <w:p>
            <w:pPr>
              <w:widowControl w:val="0"/>
              <w:jc w:val="center"/>
            </w:pPr>
            <w:r>
              <w:t>1,5</w:t>
            </w:r>
          </w:p>
        </w:tc>
      </w:tr>
      <w:tr>
        <w:trPr>
          <w:cantSplit/>
          <w:trHeight w:val="20"/>
        </w:trPr>
        <w:tc>
          <w:tcPr>
            <w:tcW w:w="1134" w:type="dxa"/>
            <w:vAlign w:val="center"/>
          </w:tcPr>
          <w:p>
            <w:pPr>
              <w:widowControl w:val="0"/>
              <w:jc w:val="center"/>
            </w:pPr>
            <w:r>
              <w:t>3</w:t>
              <w:sym w:font="Symbol" w:char="F0B4"/>
              <w:t>25+35</w:t>
            </w:r>
          </w:p>
        </w:tc>
        <w:tc>
          <w:tcPr>
            <w:tcW w:w="993" w:type="dxa"/>
            <w:vAlign w:val="center"/>
          </w:tcPr>
          <w:p>
            <w:pPr>
              <w:widowControl w:val="0"/>
              <w:jc w:val="center"/>
            </w:pPr>
            <w:r>
              <w:t>130</w:t>
            </w:r>
          </w:p>
        </w:tc>
        <w:tc>
          <w:tcPr>
            <w:tcW w:w="1417" w:type="dxa"/>
            <w:vAlign w:val="center"/>
          </w:tcPr>
          <w:p>
            <w:pPr>
              <w:widowControl w:val="0"/>
              <w:jc w:val="center"/>
            </w:pPr>
            <w:r>
              <w:t>1,2</w:t>
            </w:r>
          </w:p>
        </w:tc>
        <w:tc>
          <w:tcPr>
            <w:tcW w:w="1276" w:type="dxa"/>
            <w:vAlign w:val="center"/>
          </w:tcPr>
          <w:p>
            <w:pPr>
              <w:widowControl w:val="0"/>
              <w:jc w:val="center"/>
            </w:pPr>
            <w:r>
              <w:t>0,986</w:t>
            </w:r>
          </w:p>
        </w:tc>
        <w:tc>
          <w:tcPr>
            <w:tcW w:w="1701" w:type="dxa"/>
            <w:vAlign w:val="center"/>
          </w:tcPr>
          <w:p>
            <w:pPr>
              <w:widowControl w:val="0"/>
              <w:jc w:val="center"/>
            </w:pPr>
            <w:r>
              <w:t>2,3</w:t>
            </w:r>
          </w:p>
        </w:tc>
      </w:tr>
      <w:tr>
        <w:trPr>
          <w:cantSplit/>
          <w:trHeight w:val="20"/>
        </w:trPr>
        <w:tc>
          <w:tcPr>
            <w:tcW w:w="1134" w:type="dxa"/>
            <w:vAlign w:val="center"/>
          </w:tcPr>
          <w:p>
            <w:pPr>
              <w:widowControl w:val="0"/>
              <w:jc w:val="center"/>
            </w:pPr>
            <w:r>
              <w:t>3</w:t>
              <w:sym w:font="Symbol" w:char="F0B4"/>
              <w:t>35+50</w:t>
            </w:r>
          </w:p>
        </w:tc>
        <w:tc>
          <w:tcPr>
            <w:tcW w:w="993" w:type="dxa"/>
            <w:vAlign w:val="center"/>
          </w:tcPr>
          <w:p>
            <w:pPr>
              <w:widowControl w:val="0"/>
              <w:jc w:val="center"/>
            </w:pPr>
            <w:r>
              <w:t>160</w:t>
            </w:r>
          </w:p>
        </w:tc>
        <w:tc>
          <w:tcPr>
            <w:tcW w:w="1417" w:type="dxa"/>
            <w:vAlign w:val="center"/>
          </w:tcPr>
          <w:p>
            <w:pPr>
              <w:widowControl w:val="0"/>
              <w:jc w:val="center"/>
            </w:pPr>
            <w:r>
              <w:t>0,868</w:t>
            </w:r>
          </w:p>
        </w:tc>
        <w:tc>
          <w:tcPr>
            <w:tcW w:w="1276" w:type="dxa"/>
            <w:vAlign w:val="center"/>
          </w:tcPr>
          <w:p>
            <w:pPr>
              <w:widowControl w:val="0"/>
              <w:jc w:val="center"/>
            </w:pPr>
            <w:r>
              <w:t>0,72</w:t>
            </w:r>
          </w:p>
        </w:tc>
        <w:tc>
          <w:tcPr>
            <w:tcW w:w="1701" w:type="dxa"/>
            <w:vAlign w:val="center"/>
          </w:tcPr>
          <w:p>
            <w:pPr>
              <w:widowControl w:val="0"/>
              <w:jc w:val="center"/>
            </w:pPr>
            <w:r>
              <w:t>3,2</w:t>
            </w:r>
          </w:p>
        </w:tc>
      </w:tr>
      <w:tr>
        <w:trPr>
          <w:cantSplit/>
          <w:trHeight w:val="20"/>
        </w:trPr>
        <w:tc>
          <w:tcPr>
            <w:tcW w:w="1134" w:type="dxa"/>
            <w:vAlign w:val="center"/>
          </w:tcPr>
          <w:p>
            <w:pPr>
              <w:widowControl w:val="0"/>
              <w:jc w:val="center"/>
            </w:pPr>
            <w:r>
              <w:t>3</w:t>
              <w:sym w:font="Symbol" w:char="F0B4"/>
              <w:t>50+70</w:t>
            </w:r>
          </w:p>
        </w:tc>
        <w:tc>
          <w:tcPr>
            <w:tcW w:w="993" w:type="dxa"/>
            <w:vAlign w:val="center"/>
          </w:tcPr>
          <w:p>
            <w:pPr>
              <w:widowControl w:val="0"/>
              <w:jc w:val="center"/>
            </w:pPr>
            <w:r>
              <w:t>195</w:t>
            </w:r>
          </w:p>
        </w:tc>
        <w:tc>
          <w:tcPr>
            <w:tcW w:w="1417" w:type="dxa"/>
            <w:vAlign w:val="center"/>
          </w:tcPr>
          <w:p>
            <w:pPr>
              <w:widowControl w:val="0"/>
              <w:jc w:val="center"/>
            </w:pPr>
            <w:r>
              <w:t>0,641</w:t>
            </w:r>
          </w:p>
        </w:tc>
        <w:tc>
          <w:tcPr>
            <w:tcW w:w="1276" w:type="dxa"/>
            <w:vAlign w:val="center"/>
          </w:tcPr>
          <w:p>
            <w:pPr>
              <w:widowControl w:val="0"/>
              <w:jc w:val="center"/>
            </w:pPr>
            <w:r>
              <w:t>0,493</w:t>
            </w:r>
          </w:p>
        </w:tc>
        <w:tc>
          <w:tcPr>
            <w:tcW w:w="1701" w:type="dxa"/>
            <w:vAlign w:val="center"/>
          </w:tcPr>
          <w:p>
            <w:pPr>
              <w:widowControl w:val="0"/>
              <w:jc w:val="center"/>
            </w:pPr>
            <w:r>
              <w:t>4,6</w:t>
            </w:r>
          </w:p>
        </w:tc>
      </w:tr>
      <w:tr>
        <w:trPr>
          <w:cantSplit/>
          <w:trHeight w:val="20"/>
        </w:trPr>
        <w:tc>
          <w:tcPr>
            <w:tcW w:w="1134" w:type="dxa"/>
            <w:vAlign w:val="center"/>
          </w:tcPr>
          <w:p>
            <w:pPr>
              <w:widowControl w:val="0"/>
              <w:jc w:val="center"/>
            </w:pPr>
            <w:r>
              <w:t>3</w:t>
              <w:sym w:font="Symbol" w:char="F0B4"/>
              <w:t>70+95</w:t>
            </w:r>
          </w:p>
        </w:tc>
        <w:tc>
          <w:tcPr>
            <w:tcW w:w="993" w:type="dxa"/>
            <w:vAlign w:val="center"/>
          </w:tcPr>
          <w:p>
            <w:pPr>
              <w:widowControl w:val="0"/>
              <w:jc w:val="center"/>
            </w:pPr>
            <w:r>
              <w:t>240</w:t>
            </w:r>
          </w:p>
        </w:tc>
        <w:tc>
          <w:tcPr>
            <w:tcW w:w="1417" w:type="dxa"/>
            <w:vAlign w:val="center"/>
          </w:tcPr>
          <w:p>
            <w:pPr>
              <w:widowControl w:val="0"/>
              <w:jc w:val="center"/>
            </w:pPr>
            <w:r>
              <w:t>0,443</w:t>
            </w:r>
          </w:p>
        </w:tc>
        <w:tc>
          <w:tcPr>
            <w:tcW w:w="1276" w:type="dxa"/>
            <w:vAlign w:val="center"/>
          </w:tcPr>
          <w:p>
            <w:pPr>
              <w:widowControl w:val="0"/>
              <w:jc w:val="center"/>
            </w:pPr>
            <w:r>
              <w:t>0,363</w:t>
            </w:r>
          </w:p>
        </w:tc>
        <w:tc>
          <w:tcPr>
            <w:tcW w:w="1701" w:type="dxa"/>
            <w:vAlign w:val="center"/>
          </w:tcPr>
          <w:p>
            <w:pPr>
              <w:widowControl w:val="0"/>
              <w:jc w:val="center"/>
            </w:pPr>
            <w:r>
              <w:t>6,5</w:t>
            </w:r>
          </w:p>
        </w:tc>
      </w:tr>
      <w:tr>
        <w:trPr>
          <w:cantSplit/>
          <w:trHeight w:val="20"/>
        </w:trPr>
        <w:tc>
          <w:tcPr>
            <w:tcW w:w="1134" w:type="dxa"/>
            <w:vAlign w:val="center"/>
          </w:tcPr>
          <w:p>
            <w:pPr>
              <w:widowControl w:val="0"/>
              <w:jc w:val="center"/>
            </w:pPr>
            <w:r>
              <w:t>3</w:t>
              <w:sym w:font="Symbol" w:char="F0B4"/>
              <w:t>120+95</w:t>
            </w:r>
          </w:p>
        </w:tc>
        <w:tc>
          <w:tcPr>
            <w:tcW w:w="993" w:type="dxa"/>
            <w:vAlign w:val="center"/>
          </w:tcPr>
          <w:p>
            <w:pPr>
              <w:widowControl w:val="0"/>
              <w:jc w:val="center"/>
            </w:pPr>
            <w:r>
              <w:t>340</w:t>
            </w:r>
          </w:p>
        </w:tc>
        <w:tc>
          <w:tcPr>
            <w:tcW w:w="1417" w:type="dxa"/>
            <w:vAlign w:val="center"/>
          </w:tcPr>
          <w:p>
            <w:pPr>
              <w:widowControl w:val="0"/>
              <w:jc w:val="center"/>
            </w:pPr>
            <w:r>
              <w:t>0,253</w:t>
            </w:r>
          </w:p>
        </w:tc>
        <w:tc>
          <w:tcPr>
            <w:tcW w:w="1276" w:type="dxa"/>
            <w:vAlign w:val="center"/>
          </w:tcPr>
          <w:p>
            <w:pPr>
              <w:widowControl w:val="0"/>
              <w:jc w:val="center"/>
            </w:pPr>
            <w:r>
              <w:t>0,363</w:t>
            </w:r>
          </w:p>
        </w:tc>
        <w:tc>
          <w:tcPr>
            <w:tcW w:w="1701" w:type="dxa"/>
            <w:vAlign w:val="center"/>
          </w:tcPr>
          <w:p>
            <w:pPr>
              <w:widowControl w:val="0"/>
              <w:jc w:val="center"/>
            </w:pPr>
            <w:r>
              <w:t>7,2</w:t>
            </w:r>
          </w:p>
        </w:tc>
      </w:tr>
      <w:tr>
        <w:trPr>
          <w:cantSplit/>
          <w:trHeight w:val="20"/>
        </w:trPr>
        <w:tc>
          <w:tcPr>
            <w:tcW w:w="1134" w:type="dxa"/>
            <w:vAlign w:val="center"/>
          </w:tcPr>
          <w:p>
            <w:pPr>
              <w:widowControl w:val="0"/>
              <w:jc w:val="center"/>
            </w:pPr>
            <w:r>
              <w:t>4</w:t>
              <w:sym w:font="Symbol" w:char="F0B4"/>
              <w:t>16+25</w:t>
            </w:r>
          </w:p>
        </w:tc>
        <w:tc>
          <w:tcPr>
            <w:tcW w:w="993" w:type="dxa"/>
            <w:vAlign w:val="center"/>
          </w:tcPr>
          <w:p>
            <w:pPr>
              <w:widowControl w:val="0"/>
              <w:jc w:val="center"/>
            </w:pPr>
            <w:r>
              <w:t>100</w:t>
            </w:r>
          </w:p>
        </w:tc>
        <w:tc>
          <w:tcPr>
            <w:tcW w:w="1417" w:type="dxa"/>
            <w:vAlign w:val="center"/>
          </w:tcPr>
          <w:p>
            <w:pPr>
              <w:widowControl w:val="0"/>
              <w:jc w:val="center"/>
            </w:pPr>
            <w:r>
              <w:t>1,91</w:t>
            </w:r>
          </w:p>
        </w:tc>
        <w:tc>
          <w:tcPr>
            <w:tcW w:w="1276" w:type="dxa"/>
            <w:vAlign w:val="center"/>
          </w:tcPr>
          <w:p>
            <w:pPr>
              <w:widowControl w:val="0"/>
              <w:jc w:val="center"/>
            </w:pPr>
            <w:r>
              <w:t>1,38</w:t>
            </w:r>
          </w:p>
        </w:tc>
        <w:tc>
          <w:tcPr>
            <w:tcW w:w="1701" w:type="dxa"/>
            <w:vAlign w:val="center"/>
          </w:tcPr>
          <w:p>
            <w:pPr>
              <w:widowControl w:val="0"/>
              <w:jc w:val="center"/>
            </w:pPr>
            <w:r>
              <w:t>1,5</w:t>
            </w:r>
          </w:p>
        </w:tc>
      </w:tr>
      <w:tr>
        <w:trPr>
          <w:cantSplit/>
          <w:trHeight w:val="20"/>
        </w:trPr>
        <w:tc>
          <w:tcPr>
            <w:tcW w:w="1134" w:type="dxa"/>
            <w:vAlign w:val="center"/>
          </w:tcPr>
          <w:p>
            <w:pPr>
              <w:widowControl w:val="0"/>
              <w:jc w:val="center"/>
            </w:pPr>
            <w:r>
              <w:t>4</w:t>
              <w:sym w:font="Symbol" w:char="F0B4"/>
              <w:t>25+35</w:t>
            </w:r>
          </w:p>
        </w:tc>
        <w:tc>
          <w:tcPr>
            <w:tcW w:w="993" w:type="dxa"/>
            <w:vAlign w:val="center"/>
          </w:tcPr>
          <w:p>
            <w:pPr>
              <w:widowControl w:val="0"/>
              <w:jc w:val="center"/>
            </w:pPr>
            <w:r>
              <w:t>150</w:t>
            </w:r>
          </w:p>
        </w:tc>
        <w:tc>
          <w:tcPr>
            <w:tcW w:w="1417" w:type="dxa"/>
            <w:vAlign w:val="center"/>
          </w:tcPr>
          <w:p>
            <w:pPr>
              <w:widowControl w:val="0"/>
              <w:jc w:val="center"/>
            </w:pPr>
            <w:r>
              <w:t>1,2</w:t>
            </w:r>
          </w:p>
        </w:tc>
        <w:tc>
          <w:tcPr>
            <w:tcW w:w="1276" w:type="dxa"/>
            <w:vAlign w:val="center"/>
          </w:tcPr>
          <w:p>
            <w:pPr>
              <w:widowControl w:val="0"/>
              <w:jc w:val="center"/>
            </w:pPr>
            <w:r>
              <w:t>0,986</w:t>
            </w:r>
          </w:p>
        </w:tc>
        <w:tc>
          <w:tcPr>
            <w:tcW w:w="1701" w:type="dxa"/>
            <w:vAlign w:val="center"/>
          </w:tcPr>
          <w:p>
            <w:pPr>
              <w:widowControl w:val="0"/>
              <w:jc w:val="center"/>
            </w:pPr>
            <w:r>
              <w:t>2,3</w:t>
            </w:r>
          </w:p>
        </w:tc>
      </w:tr>
    </w:tbl>
    <w:p>
      <w:pPr>
        <w:widowControl w:val="0"/>
        <w:ind w:firstLine="567"/>
        <w:jc w:val="both"/>
      </w:pPr>
    </w:p>
    <w:p>
      <w:pPr>
        <w:widowControl w:val="0"/>
        <w:tabs>
          <w:tab w:val="left" w:pos="567"/>
        </w:tabs>
        <w:ind w:firstLine="567"/>
        <w:jc w:val="both"/>
      </w:pPr>
      <w:r>
        <w:t>PASTABA. Duomenys pagal Lietuvos standartų LST 1790:2002 „Vardinės Uo/U(Um): 0,6/1 (1,2) kV įtampos oriniai skirstomieji kabeliai“ reikalavimus.</w:t>
      </w:r>
    </w:p>
    <w:p>
      <w:pPr>
        <w:widowControl w:val="0"/>
        <w:tabs>
          <w:tab w:val="left" w:pos="567"/>
        </w:tabs>
        <w:ind w:firstLine="567"/>
        <w:jc w:val="both"/>
      </w:pPr>
    </w:p>
    <w:p>
      <w:pPr>
        <w:widowControl w:val="0"/>
        <w:ind w:firstLine="567"/>
        <w:jc w:val="both"/>
        <w:rPr>
          <w:b/>
          <w:bCs/>
        </w:rPr>
      </w:pPr>
      <w:r>
        <w:rPr>
          <w:b/>
          <w:bCs/>
        </w:rPr>
        <w:t>29 lentelė. 12, 24, 36 kV įtampos SAXKA oro kabelių leistinoji ilgalaikė srovė ir elektriniai parametrai</w:t>
      </w:r>
    </w:p>
    <w:p>
      <w:pPr>
        <w:widowControl w:val="0"/>
        <w:ind w:firstLine="567"/>
        <w:jc w:val="both"/>
      </w:pPr>
    </w:p>
    <w:p>
      <w:pPr>
        <w:widowControl w:val="0"/>
        <w:ind w:firstLine="567"/>
        <w:jc w:val="both"/>
      </w:pPr>
      <w:r>
        <w:t xml:space="preserve">Temperatūra: kabelių +90 </w:t>
      </w:r>
      <w:r>
        <w:rPr>
          <w:vertAlign w:val="superscript"/>
        </w:rPr>
        <w:t>o</w:t>
      </w:r>
      <w:r>
        <w:t xml:space="preserve">C, oro +25 </w:t>
      </w:r>
      <w:r>
        <w:rPr>
          <w:vertAlign w:val="superscript"/>
        </w:rPr>
        <w:t>o</w:t>
      </w:r>
      <w:r>
        <w:t>C.</w:t>
      </w:r>
    </w:p>
    <w:p>
      <w:pPr>
        <w:widowControl w:val="0"/>
        <w:ind w:firstLine="567"/>
        <w:jc w:val="both"/>
      </w:pPr>
    </w:p>
    <w:tbl>
      <w:tblPr>
        <w:tblW w:w="9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93"/>
        <w:gridCol w:w="236"/>
        <w:gridCol w:w="1459"/>
        <w:gridCol w:w="1794"/>
        <w:gridCol w:w="1317"/>
        <w:gridCol w:w="278"/>
        <w:gridCol w:w="2293"/>
      </w:tblGrid>
      <w:tr>
        <w:trPr>
          <w:cantSplit/>
          <w:trHeight w:val="20"/>
          <w:jc w:val="center"/>
        </w:trPr>
        <w:tc>
          <w:tcPr>
            <w:tcW w:w="1693" w:type="dxa"/>
            <w:tcBorders>
              <w:bottom w:val="single" w:sz="2" w:space="0" w:color="auto"/>
            </w:tcBorders>
            <w:vAlign w:val="center"/>
          </w:tcPr>
          <w:p>
            <w:pPr>
              <w:widowControl w:val="0"/>
              <w:jc w:val="center"/>
            </w:pPr>
            <w:r>
              <w:t>Kabelių skerspjūviai,</w:t>
            </w:r>
          </w:p>
          <w:p>
            <w:pPr>
              <w:widowControl w:val="0"/>
              <w:jc w:val="center"/>
            </w:pPr>
            <w:r>
              <w:t>mm</w:t>
            </w:r>
            <w:r>
              <w:rPr>
                <w:vertAlign w:val="superscript"/>
              </w:rPr>
              <w:t>2</w:t>
            </w:r>
          </w:p>
        </w:tc>
        <w:tc>
          <w:tcPr>
            <w:tcW w:w="1695" w:type="dxa"/>
            <w:gridSpan w:val="2"/>
            <w:tcBorders>
              <w:bottom w:val="single" w:sz="2" w:space="0" w:color="auto"/>
            </w:tcBorders>
            <w:vAlign w:val="center"/>
          </w:tcPr>
          <w:p>
            <w:pPr>
              <w:widowControl w:val="0"/>
              <w:jc w:val="center"/>
            </w:pPr>
            <w:r>
              <w:t>Leistinoji ilgalaikė srovė, A</w:t>
            </w:r>
          </w:p>
        </w:tc>
        <w:tc>
          <w:tcPr>
            <w:tcW w:w="1794" w:type="dxa"/>
            <w:tcBorders>
              <w:bottom w:val="single" w:sz="2" w:space="0" w:color="auto"/>
            </w:tcBorders>
            <w:vAlign w:val="center"/>
          </w:tcPr>
          <w:p>
            <w:pPr>
              <w:widowControl w:val="0"/>
              <w:jc w:val="center"/>
              <w:rPr>
                <w:highlight w:val="yellow"/>
              </w:rPr>
            </w:pPr>
            <w:r>
              <w:t xml:space="preserve">Aktyvioji varža, </w:t>
            </w:r>
            <w:r>
              <w:rPr>
                <w:vanish/>
              </w:rPr>
              <w:t xml:space="preserve">  </w:t>
            </w:r>
            <w:r>
              <w:rPr>
                <w:position w:val="-4"/>
              </w:rPr>
              <w:object w:dxaOrig="255" w:dyaOrig="255">
                <v:shape id="_x0000_i1096" type="#_x0000_t75" style="width:12.8pt;height:12.8pt" o:ole="">
                  <v:imagedata r:id="rId163" o:title=""/>
                </v:shape>
                <o:OLEObject Type="Embed" ProgID="Equation.3" ShapeID="_x0000_i1096" DrawAspect="Content" ObjectID="_0000000001" r:id="rId164"/>
              </w:object>
            </w:r>
            <w:r>
              <w:t xml:space="preserve"> /km, (20 </w:t>
            </w:r>
            <w:r>
              <w:rPr>
                <w:vertAlign w:val="superscript"/>
              </w:rPr>
              <w:t>o</w:t>
            </w:r>
            <w:r>
              <w:t>C)</w:t>
            </w:r>
          </w:p>
        </w:tc>
        <w:tc>
          <w:tcPr>
            <w:tcW w:w="1595" w:type="dxa"/>
            <w:gridSpan w:val="2"/>
            <w:tcBorders>
              <w:bottom w:val="single" w:sz="2" w:space="0" w:color="auto"/>
            </w:tcBorders>
            <w:vAlign w:val="center"/>
          </w:tcPr>
          <w:p>
            <w:pPr>
              <w:widowControl w:val="0"/>
              <w:jc w:val="center"/>
            </w:pPr>
            <w:r>
              <w:t>Induktyvioji varža,</w:t>
            </w:r>
          </w:p>
          <w:p>
            <w:pPr>
              <w:widowControl w:val="0"/>
              <w:jc w:val="center"/>
            </w:pPr>
            <w:r>
              <w:rPr>
                <w:vanish/>
              </w:rPr>
              <w:t xml:space="preserve">  </w:t>
            </w:r>
            <w:r>
              <w:rPr>
                <w:position w:val="-4"/>
              </w:rPr>
              <w:object w:dxaOrig="255" w:dyaOrig="255">
                <v:shape id="_x0000_i1097" type="#_x0000_t75" style="width:12.8pt;height:12.8pt" o:ole="">
                  <v:imagedata r:id="rId165" o:title=""/>
                </v:shape>
                <o:OLEObject Type="Embed" ProgID="Equation.3" ShapeID="_x0000_i1097" DrawAspect="Content" ObjectID="_0000000001" r:id="rId166"/>
              </w:object>
            </w:r>
            <w:r>
              <w:t xml:space="preserve"> /km</w:t>
            </w:r>
          </w:p>
        </w:tc>
        <w:tc>
          <w:tcPr>
            <w:tcW w:w="2293" w:type="dxa"/>
            <w:vAlign w:val="center"/>
          </w:tcPr>
          <w:p>
            <w:pPr>
              <w:widowControl w:val="0"/>
              <w:jc w:val="center"/>
            </w:pPr>
            <w:r>
              <w:t>Leistinoji ilgalaikė 1 sek. trukmės trumpojo jungimo srovė, kA</w:t>
            </w:r>
          </w:p>
        </w:tc>
      </w:tr>
      <w:tr>
        <w:trPr>
          <w:cantSplit/>
          <w:trHeight w:val="20"/>
          <w:jc w:val="center"/>
        </w:trPr>
        <w:tc>
          <w:tcPr>
            <w:tcW w:w="1693" w:type="dxa"/>
            <w:tcBorders>
              <w:bottom w:val="single" w:sz="4" w:space="0" w:color="auto"/>
              <w:right w:val="nil"/>
            </w:tcBorders>
            <w:vAlign w:val="center"/>
          </w:tcPr>
          <w:p>
            <w:pPr>
              <w:widowControl w:val="0"/>
              <w:jc w:val="center"/>
            </w:pPr>
          </w:p>
        </w:tc>
        <w:tc>
          <w:tcPr>
            <w:tcW w:w="236" w:type="dxa"/>
            <w:tcBorders>
              <w:left w:val="nil"/>
              <w:right w:val="nil"/>
            </w:tcBorders>
            <w:vAlign w:val="center"/>
          </w:tcPr>
          <w:p>
            <w:pPr>
              <w:widowControl w:val="0"/>
              <w:jc w:val="center"/>
            </w:pPr>
          </w:p>
        </w:tc>
        <w:tc>
          <w:tcPr>
            <w:tcW w:w="4570" w:type="dxa"/>
            <w:gridSpan w:val="3"/>
            <w:tcBorders>
              <w:left w:val="nil"/>
              <w:right w:val="nil"/>
            </w:tcBorders>
            <w:vAlign w:val="center"/>
          </w:tcPr>
          <w:p>
            <w:pPr>
              <w:widowControl w:val="0"/>
              <w:jc w:val="center"/>
            </w:pPr>
            <w:r>
              <w:t>SAXKA tipo 12 kV (įtampa 10 kV)</w:t>
            </w:r>
          </w:p>
        </w:tc>
        <w:tc>
          <w:tcPr>
            <w:tcW w:w="278" w:type="dxa"/>
            <w:tcBorders>
              <w:left w:val="nil"/>
              <w:right w:val="nil"/>
            </w:tcBorders>
            <w:vAlign w:val="center"/>
          </w:tcPr>
          <w:p>
            <w:pPr>
              <w:widowControl w:val="0"/>
              <w:jc w:val="center"/>
            </w:pPr>
          </w:p>
        </w:tc>
        <w:tc>
          <w:tcPr>
            <w:tcW w:w="2293" w:type="dxa"/>
            <w:tcBorders>
              <w:left w:val="nil"/>
            </w:tcBorders>
            <w:vAlign w:val="center"/>
          </w:tcPr>
          <w:p>
            <w:pPr>
              <w:widowControl w:val="0"/>
              <w:jc w:val="center"/>
            </w:pPr>
          </w:p>
        </w:tc>
      </w:tr>
      <w:tr>
        <w:trPr>
          <w:cantSplit/>
          <w:trHeight w:val="20"/>
          <w:jc w:val="center"/>
        </w:trPr>
        <w:tc>
          <w:tcPr>
            <w:tcW w:w="1693" w:type="dxa"/>
            <w:tcBorders>
              <w:top w:val="nil"/>
            </w:tcBorders>
            <w:vAlign w:val="center"/>
          </w:tcPr>
          <w:p>
            <w:pPr>
              <w:widowControl w:val="0"/>
              <w:jc w:val="center"/>
            </w:pPr>
            <w:r>
              <w:t>3</w:t>
              <w:sym w:font="Symbol" w:char="F0B4"/>
              <w:t>35</w:t>
            </w:r>
          </w:p>
        </w:tc>
        <w:tc>
          <w:tcPr>
            <w:tcW w:w="1695" w:type="dxa"/>
            <w:gridSpan w:val="2"/>
            <w:vAlign w:val="center"/>
          </w:tcPr>
          <w:p>
            <w:pPr>
              <w:widowControl w:val="0"/>
              <w:jc w:val="center"/>
            </w:pPr>
            <w:r>
              <w:t>115</w:t>
            </w:r>
          </w:p>
        </w:tc>
        <w:tc>
          <w:tcPr>
            <w:tcW w:w="1794" w:type="dxa"/>
            <w:vAlign w:val="center"/>
          </w:tcPr>
          <w:p>
            <w:pPr>
              <w:widowControl w:val="0"/>
              <w:jc w:val="center"/>
            </w:pPr>
            <w:r>
              <w:t>0,87</w:t>
            </w:r>
          </w:p>
        </w:tc>
        <w:tc>
          <w:tcPr>
            <w:tcW w:w="1595" w:type="dxa"/>
            <w:gridSpan w:val="2"/>
            <w:vAlign w:val="center"/>
          </w:tcPr>
          <w:p>
            <w:pPr>
              <w:widowControl w:val="0"/>
              <w:jc w:val="center"/>
            </w:pPr>
            <w:r>
              <w:t>0,14</w:t>
            </w:r>
          </w:p>
        </w:tc>
        <w:tc>
          <w:tcPr>
            <w:tcW w:w="2293" w:type="dxa"/>
            <w:vAlign w:val="center"/>
          </w:tcPr>
          <w:p>
            <w:pPr>
              <w:widowControl w:val="0"/>
              <w:jc w:val="center"/>
            </w:pPr>
            <w:r>
              <w:t>3,4</w:t>
            </w:r>
          </w:p>
        </w:tc>
      </w:tr>
      <w:tr>
        <w:trPr>
          <w:cantSplit/>
          <w:trHeight w:val="20"/>
          <w:jc w:val="center"/>
        </w:trPr>
        <w:tc>
          <w:tcPr>
            <w:tcW w:w="1693" w:type="dxa"/>
            <w:vAlign w:val="center"/>
          </w:tcPr>
          <w:p>
            <w:pPr>
              <w:widowControl w:val="0"/>
              <w:jc w:val="center"/>
            </w:pPr>
            <w:r>
              <w:t>3</w:t>
              <w:sym w:font="Symbol" w:char="F0B4"/>
              <w:t>70</w:t>
            </w:r>
          </w:p>
        </w:tc>
        <w:tc>
          <w:tcPr>
            <w:tcW w:w="1695" w:type="dxa"/>
            <w:gridSpan w:val="2"/>
            <w:vAlign w:val="center"/>
          </w:tcPr>
          <w:p>
            <w:pPr>
              <w:widowControl w:val="0"/>
              <w:jc w:val="center"/>
            </w:pPr>
            <w:r>
              <w:t>175</w:t>
            </w:r>
          </w:p>
        </w:tc>
        <w:tc>
          <w:tcPr>
            <w:tcW w:w="1794" w:type="dxa"/>
            <w:vAlign w:val="center"/>
          </w:tcPr>
          <w:p>
            <w:pPr>
              <w:widowControl w:val="0"/>
              <w:jc w:val="center"/>
            </w:pPr>
            <w:r>
              <w:t>0,445</w:t>
            </w:r>
          </w:p>
        </w:tc>
        <w:tc>
          <w:tcPr>
            <w:tcW w:w="1595" w:type="dxa"/>
            <w:gridSpan w:val="2"/>
            <w:vAlign w:val="center"/>
          </w:tcPr>
          <w:p>
            <w:pPr>
              <w:widowControl w:val="0"/>
              <w:jc w:val="center"/>
            </w:pPr>
            <w:r>
              <w:t>0,13</w:t>
            </w:r>
          </w:p>
        </w:tc>
        <w:tc>
          <w:tcPr>
            <w:tcW w:w="2293" w:type="dxa"/>
            <w:vAlign w:val="center"/>
          </w:tcPr>
          <w:p>
            <w:pPr>
              <w:widowControl w:val="0"/>
              <w:jc w:val="center"/>
            </w:pPr>
            <w:r>
              <w:t>6,7</w:t>
            </w:r>
          </w:p>
        </w:tc>
      </w:tr>
      <w:tr>
        <w:trPr>
          <w:cantSplit/>
          <w:trHeight w:val="20"/>
          <w:jc w:val="center"/>
        </w:trPr>
        <w:tc>
          <w:tcPr>
            <w:tcW w:w="1693" w:type="dxa"/>
            <w:vAlign w:val="center"/>
          </w:tcPr>
          <w:p>
            <w:pPr>
              <w:widowControl w:val="0"/>
              <w:jc w:val="center"/>
            </w:pPr>
            <w:r>
              <w:t>3</w:t>
              <w:sym w:font="Symbol" w:char="F0B4"/>
              <w:t>120</w:t>
            </w:r>
          </w:p>
        </w:tc>
        <w:tc>
          <w:tcPr>
            <w:tcW w:w="1695" w:type="dxa"/>
            <w:gridSpan w:val="2"/>
            <w:vAlign w:val="center"/>
          </w:tcPr>
          <w:p>
            <w:pPr>
              <w:widowControl w:val="0"/>
              <w:jc w:val="center"/>
            </w:pPr>
            <w:r>
              <w:t>250</w:t>
            </w:r>
          </w:p>
        </w:tc>
        <w:tc>
          <w:tcPr>
            <w:tcW w:w="1794" w:type="dxa"/>
            <w:vAlign w:val="center"/>
          </w:tcPr>
          <w:p>
            <w:pPr>
              <w:widowControl w:val="0"/>
              <w:jc w:val="center"/>
            </w:pPr>
            <w:r>
              <w:t>0,256</w:t>
            </w:r>
          </w:p>
        </w:tc>
        <w:tc>
          <w:tcPr>
            <w:tcW w:w="1595" w:type="dxa"/>
            <w:gridSpan w:val="2"/>
            <w:vAlign w:val="center"/>
          </w:tcPr>
          <w:p>
            <w:pPr>
              <w:widowControl w:val="0"/>
              <w:jc w:val="center"/>
            </w:pPr>
            <w:r>
              <w:t>0,12</w:t>
            </w:r>
          </w:p>
        </w:tc>
        <w:tc>
          <w:tcPr>
            <w:tcW w:w="2293" w:type="dxa"/>
            <w:vAlign w:val="center"/>
          </w:tcPr>
          <w:p>
            <w:pPr>
              <w:widowControl w:val="0"/>
              <w:jc w:val="center"/>
            </w:pPr>
            <w:r>
              <w:t>11,2</w:t>
            </w:r>
          </w:p>
        </w:tc>
      </w:tr>
      <w:tr>
        <w:trPr>
          <w:cantSplit/>
          <w:trHeight w:val="20"/>
          <w:jc w:val="center"/>
        </w:trPr>
        <w:tc>
          <w:tcPr>
            <w:tcW w:w="1693" w:type="dxa"/>
            <w:tcBorders>
              <w:bottom w:val="nil"/>
            </w:tcBorders>
            <w:vAlign w:val="center"/>
          </w:tcPr>
          <w:p>
            <w:pPr>
              <w:widowControl w:val="0"/>
              <w:jc w:val="center"/>
            </w:pPr>
            <w:r>
              <w:t>3</w:t>
              <w:sym w:font="Symbol" w:char="F0B4"/>
              <w:t>185</w:t>
            </w:r>
          </w:p>
        </w:tc>
        <w:tc>
          <w:tcPr>
            <w:tcW w:w="1695" w:type="dxa"/>
            <w:gridSpan w:val="2"/>
            <w:vAlign w:val="center"/>
          </w:tcPr>
          <w:p>
            <w:pPr>
              <w:widowControl w:val="0"/>
              <w:jc w:val="center"/>
            </w:pPr>
            <w:r>
              <w:t>320</w:t>
            </w:r>
          </w:p>
        </w:tc>
        <w:tc>
          <w:tcPr>
            <w:tcW w:w="1794" w:type="dxa"/>
            <w:vAlign w:val="center"/>
          </w:tcPr>
          <w:p>
            <w:pPr>
              <w:widowControl w:val="0"/>
              <w:jc w:val="center"/>
            </w:pPr>
            <w:r>
              <w:t>0,167</w:t>
            </w:r>
          </w:p>
        </w:tc>
        <w:tc>
          <w:tcPr>
            <w:tcW w:w="1595" w:type="dxa"/>
            <w:gridSpan w:val="2"/>
            <w:vAlign w:val="center"/>
          </w:tcPr>
          <w:p>
            <w:pPr>
              <w:widowControl w:val="0"/>
              <w:jc w:val="center"/>
            </w:pPr>
            <w:r>
              <w:t>0,11</w:t>
            </w:r>
          </w:p>
        </w:tc>
        <w:tc>
          <w:tcPr>
            <w:tcW w:w="2293" w:type="dxa"/>
            <w:vAlign w:val="center"/>
          </w:tcPr>
          <w:p>
            <w:pPr>
              <w:widowControl w:val="0"/>
              <w:jc w:val="center"/>
            </w:pPr>
            <w:r>
              <w:t>17,5</w:t>
            </w:r>
          </w:p>
        </w:tc>
      </w:tr>
      <w:tr>
        <w:trPr>
          <w:cantSplit/>
          <w:trHeight w:val="20"/>
          <w:jc w:val="center"/>
        </w:trPr>
        <w:tc>
          <w:tcPr>
            <w:tcW w:w="1693" w:type="dxa"/>
            <w:tcBorders>
              <w:bottom w:val="single" w:sz="4" w:space="0" w:color="auto"/>
              <w:right w:val="nil"/>
            </w:tcBorders>
            <w:vAlign w:val="center"/>
          </w:tcPr>
          <w:p>
            <w:pPr>
              <w:widowControl w:val="0"/>
              <w:jc w:val="center"/>
            </w:pPr>
          </w:p>
        </w:tc>
        <w:tc>
          <w:tcPr>
            <w:tcW w:w="236" w:type="dxa"/>
            <w:tcBorders>
              <w:left w:val="nil"/>
              <w:right w:val="nil"/>
            </w:tcBorders>
            <w:vAlign w:val="center"/>
          </w:tcPr>
          <w:p>
            <w:pPr>
              <w:widowControl w:val="0"/>
              <w:jc w:val="center"/>
            </w:pPr>
          </w:p>
        </w:tc>
        <w:tc>
          <w:tcPr>
            <w:tcW w:w="4570" w:type="dxa"/>
            <w:gridSpan w:val="3"/>
            <w:tcBorders>
              <w:left w:val="nil"/>
              <w:right w:val="nil"/>
            </w:tcBorders>
            <w:vAlign w:val="center"/>
          </w:tcPr>
          <w:p>
            <w:pPr>
              <w:widowControl w:val="0"/>
              <w:jc w:val="center"/>
            </w:pPr>
            <w:r>
              <w:t>SAXKA tipo 24 kV (įtampa 20 kV)</w:t>
            </w:r>
          </w:p>
        </w:tc>
        <w:tc>
          <w:tcPr>
            <w:tcW w:w="278" w:type="dxa"/>
            <w:tcBorders>
              <w:left w:val="nil"/>
              <w:right w:val="nil"/>
            </w:tcBorders>
            <w:vAlign w:val="center"/>
          </w:tcPr>
          <w:p>
            <w:pPr>
              <w:widowControl w:val="0"/>
              <w:jc w:val="center"/>
            </w:pPr>
          </w:p>
        </w:tc>
        <w:tc>
          <w:tcPr>
            <w:tcW w:w="2293" w:type="dxa"/>
            <w:tcBorders>
              <w:left w:val="nil"/>
            </w:tcBorders>
            <w:vAlign w:val="center"/>
          </w:tcPr>
          <w:p>
            <w:pPr>
              <w:widowControl w:val="0"/>
              <w:jc w:val="center"/>
            </w:pPr>
          </w:p>
        </w:tc>
      </w:tr>
      <w:tr>
        <w:trPr>
          <w:cantSplit/>
          <w:trHeight w:val="20"/>
          <w:jc w:val="center"/>
        </w:trPr>
        <w:tc>
          <w:tcPr>
            <w:tcW w:w="1693" w:type="dxa"/>
            <w:vAlign w:val="center"/>
          </w:tcPr>
          <w:p>
            <w:pPr>
              <w:widowControl w:val="0"/>
              <w:jc w:val="center"/>
            </w:pPr>
            <w:r>
              <w:t>3</w:t>
              <w:sym w:font="Symbol" w:char="F0B4"/>
              <w:t>35</w:t>
            </w:r>
          </w:p>
        </w:tc>
        <w:tc>
          <w:tcPr>
            <w:tcW w:w="1695" w:type="dxa"/>
            <w:gridSpan w:val="2"/>
            <w:vAlign w:val="center"/>
          </w:tcPr>
          <w:p>
            <w:pPr>
              <w:widowControl w:val="0"/>
              <w:jc w:val="center"/>
            </w:pPr>
            <w:r>
              <w:t>120</w:t>
            </w:r>
          </w:p>
        </w:tc>
        <w:tc>
          <w:tcPr>
            <w:tcW w:w="1794" w:type="dxa"/>
            <w:vAlign w:val="center"/>
          </w:tcPr>
          <w:p>
            <w:pPr>
              <w:widowControl w:val="0"/>
              <w:jc w:val="center"/>
            </w:pPr>
            <w:r>
              <w:t>0,87</w:t>
            </w:r>
          </w:p>
        </w:tc>
        <w:tc>
          <w:tcPr>
            <w:tcW w:w="1595" w:type="dxa"/>
            <w:gridSpan w:val="2"/>
            <w:vAlign w:val="center"/>
          </w:tcPr>
          <w:p>
            <w:pPr>
              <w:widowControl w:val="0"/>
              <w:jc w:val="center"/>
            </w:pPr>
            <w:r>
              <w:t>0,16</w:t>
            </w:r>
          </w:p>
        </w:tc>
        <w:tc>
          <w:tcPr>
            <w:tcW w:w="2293" w:type="dxa"/>
            <w:vAlign w:val="center"/>
          </w:tcPr>
          <w:p>
            <w:pPr>
              <w:widowControl w:val="0"/>
              <w:jc w:val="center"/>
            </w:pPr>
            <w:r>
              <w:t>3,4</w:t>
            </w:r>
          </w:p>
        </w:tc>
      </w:tr>
      <w:tr>
        <w:trPr>
          <w:cantSplit/>
          <w:trHeight w:val="20"/>
          <w:jc w:val="center"/>
        </w:trPr>
        <w:tc>
          <w:tcPr>
            <w:tcW w:w="1693" w:type="dxa"/>
            <w:vAlign w:val="center"/>
          </w:tcPr>
          <w:p>
            <w:pPr>
              <w:widowControl w:val="0"/>
              <w:jc w:val="center"/>
            </w:pPr>
            <w:r>
              <w:t>3</w:t>
              <w:sym w:font="Symbol" w:char="F0B4"/>
              <w:t>70</w:t>
            </w:r>
          </w:p>
        </w:tc>
        <w:tc>
          <w:tcPr>
            <w:tcW w:w="1695" w:type="dxa"/>
            <w:gridSpan w:val="2"/>
            <w:vAlign w:val="center"/>
          </w:tcPr>
          <w:p>
            <w:pPr>
              <w:widowControl w:val="0"/>
              <w:jc w:val="center"/>
            </w:pPr>
            <w:r>
              <w:t>180</w:t>
            </w:r>
          </w:p>
        </w:tc>
        <w:tc>
          <w:tcPr>
            <w:tcW w:w="1794" w:type="dxa"/>
            <w:vAlign w:val="center"/>
          </w:tcPr>
          <w:p>
            <w:pPr>
              <w:widowControl w:val="0"/>
              <w:jc w:val="center"/>
            </w:pPr>
            <w:r>
              <w:t>0,446</w:t>
            </w:r>
          </w:p>
        </w:tc>
        <w:tc>
          <w:tcPr>
            <w:tcW w:w="1595" w:type="dxa"/>
            <w:gridSpan w:val="2"/>
            <w:vAlign w:val="center"/>
          </w:tcPr>
          <w:p>
            <w:pPr>
              <w:widowControl w:val="0"/>
              <w:jc w:val="center"/>
            </w:pPr>
            <w:r>
              <w:t>0,14</w:t>
            </w:r>
          </w:p>
        </w:tc>
        <w:tc>
          <w:tcPr>
            <w:tcW w:w="2293" w:type="dxa"/>
            <w:vAlign w:val="center"/>
          </w:tcPr>
          <w:p>
            <w:pPr>
              <w:widowControl w:val="0"/>
              <w:jc w:val="center"/>
            </w:pPr>
            <w:r>
              <w:t>6,7</w:t>
            </w:r>
          </w:p>
        </w:tc>
      </w:tr>
      <w:tr>
        <w:trPr>
          <w:cantSplit/>
          <w:trHeight w:val="20"/>
          <w:jc w:val="center"/>
        </w:trPr>
        <w:tc>
          <w:tcPr>
            <w:tcW w:w="1693" w:type="dxa"/>
            <w:vAlign w:val="center"/>
          </w:tcPr>
          <w:p>
            <w:pPr>
              <w:widowControl w:val="0"/>
              <w:jc w:val="center"/>
            </w:pPr>
            <w:r>
              <w:t>3</w:t>
              <w:sym w:font="Symbol" w:char="F0B4"/>
              <w:t>120</w:t>
            </w:r>
          </w:p>
        </w:tc>
        <w:tc>
          <w:tcPr>
            <w:tcW w:w="1695" w:type="dxa"/>
            <w:gridSpan w:val="2"/>
            <w:vAlign w:val="center"/>
          </w:tcPr>
          <w:p>
            <w:pPr>
              <w:widowControl w:val="0"/>
              <w:jc w:val="center"/>
            </w:pPr>
            <w:r>
              <w:t>250</w:t>
            </w:r>
          </w:p>
        </w:tc>
        <w:tc>
          <w:tcPr>
            <w:tcW w:w="1794" w:type="dxa"/>
            <w:vAlign w:val="center"/>
          </w:tcPr>
          <w:p>
            <w:pPr>
              <w:widowControl w:val="0"/>
              <w:jc w:val="center"/>
            </w:pPr>
            <w:r>
              <w:t>0,256</w:t>
            </w:r>
          </w:p>
        </w:tc>
        <w:tc>
          <w:tcPr>
            <w:tcW w:w="1595" w:type="dxa"/>
            <w:gridSpan w:val="2"/>
            <w:vAlign w:val="center"/>
          </w:tcPr>
          <w:p>
            <w:pPr>
              <w:widowControl w:val="0"/>
              <w:jc w:val="center"/>
            </w:pPr>
            <w:r>
              <w:t>0,13</w:t>
            </w:r>
          </w:p>
        </w:tc>
        <w:tc>
          <w:tcPr>
            <w:tcW w:w="2293" w:type="dxa"/>
            <w:vAlign w:val="center"/>
          </w:tcPr>
          <w:p>
            <w:pPr>
              <w:widowControl w:val="0"/>
              <w:jc w:val="center"/>
            </w:pPr>
            <w:r>
              <w:t>11,2</w:t>
            </w:r>
          </w:p>
        </w:tc>
      </w:tr>
      <w:tr>
        <w:trPr>
          <w:cantSplit/>
          <w:trHeight w:val="20"/>
          <w:jc w:val="center"/>
        </w:trPr>
        <w:tc>
          <w:tcPr>
            <w:tcW w:w="1693" w:type="dxa"/>
            <w:tcBorders>
              <w:bottom w:val="nil"/>
            </w:tcBorders>
            <w:vAlign w:val="center"/>
          </w:tcPr>
          <w:p>
            <w:pPr>
              <w:widowControl w:val="0"/>
              <w:jc w:val="center"/>
            </w:pPr>
            <w:r>
              <w:t>3</w:t>
              <w:sym w:font="Symbol" w:char="F0B4"/>
              <w:t>185</w:t>
            </w:r>
          </w:p>
        </w:tc>
        <w:tc>
          <w:tcPr>
            <w:tcW w:w="1695" w:type="dxa"/>
            <w:gridSpan w:val="2"/>
            <w:vAlign w:val="center"/>
          </w:tcPr>
          <w:p>
            <w:pPr>
              <w:widowControl w:val="0"/>
              <w:jc w:val="center"/>
            </w:pPr>
            <w:r>
              <w:t>325</w:t>
            </w:r>
          </w:p>
        </w:tc>
        <w:tc>
          <w:tcPr>
            <w:tcW w:w="1794" w:type="dxa"/>
            <w:vAlign w:val="center"/>
          </w:tcPr>
          <w:p>
            <w:pPr>
              <w:widowControl w:val="0"/>
              <w:jc w:val="center"/>
            </w:pPr>
            <w:r>
              <w:t>0,167</w:t>
            </w:r>
          </w:p>
        </w:tc>
        <w:tc>
          <w:tcPr>
            <w:tcW w:w="1595" w:type="dxa"/>
            <w:gridSpan w:val="2"/>
            <w:vAlign w:val="center"/>
          </w:tcPr>
          <w:p>
            <w:pPr>
              <w:widowControl w:val="0"/>
              <w:jc w:val="center"/>
            </w:pPr>
            <w:r>
              <w:t>0,12</w:t>
            </w:r>
          </w:p>
        </w:tc>
        <w:tc>
          <w:tcPr>
            <w:tcW w:w="2293" w:type="dxa"/>
            <w:vAlign w:val="center"/>
          </w:tcPr>
          <w:p>
            <w:pPr>
              <w:widowControl w:val="0"/>
              <w:jc w:val="center"/>
            </w:pPr>
            <w:r>
              <w:t>17,5</w:t>
            </w:r>
          </w:p>
        </w:tc>
      </w:tr>
      <w:tr>
        <w:trPr>
          <w:cantSplit/>
          <w:trHeight w:val="20"/>
          <w:jc w:val="center"/>
        </w:trPr>
        <w:tc>
          <w:tcPr>
            <w:tcW w:w="1693" w:type="dxa"/>
            <w:tcBorders>
              <w:bottom w:val="single" w:sz="4" w:space="0" w:color="auto"/>
              <w:right w:val="nil"/>
            </w:tcBorders>
            <w:vAlign w:val="center"/>
          </w:tcPr>
          <w:p>
            <w:pPr>
              <w:widowControl w:val="0"/>
              <w:jc w:val="center"/>
            </w:pPr>
          </w:p>
        </w:tc>
        <w:tc>
          <w:tcPr>
            <w:tcW w:w="236" w:type="dxa"/>
            <w:tcBorders>
              <w:left w:val="nil"/>
              <w:right w:val="nil"/>
            </w:tcBorders>
            <w:vAlign w:val="center"/>
          </w:tcPr>
          <w:p>
            <w:pPr>
              <w:widowControl w:val="0"/>
              <w:jc w:val="center"/>
            </w:pPr>
          </w:p>
        </w:tc>
        <w:tc>
          <w:tcPr>
            <w:tcW w:w="4570" w:type="dxa"/>
            <w:gridSpan w:val="3"/>
            <w:tcBorders>
              <w:left w:val="nil"/>
              <w:right w:val="nil"/>
            </w:tcBorders>
            <w:vAlign w:val="center"/>
          </w:tcPr>
          <w:p>
            <w:pPr>
              <w:widowControl w:val="0"/>
              <w:jc w:val="center"/>
            </w:pPr>
            <w:r>
              <w:t>SAXKA tipo 36 kV (įtampa 30 kV)</w:t>
            </w:r>
          </w:p>
        </w:tc>
        <w:tc>
          <w:tcPr>
            <w:tcW w:w="278" w:type="dxa"/>
            <w:tcBorders>
              <w:left w:val="nil"/>
              <w:right w:val="nil"/>
            </w:tcBorders>
            <w:vAlign w:val="center"/>
          </w:tcPr>
          <w:p>
            <w:pPr>
              <w:widowControl w:val="0"/>
              <w:jc w:val="center"/>
            </w:pPr>
          </w:p>
        </w:tc>
        <w:tc>
          <w:tcPr>
            <w:tcW w:w="2293" w:type="dxa"/>
            <w:tcBorders>
              <w:left w:val="nil"/>
            </w:tcBorders>
            <w:vAlign w:val="center"/>
          </w:tcPr>
          <w:p>
            <w:pPr>
              <w:widowControl w:val="0"/>
              <w:jc w:val="center"/>
            </w:pPr>
          </w:p>
        </w:tc>
      </w:tr>
      <w:tr>
        <w:trPr>
          <w:cantSplit/>
          <w:trHeight w:val="20"/>
          <w:jc w:val="center"/>
        </w:trPr>
        <w:tc>
          <w:tcPr>
            <w:tcW w:w="1693" w:type="dxa"/>
            <w:vAlign w:val="center"/>
          </w:tcPr>
          <w:p>
            <w:pPr>
              <w:widowControl w:val="0"/>
              <w:jc w:val="center"/>
            </w:pPr>
            <w:r>
              <w:t>3</w:t>
              <w:sym w:font="Symbol" w:char="F0B4"/>
              <w:t>35</w:t>
            </w:r>
          </w:p>
        </w:tc>
        <w:tc>
          <w:tcPr>
            <w:tcW w:w="1695" w:type="dxa"/>
            <w:gridSpan w:val="2"/>
            <w:vAlign w:val="center"/>
          </w:tcPr>
          <w:p>
            <w:pPr>
              <w:widowControl w:val="0"/>
              <w:jc w:val="center"/>
            </w:pPr>
            <w:r>
              <w:t>120</w:t>
            </w:r>
          </w:p>
        </w:tc>
        <w:tc>
          <w:tcPr>
            <w:tcW w:w="1794" w:type="dxa"/>
            <w:vAlign w:val="center"/>
          </w:tcPr>
          <w:p>
            <w:pPr>
              <w:widowControl w:val="0"/>
              <w:jc w:val="center"/>
            </w:pPr>
            <w:r>
              <w:t>0,871</w:t>
            </w:r>
          </w:p>
        </w:tc>
        <w:tc>
          <w:tcPr>
            <w:tcW w:w="1595" w:type="dxa"/>
            <w:gridSpan w:val="2"/>
            <w:vAlign w:val="center"/>
          </w:tcPr>
          <w:p>
            <w:pPr>
              <w:widowControl w:val="0"/>
              <w:jc w:val="center"/>
            </w:pPr>
            <w:r>
              <w:t>0,18</w:t>
            </w:r>
          </w:p>
        </w:tc>
        <w:tc>
          <w:tcPr>
            <w:tcW w:w="2293" w:type="dxa"/>
            <w:vAlign w:val="center"/>
          </w:tcPr>
          <w:p>
            <w:pPr>
              <w:widowControl w:val="0"/>
              <w:jc w:val="center"/>
            </w:pPr>
            <w:r>
              <w:t>3,4</w:t>
            </w:r>
          </w:p>
        </w:tc>
      </w:tr>
      <w:tr>
        <w:trPr>
          <w:cantSplit/>
          <w:trHeight w:val="20"/>
          <w:jc w:val="center"/>
        </w:trPr>
        <w:tc>
          <w:tcPr>
            <w:tcW w:w="1693" w:type="dxa"/>
            <w:vAlign w:val="center"/>
          </w:tcPr>
          <w:p>
            <w:pPr>
              <w:widowControl w:val="0"/>
              <w:jc w:val="center"/>
            </w:pPr>
            <w:r>
              <w:t>3</w:t>
              <w:sym w:font="Symbol" w:char="F0B4"/>
              <w:t>70</w:t>
            </w:r>
          </w:p>
        </w:tc>
        <w:tc>
          <w:tcPr>
            <w:tcW w:w="1695" w:type="dxa"/>
            <w:gridSpan w:val="2"/>
            <w:vAlign w:val="center"/>
          </w:tcPr>
          <w:p>
            <w:pPr>
              <w:widowControl w:val="0"/>
              <w:jc w:val="center"/>
            </w:pPr>
            <w:r>
              <w:t>180</w:t>
            </w:r>
          </w:p>
        </w:tc>
        <w:tc>
          <w:tcPr>
            <w:tcW w:w="1794" w:type="dxa"/>
            <w:vAlign w:val="center"/>
          </w:tcPr>
          <w:p>
            <w:pPr>
              <w:widowControl w:val="0"/>
              <w:jc w:val="center"/>
            </w:pPr>
            <w:r>
              <w:t>0,446</w:t>
            </w:r>
          </w:p>
        </w:tc>
        <w:tc>
          <w:tcPr>
            <w:tcW w:w="1595" w:type="dxa"/>
            <w:gridSpan w:val="2"/>
            <w:vAlign w:val="center"/>
          </w:tcPr>
          <w:p>
            <w:pPr>
              <w:widowControl w:val="0"/>
              <w:jc w:val="center"/>
            </w:pPr>
            <w:r>
              <w:t>0,16</w:t>
            </w:r>
          </w:p>
        </w:tc>
        <w:tc>
          <w:tcPr>
            <w:tcW w:w="2293" w:type="dxa"/>
            <w:vAlign w:val="center"/>
          </w:tcPr>
          <w:p>
            <w:pPr>
              <w:widowControl w:val="0"/>
              <w:jc w:val="center"/>
            </w:pPr>
            <w:r>
              <w:t>6,7</w:t>
            </w:r>
          </w:p>
        </w:tc>
      </w:tr>
      <w:tr>
        <w:trPr>
          <w:cantSplit/>
          <w:trHeight w:val="20"/>
          <w:jc w:val="center"/>
        </w:trPr>
        <w:tc>
          <w:tcPr>
            <w:tcW w:w="1693" w:type="dxa"/>
            <w:vAlign w:val="center"/>
          </w:tcPr>
          <w:p>
            <w:pPr>
              <w:widowControl w:val="0"/>
              <w:jc w:val="center"/>
            </w:pPr>
            <w:r>
              <w:t>3</w:t>
              <w:sym w:font="Symbol" w:char="F0B4"/>
              <w:t>120</w:t>
            </w:r>
          </w:p>
        </w:tc>
        <w:tc>
          <w:tcPr>
            <w:tcW w:w="1695" w:type="dxa"/>
            <w:gridSpan w:val="2"/>
            <w:vAlign w:val="center"/>
          </w:tcPr>
          <w:p>
            <w:pPr>
              <w:widowControl w:val="0"/>
              <w:jc w:val="center"/>
            </w:pPr>
            <w:r>
              <w:t>250</w:t>
            </w:r>
          </w:p>
        </w:tc>
        <w:tc>
          <w:tcPr>
            <w:tcW w:w="1794" w:type="dxa"/>
            <w:vAlign w:val="center"/>
          </w:tcPr>
          <w:p>
            <w:pPr>
              <w:widowControl w:val="0"/>
              <w:jc w:val="center"/>
            </w:pPr>
            <w:r>
              <w:t>0,257</w:t>
            </w:r>
          </w:p>
        </w:tc>
        <w:tc>
          <w:tcPr>
            <w:tcW w:w="1595" w:type="dxa"/>
            <w:gridSpan w:val="2"/>
            <w:vAlign w:val="center"/>
          </w:tcPr>
          <w:p>
            <w:pPr>
              <w:widowControl w:val="0"/>
              <w:jc w:val="center"/>
            </w:pPr>
            <w:r>
              <w:t>0,15</w:t>
            </w:r>
          </w:p>
        </w:tc>
        <w:tc>
          <w:tcPr>
            <w:tcW w:w="2293" w:type="dxa"/>
            <w:vAlign w:val="center"/>
          </w:tcPr>
          <w:p>
            <w:pPr>
              <w:widowControl w:val="0"/>
              <w:jc w:val="center"/>
            </w:pPr>
            <w:r>
              <w:t>11,2</w:t>
            </w:r>
          </w:p>
        </w:tc>
      </w:tr>
      <w:tr>
        <w:trPr>
          <w:cantSplit/>
          <w:trHeight w:val="20"/>
          <w:jc w:val="center"/>
        </w:trPr>
        <w:tc>
          <w:tcPr>
            <w:tcW w:w="1693" w:type="dxa"/>
            <w:vAlign w:val="center"/>
          </w:tcPr>
          <w:p>
            <w:pPr>
              <w:widowControl w:val="0"/>
              <w:jc w:val="center"/>
            </w:pPr>
            <w:r>
              <w:t>3</w:t>
              <w:sym w:font="Symbol" w:char="F0B4"/>
              <w:t>185</w:t>
            </w:r>
          </w:p>
        </w:tc>
        <w:tc>
          <w:tcPr>
            <w:tcW w:w="1695" w:type="dxa"/>
            <w:gridSpan w:val="2"/>
            <w:vAlign w:val="center"/>
          </w:tcPr>
          <w:p>
            <w:pPr>
              <w:widowControl w:val="0"/>
              <w:jc w:val="center"/>
            </w:pPr>
            <w:r>
              <w:t>325</w:t>
            </w:r>
          </w:p>
        </w:tc>
        <w:tc>
          <w:tcPr>
            <w:tcW w:w="1794" w:type="dxa"/>
            <w:vAlign w:val="center"/>
          </w:tcPr>
          <w:p>
            <w:pPr>
              <w:widowControl w:val="0"/>
              <w:jc w:val="center"/>
            </w:pPr>
            <w:r>
              <w:t>0,168</w:t>
            </w:r>
          </w:p>
        </w:tc>
        <w:tc>
          <w:tcPr>
            <w:tcW w:w="1595" w:type="dxa"/>
            <w:gridSpan w:val="2"/>
            <w:vAlign w:val="center"/>
          </w:tcPr>
          <w:p>
            <w:pPr>
              <w:widowControl w:val="0"/>
              <w:jc w:val="center"/>
            </w:pPr>
            <w:r>
              <w:t>0,14</w:t>
            </w:r>
          </w:p>
        </w:tc>
        <w:tc>
          <w:tcPr>
            <w:tcW w:w="2293" w:type="dxa"/>
            <w:vAlign w:val="center"/>
          </w:tcPr>
          <w:p>
            <w:pPr>
              <w:widowControl w:val="0"/>
              <w:jc w:val="center"/>
            </w:pPr>
            <w:r>
              <w:t>17,5</w:t>
            </w:r>
          </w:p>
        </w:tc>
      </w:tr>
    </w:tbl>
    <w:p>
      <w:pPr>
        <w:widowControl w:val="0"/>
        <w:ind w:firstLine="567"/>
        <w:jc w:val="both"/>
      </w:pPr>
    </w:p>
    <w:p>
      <w:pPr>
        <w:widowControl w:val="0"/>
        <w:ind w:firstLine="567"/>
        <w:jc w:val="both"/>
        <w:rPr>
          <w:b/>
          <w:bCs/>
        </w:rPr>
      </w:pPr>
      <w:r>
        <w:rPr>
          <w:b/>
          <w:bCs/>
        </w:rPr>
        <w:t>30 lentelė. Aukštesnės kaip 1000 V įtampos oro linijų izoliuotų laidų SAX leistinoji ilgalaikė srovė ir elektriniai parametrai</w:t>
      </w:r>
    </w:p>
    <w:p>
      <w:pPr>
        <w:widowControl w:val="0"/>
        <w:ind w:firstLine="567"/>
        <w:jc w:val="both"/>
      </w:pPr>
    </w:p>
    <w:p>
      <w:pPr>
        <w:widowControl w:val="0"/>
        <w:ind w:firstLine="567"/>
        <w:jc w:val="both"/>
      </w:pPr>
      <w:r>
        <w:t xml:space="preserve">Temperatūra: laido +80 </w:t>
      </w:r>
      <w:r>
        <w:rPr>
          <w:vertAlign w:val="superscript"/>
        </w:rPr>
        <w:t>o</w:t>
      </w:r>
      <w:r>
        <w:t xml:space="preserve">C, oro +20 </w:t>
      </w:r>
      <w:r>
        <w:rPr>
          <w:vertAlign w:val="superscript"/>
        </w:rPr>
        <w:t>o</w:t>
      </w:r>
      <w:r>
        <w:t>C.</w:t>
      </w:r>
    </w:p>
    <w:p>
      <w:pPr>
        <w:widowControl w:val="0"/>
        <w:ind w:firstLine="567"/>
        <w:jc w:val="both"/>
        <w:rPr>
          <w:i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2109"/>
        <w:gridCol w:w="2532"/>
        <w:gridCol w:w="2321"/>
      </w:tblGrid>
      <w:tr>
        <w:trPr>
          <w:cantSplit/>
          <w:trHeight w:val="20"/>
        </w:trPr>
        <w:tc>
          <w:tcPr>
            <w:tcW w:w="1980" w:type="dxa"/>
            <w:vAlign w:val="center"/>
          </w:tcPr>
          <w:p>
            <w:pPr>
              <w:widowControl w:val="0"/>
              <w:jc w:val="center"/>
            </w:pPr>
            <w:r>
              <w:t>Laidininko skerspjūvis,</w:t>
            </w:r>
          </w:p>
          <w:p>
            <w:pPr>
              <w:widowControl w:val="0"/>
              <w:jc w:val="center"/>
            </w:pPr>
            <w:r>
              <w:t>mm</w:t>
            </w:r>
            <w:r>
              <w:rPr>
                <w:vertAlign w:val="superscript"/>
              </w:rPr>
              <w:t>2</w:t>
            </w:r>
          </w:p>
        </w:tc>
        <w:tc>
          <w:tcPr>
            <w:tcW w:w="1980" w:type="dxa"/>
            <w:vAlign w:val="center"/>
          </w:tcPr>
          <w:p>
            <w:pPr>
              <w:widowControl w:val="0"/>
              <w:jc w:val="center"/>
            </w:pPr>
            <w:r>
              <w:t>Leistinoji ilgalaikė</w:t>
            </w:r>
          </w:p>
          <w:p>
            <w:pPr>
              <w:widowControl w:val="0"/>
              <w:jc w:val="center"/>
            </w:pPr>
            <w:r>
              <w:t>srovė, A</w:t>
            </w:r>
          </w:p>
        </w:tc>
        <w:tc>
          <w:tcPr>
            <w:tcW w:w="2377" w:type="dxa"/>
            <w:vAlign w:val="center"/>
          </w:tcPr>
          <w:p>
            <w:pPr>
              <w:widowControl w:val="0"/>
              <w:jc w:val="center"/>
              <w:rPr>
                <w:highlight w:val="yellow"/>
              </w:rPr>
            </w:pPr>
            <w:r>
              <w:t xml:space="preserve">Aktyvioji varža, </w:t>
            </w:r>
            <w:r>
              <w:rPr>
                <w:position w:val="-4"/>
              </w:rPr>
              <w:object w:dxaOrig="255" w:dyaOrig="255">
                <v:shape id="_x0000_i1098" type="#_x0000_t75" style="width:12.8pt;height:12.8pt" o:ole="">
                  <v:imagedata r:id="rId167" o:title=""/>
                </v:shape>
                <o:OLEObject Type="Embed" ProgID="Equation.3" ShapeID="_x0000_i1098" DrawAspect="Content" ObjectID="_0000000001" r:id="rId168"/>
              </w:object>
            </w:r>
            <w:r>
              <w:t xml:space="preserve"> /km, (+20 oc)</w:t>
            </w:r>
          </w:p>
        </w:tc>
        <w:tc>
          <w:tcPr>
            <w:tcW w:w="2179" w:type="dxa"/>
            <w:vAlign w:val="center"/>
          </w:tcPr>
          <w:p>
            <w:pPr>
              <w:widowControl w:val="0"/>
              <w:jc w:val="center"/>
            </w:pPr>
            <w:r>
              <w:t>Didžiausia leistinoji 1 sek. trukmės trumpojo jungimo srovė, kA</w:t>
            </w:r>
          </w:p>
        </w:tc>
      </w:tr>
      <w:tr>
        <w:trPr>
          <w:cantSplit/>
          <w:trHeight w:val="20"/>
        </w:trPr>
        <w:tc>
          <w:tcPr>
            <w:tcW w:w="1980" w:type="dxa"/>
            <w:vAlign w:val="center"/>
          </w:tcPr>
          <w:p>
            <w:pPr>
              <w:widowControl w:val="0"/>
              <w:jc w:val="center"/>
            </w:pPr>
            <w:r>
              <w:t>35</w:t>
            </w:r>
          </w:p>
        </w:tc>
        <w:tc>
          <w:tcPr>
            <w:tcW w:w="1980" w:type="dxa"/>
            <w:vAlign w:val="center"/>
          </w:tcPr>
          <w:p>
            <w:pPr>
              <w:widowControl w:val="0"/>
              <w:jc w:val="center"/>
            </w:pPr>
            <w:r>
              <w:t>200</w:t>
            </w:r>
          </w:p>
        </w:tc>
        <w:tc>
          <w:tcPr>
            <w:tcW w:w="2377" w:type="dxa"/>
            <w:vAlign w:val="center"/>
          </w:tcPr>
          <w:p>
            <w:pPr>
              <w:widowControl w:val="0"/>
              <w:jc w:val="center"/>
            </w:pPr>
            <w:r>
              <w:t>0,986</w:t>
            </w:r>
          </w:p>
        </w:tc>
        <w:tc>
          <w:tcPr>
            <w:tcW w:w="2179" w:type="dxa"/>
            <w:vAlign w:val="center"/>
          </w:tcPr>
          <w:p>
            <w:pPr>
              <w:widowControl w:val="0"/>
              <w:jc w:val="center"/>
            </w:pPr>
            <w:r>
              <w:t>3,2</w:t>
            </w:r>
          </w:p>
        </w:tc>
      </w:tr>
      <w:tr>
        <w:trPr>
          <w:cantSplit/>
          <w:trHeight w:val="20"/>
        </w:trPr>
        <w:tc>
          <w:tcPr>
            <w:tcW w:w="1980" w:type="dxa"/>
            <w:vAlign w:val="center"/>
          </w:tcPr>
          <w:p>
            <w:pPr>
              <w:widowControl w:val="0"/>
              <w:jc w:val="center"/>
            </w:pPr>
            <w:r>
              <w:t>50</w:t>
            </w:r>
          </w:p>
        </w:tc>
        <w:tc>
          <w:tcPr>
            <w:tcW w:w="1980" w:type="dxa"/>
            <w:vAlign w:val="center"/>
          </w:tcPr>
          <w:p>
            <w:pPr>
              <w:widowControl w:val="0"/>
              <w:jc w:val="center"/>
            </w:pPr>
            <w:r>
              <w:t>245</w:t>
            </w:r>
          </w:p>
        </w:tc>
        <w:tc>
          <w:tcPr>
            <w:tcW w:w="2377" w:type="dxa"/>
            <w:vAlign w:val="center"/>
          </w:tcPr>
          <w:p>
            <w:pPr>
              <w:widowControl w:val="0"/>
              <w:jc w:val="center"/>
            </w:pPr>
            <w:r>
              <w:t>0,72</w:t>
            </w:r>
          </w:p>
        </w:tc>
        <w:tc>
          <w:tcPr>
            <w:tcW w:w="2179" w:type="dxa"/>
            <w:vAlign w:val="center"/>
          </w:tcPr>
          <w:p>
            <w:pPr>
              <w:widowControl w:val="0"/>
              <w:jc w:val="center"/>
            </w:pPr>
            <w:r>
              <w:t>4,3</w:t>
            </w:r>
          </w:p>
        </w:tc>
      </w:tr>
      <w:tr>
        <w:trPr>
          <w:cantSplit/>
          <w:trHeight w:val="20"/>
        </w:trPr>
        <w:tc>
          <w:tcPr>
            <w:tcW w:w="1980" w:type="dxa"/>
            <w:vAlign w:val="center"/>
          </w:tcPr>
          <w:p>
            <w:pPr>
              <w:widowControl w:val="0"/>
              <w:jc w:val="center"/>
            </w:pPr>
            <w:r>
              <w:t>70</w:t>
            </w:r>
          </w:p>
        </w:tc>
        <w:tc>
          <w:tcPr>
            <w:tcW w:w="1980" w:type="dxa"/>
            <w:vAlign w:val="center"/>
          </w:tcPr>
          <w:p>
            <w:pPr>
              <w:widowControl w:val="0"/>
              <w:jc w:val="center"/>
            </w:pPr>
            <w:r>
              <w:t>310</w:t>
            </w:r>
          </w:p>
        </w:tc>
        <w:tc>
          <w:tcPr>
            <w:tcW w:w="2377" w:type="dxa"/>
            <w:vAlign w:val="center"/>
          </w:tcPr>
          <w:p>
            <w:pPr>
              <w:widowControl w:val="0"/>
              <w:jc w:val="center"/>
            </w:pPr>
            <w:r>
              <w:t>0,493</w:t>
            </w:r>
          </w:p>
        </w:tc>
        <w:tc>
          <w:tcPr>
            <w:tcW w:w="2179" w:type="dxa"/>
            <w:vAlign w:val="center"/>
          </w:tcPr>
          <w:p>
            <w:pPr>
              <w:widowControl w:val="0"/>
              <w:jc w:val="center"/>
            </w:pPr>
            <w:r>
              <w:t>6,4</w:t>
            </w:r>
          </w:p>
        </w:tc>
      </w:tr>
      <w:tr>
        <w:trPr>
          <w:cantSplit/>
          <w:trHeight w:val="20"/>
        </w:trPr>
        <w:tc>
          <w:tcPr>
            <w:tcW w:w="1980" w:type="dxa"/>
            <w:vAlign w:val="center"/>
          </w:tcPr>
          <w:p>
            <w:pPr>
              <w:widowControl w:val="0"/>
              <w:jc w:val="center"/>
            </w:pPr>
            <w:r>
              <w:t>120</w:t>
            </w:r>
          </w:p>
        </w:tc>
        <w:tc>
          <w:tcPr>
            <w:tcW w:w="1980" w:type="dxa"/>
            <w:vAlign w:val="center"/>
          </w:tcPr>
          <w:p>
            <w:pPr>
              <w:widowControl w:val="0"/>
              <w:jc w:val="center"/>
            </w:pPr>
            <w:r>
              <w:t>430</w:t>
            </w:r>
          </w:p>
        </w:tc>
        <w:tc>
          <w:tcPr>
            <w:tcW w:w="2377" w:type="dxa"/>
            <w:vAlign w:val="center"/>
          </w:tcPr>
          <w:p>
            <w:pPr>
              <w:widowControl w:val="0"/>
              <w:jc w:val="center"/>
            </w:pPr>
            <w:r>
              <w:t>0,288</w:t>
            </w:r>
          </w:p>
        </w:tc>
        <w:tc>
          <w:tcPr>
            <w:tcW w:w="2179" w:type="dxa"/>
            <w:vAlign w:val="center"/>
          </w:tcPr>
          <w:p>
            <w:pPr>
              <w:widowControl w:val="0"/>
              <w:jc w:val="center"/>
            </w:pPr>
            <w:r>
              <w:t>11,0</w:t>
            </w:r>
          </w:p>
        </w:tc>
      </w:tr>
      <w:tr>
        <w:trPr>
          <w:cantSplit/>
          <w:trHeight w:val="20"/>
        </w:trPr>
        <w:tc>
          <w:tcPr>
            <w:tcW w:w="1980" w:type="dxa"/>
            <w:vAlign w:val="center"/>
          </w:tcPr>
          <w:p>
            <w:pPr>
              <w:widowControl w:val="0"/>
              <w:jc w:val="center"/>
            </w:pPr>
            <w:r>
              <w:t>150</w:t>
            </w:r>
          </w:p>
        </w:tc>
        <w:tc>
          <w:tcPr>
            <w:tcW w:w="1980" w:type="dxa"/>
            <w:vAlign w:val="center"/>
          </w:tcPr>
          <w:p>
            <w:pPr>
              <w:widowControl w:val="0"/>
              <w:jc w:val="center"/>
            </w:pPr>
            <w:r>
              <w:t>485</w:t>
            </w:r>
          </w:p>
        </w:tc>
        <w:tc>
          <w:tcPr>
            <w:tcW w:w="2377" w:type="dxa"/>
            <w:vAlign w:val="center"/>
          </w:tcPr>
          <w:p>
            <w:pPr>
              <w:widowControl w:val="0"/>
              <w:jc w:val="center"/>
            </w:pPr>
            <w:r>
              <w:t>0,236</w:t>
            </w:r>
          </w:p>
        </w:tc>
        <w:tc>
          <w:tcPr>
            <w:tcW w:w="2179" w:type="dxa"/>
            <w:vAlign w:val="center"/>
          </w:tcPr>
          <w:p>
            <w:pPr>
              <w:widowControl w:val="0"/>
              <w:jc w:val="center"/>
            </w:pPr>
            <w:r>
              <w:t>13,5</w:t>
            </w:r>
          </w:p>
        </w:tc>
      </w:tr>
      <w:tr>
        <w:trPr>
          <w:cantSplit/>
          <w:trHeight w:val="20"/>
        </w:trPr>
        <w:tc>
          <w:tcPr>
            <w:tcW w:w="1980" w:type="dxa"/>
            <w:vAlign w:val="center"/>
          </w:tcPr>
          <w:p>
            <w:pPr>
              <w:widowControl w:val="0"/>
              <w:jc w:val="center"/>
            </w:pPr>
            <w:r>
              <w:t>185</w:t>
            </w:r>
          </w:p>
        </w:tc>
        <w:tc>
          <w:tcPr>
            <w:tcW w:w="1980" w:type="dxa"/>
            <w:vAlign w:val="center"/>
          </w:tcPr>
          <w:p>
            <w:pPr>
              <w:widowControl w:val="0"/>
              <w:jc w:val="center"/>
            </w:pPr>
            <w:r>
              <w:t>560</w:t>
            </w:r>
          </w:p>
        </w:tc>
        <w:tc>
          <w:tcPr>
            <w:tcW w:w="2377" w:type="dxa"/>
            <w:vAlign w:val="center"/>
          </w:tcPr>
          <w:p>
            <w:pPr>
              <w:widowControl w:val="0"/>
              <w:jc w:val="center"/>
            </w:pPr>
            <w:r>
              <w:t>0,188</w:t>
            </w:r>
          </w:p>
        </w:tc>
        <w:tc>
          <w:tcPr>
            <w:tcW w:w="2179" w:type="dxa"/>
            <w:vAlign w:val="center"/>
          </w:tcPr>
          <w:p>
            <w:pPr>
              <w:widowControl w:val="0"/>
              <w:jc w:val="center"/>
            </w:pPr>
            <w:r>
              <w:t>17</w:t>
            </w:r>
          </w:p>
        </w:tc>
      </w:tr>
    </w:tbl>
    <w:p>
      <w:pPr>
        <w:widowControl w:val="0"/>
        <w:ind w:firstLine="567"/>
        <w:jc w:val="both"/>
      </w:pPr>
    </w:p>
    <w:p>
      <w:pPr>
        <w:widowControl w:val="0"/>
        <w:ind w:firstLine="567"/>
        <w:jc w:val="both"/>
        <w:rPr>
          <w:b/>
        </w:rPr>
      </w:pPr>
      <w:r>
        <w:rPr>
          <w:b/>
        </w:rPr>
        <w:t>31 lentelė. ĮAS trifazio įvadinio automatinio jungiklio atkabiklio maksimaliosios vardinės srovės priklausomybė nuo leistinosios naudoti galios</w:t>
      </w:r>
    </w:p>
    <w:p>
      <w:pPr>
        <w:widowControl w:val="0"/>
        <w:ind w:firstLine="567"/>
        <w:jc w:val="both"/>
      </w:pPr>
    </w:p>
    <w:tbl>
      <w:tblPr>
        <w:tblW w:w="9070" w:type="dxa"/>
        <w:tblLook w:val="01E0" w:firstRow="1" w:lastRow="1" w:firstColumn="1" w:lastColumn="1" w:noHBand="0" w:noVBand="0"/>
      </w:tblPr>
      <w:tblGrid>
        <w:gridCol w:w="1399"/>
        <w:gridCol w:w="3515"/>
        <w:gridCol w:w="4156"/>
      </w:tblGrid>
      <w:tr>
        <w:trPr>
          <w:tblHeader/>
        </w:trPr>
        <w:tc>
          <w:tcPr>
            <w:tcW w:w="1049" w:type="dxa"/>
            <w:vAlign w:val="center"/>
          </w:tcPr>
          <w:p>
            <w:pPr>
              <w:widowControl w:val="0"/>
              <w:jc w:val="center"/>
            </w:pPr>
            <w:r>
              <w:t>Eil. Nr.</w:t>
            </w:r>
          </w:p>
        </w:tc>
        <w:tc>
          <w:tcPr>
            <w:tcW w:w="2637" w:type="dxa"/>
            <w:vAlign w:val="center"/>
          </w:tcPr>
          <w:p>
            <w:pPr>
              <w:widowControl w:val="0"/>
              <w:jc w:val="center"/>
            </w:pPr>
            <w:r>
              <w:t>Leistinoji naudoti galia kW, (P)</w:t>
            </w:r>
          </w:p>
        </w:tc>
        <w:tc>
          <w:tcPr>
            <w:tcW w:w="3118" w:type="dxa"/>
            <w:vAlign w:val="center"/>
          </w:tcPr>
          <w:p>
            <w:pPr>
              <w:widowControl w:val="0"/>
              <w:jc w:val="center"/>
            </w:pPr>
            <w:r>
              <w:t>Įvadinio automatinio jungiklio atkabiklio maksimalioji vardinė srovė (I</w:t>
            </w:r>
            <w:r>
              <w:rPr>
                <w:vertAlign w:val="subscript"/>
              </w:rPr>
              <w:t>at</w:t>
            </w:r>
            <w:r>
              <w:t>), A</w:t>
            </w:r>
          </w:p>
        </w:tc>
      </w:tr>
      <w:tr>
        <w:tc>
          <w:tcPr>
            <w:tcW w:w="1049" w:type="dxa"/>
          </w:tcPr>
          <w:p>
            <w:pPr>
              <w:widowControl w:val="0"/>
              <w:jc w:val="center"/>
            </w:pPr>
            <w:r>
              <w:rPr>
                <w:lang w:val="en-GB"/>
              </w:rPr>
              <w:t>1.</w:t>
            </w:r>
          </w:p>
        </w:tc>
        <w:tc>
          <w:tcPr>
            <w:tcW w:w="2637" w:type="dxa"/>
          </w:tcPr>
          <w:p>
            <w:pPr>
              <w:widowControl w:val="0"/>
              <w:jc w:val="center"/>
            </w:pPr>
            <w:r>
              <w:rPr>
                <w:lang w:val="en-GB"/>
              </w:rPr>
              <w:t>3</w:t>
            </w:r>
          </w:p>
        </w:tc>
        <w:tc>
          <w:tcPr>
            <w:tcW w:w="3118" w:type="dxa"/>
          </w:tcPr>
          <w:p>
            <w:pPr>
              <w:widowControl w:val="0"/>
              <w:jc w:val="center"/>
            </w:pPr>
            <w:r>
              <w:rPr>
                <w:lang w:val="en-GB"/>
              </w:rPr>
              <w:t>6</w:t>
            </w:r>
          </w:p>
        </w:tc>
      </w:tr>
      <w:tr>
        <w:tc>
          <w:tcPr>
            <w:tcW w:w="1049" w:type="dxa"/>
          </w:tcPr>
          <w:p>
            <w:pPr>
              <w:widowControl w:val="0"/>
              <w:jc w:val="center"/>
            </w:pPr>
            <w:r>
              <w:rPr>
                <w:lang w:val="en-GB"/>
              </w:rPr>
              <w:t>2.</w:t>
            </w:r>
          </w:p>
        </w:tc>
        <w:tc>
          <w:tcPr>
            <w:tcW w:w="2637" w:type="dxa"/>
          </w:tcPr>
          <w:p>
            <w:pPr>
              <w:widowControl w:val="0"/>
              <w:jc w:val="center"/>
            </w:pPr>
            <w:r>
              <w:rPr>
                <w:lang w:val="en-GB"/>
              </w:rPr>
              <w:t>4</w:t>
            </w:r>
            <w:r>
              <w:t>–</w:t>
            </w:r>
            <w:r>
              <w:rPr>
                <w:lang w:val="en-GB"/>
              </w:rPr>
              <w:t>5</w:t>
            </w:r>
          </w:p>
        </w:tc>
        <w:tc>
          <w:tcPr>
            <w:tcW w:w="3118" w:type="dxa"/>
          </w:tcPr>
          <w:p>
            <w:pPr>
              <w:widowControl w:val="0"/>
              <w:jc w:val="center"/>
            </w:pPr>
            <w:r>
              <w:rPr>
                <w:lang w:val="en-GB"/>
              </w:rPr>
              <w:t>10</w:t>
            </w:r>
          </w:p>
        </w:tc>
      </w:tr>
      <w:tr>
        <w:tc>
          <w:tcPr>
            <w:tcW w:w="1049" w:type="dxa"/>
          </w:tcPr>
          <w:p>
            <w:pPr>
              <w:widowControl w:val="0"/>
              <w:jc w:val="center"/>
            </w:pPr>
            <w:r>
              <w:rPr>
                <w:lang w:val="en-GB"/>
              </w:rPr>
              <w:t>3.</w:t>
            </w:r>
          </w:p>
        </w:tc>
        <w:tc>
          <w:tcPr>
            <w:tcW w:w="2637" w:type="dxa"/>
          </w:tcPr>
          <w:p>
            <w:pPr>
              <w:widowControl w:val="0"/>
              <w:jc w:val="center"/>
            </w:pPr>
            <w:r>
              <w:rPr>
                <w:lang w:val="en-GB"/>
              </w:rPr>
              <w:t>6</w:t>
            </w:r>
            <w:r>
              <w:t>–</w:t>
            </w:r>
            <w:r>
              <w:rPr>
                <w:lang w:val="en-GB"/>
              </w:rPr>
              <w:t>7</w:t>
            </w:r>
          </w:p>
        </w:tc>
        <w:tc>
          <w:tcPr>
            <w:tcW w:w="3118" w:type="dxa"/>
          </w:tcPr>
          <w:p>
            <w:pPr>
              <w:widowControl w:val="0"/>
              <w:jc w:val="center"/>
            </w:pPr>
            <w:r>
              <w:rPr>
                <w:lang w:val="en-GB"/>
              </w:rPr>
              <w:t>13</w:t>
            </w:r>
          </w:p>
        </w:tc>
      </w:tr>
      <w:tr>
        <w:tc>
          <w:tcPr>
            <w:tcW w:w="1049" w:type="dxa"/>
          </w:tcPr>
          <w:p>
            <w:pPr>
              <w:widowControl w:val="0"/>
              <w:jc w:val="center"/>
            </w:pPr>
            <w:r>
              <w:rPr>
                <w:lang w:val="en-GB"/>
              </w:rPr>
              <w:t>4.</w:t>
            </w:r>
          </w:p>
        </w:tc>
        <w:tc>
          <w:tcPr>
            <w:tcW w:w="2637" w:type="dxa"/>
          </w:tcPr>
          <w:p>
            <w:pPr>
              <w:widowControl w:val="0"/>
              <w:jc w:val="center"/>
            </w:pPr>
            <w:r>
              <w:rPr>
                <w:lang w:val="en-GB"/>
              </w:rPr>
              <w:t>8</w:t>
            </w:r>
            <w:r>
              <w:t>–</w:t>
            </w:r>
            <w:r>
              <w:rPr>
                <w:lang w:val="en-GB"/>
              </w:rPr>
              <w:t>9</w:t>
            </w:r>
          </w:p>
        </w:tc>
        <w:tc>
          <w:tcPr>
            <w:tcW w:w="3118" w:type="dxa"/>
          </w:tcPr>
          <w:p>
            <w:pPr>
              <w:widowControl w:val="0"/>
              <w:jc w:val="center"/>
            </w:pPr>
            <w:r>
              <w:rPr>
                <w:lang w:val="en-GB"/>
              </w:rPr>
              <w:t>16</w:t>
            </w:r>
          </w:p>
        </w:tc>
      </w:tr>
      <w:tr>
        <w:tc>
          <w:tcPr>
            <w:tcW w:w="1049" w:type="dxa"/>
          </w:tcPr>
          <w:p>
            <w:pPr>
              <w:widowControl w:val="0"/>
              <w:jc w:val="center"/>
            </w:pPr>
            <w:r>
              <w:rPr>
                <w:lang w:val="en-GB"/>
              </w:rPr>
              <w:t>5.</w:t>
            </w:r>
          </w:p>
        </w:tc>
        <w:tc>
          <w:tcPr>
            <w:tcW w:w="2637" w:type="dxa"/>
          </w:tcPr>
          <w:p>
            <w:pPr>
              <w:widowControl w:val="0"/>
              <w:jc w:val="center"/>
            </w:pPr>
            <w:r>
              <w:rPr>
                <w:lang w:val="en-GB"/>
              </w:rPr>
              <w:t>10</w:t>
            </w:r>
            <w:r>
              <w:t>–</w:t>
            </w:r>
            <w:r>
              <w:rPr>
                <w:lang w:val="en-GB"/>
              </w:rPr>
              <w:t>11</w:t>
            </w:r>
          </w:p>
        </w:tc>
        <w:tc>
          <w:tcPr>
            <w:tcW w:w="3118" w:type="dxa"/>
          </w:tcPr>
          <w:p>
            <w:pPr>
              <w:widowControl w:val="0"/>
              <w:jc w:val="center"/>
            </w:pPr>
            <w:r>
              <w:rPr>
                <w:lang w:val="en-GB"/>
              </w:rPr>
              <w:t>20</w:t>
            </w:r>
          </w:p>
        </w:tc>
      </w:tr>
      <w:tr>
        <w:tc>
          <w:tcPr>
            <w:tcW w:w="1049" w:type="dxa"/>
          </w:tcPr>
          <w:p>
            <w:pPr>
              <w:widowControl w:val="0"/>
              <w:jc w:val="center"/>
            </w:pPr>
            <w:r>
              <w:rPr>
                <w:lang w:val="en-GB"/>
              </w:rPr>
              <w:t>6.</w:t>
            </w:r>
          </w:p>
        </w:tc>
        <w:tc>
          <w:tcPr>
            <w:tcW w:w="2637" w:type="dxa"/>
          </w:tcPr>
          <w:p>
            <w:pPr>
              <w:widowControl w:val="0"/>
              <w:jc w:val="center"/>
            </w:pPr>
            <w:r>
              <w:rPr>
                <w:lang w:val="en-GB"/>
              </w:rPr>
              <w:t>12</w:t>
            </w:r>
            <w:r>
              <w:t>–</w:t>
            </w:r>
            <w:r>
              <w:rPr>
                <w:lang w:val="en-GB"/>
              </w:rPr>
              <w:t>14</w:t>
            </w:r>
          </w:p>
        </w:tc>
        <w:tc>
          <w:tcPr>
            <w:tcW w:w="3118" w:type="dxa"/>
          </w:tcPr>
          <w:p>
            <w:pPr>
              <w:widowControl w:val="0"/>
              <w:jc w:val="center"/>
            </w:pPr>
            <w:r>
              <w:rPr>
                <w:lang w:val="en-GB"/>
              </w:rPr>
              <w:t>25</w:t>
            </w:r>
          </w:p>
        </w:tc>
      </w:tr>
      <w:tr>
        <w:tc>
          <w:tcPr>
            <w:tcW w:w="1049" w:type="dxa"/>
          </w:tcPr>
          <w:p>
            <w:pPr>
              <w:widowControl w:val="0"/>
              <w:jc w:val="center"/>
            </w:pPr>
            <w:r>
              <w:rPr>
                <w:lang w:val="en-GB"/>
              </w:rPr>
              <w:t>7.</w:t>
            </w:r>
          </w:p>
        </w:tc>
        <w:tc>
          <w:tcPr>
            <w:tcW w:w="2637" w:type="dxa"/>
          </w:tcPr>
          <w:p>
            <w:pPr>
              <w:widowControl w:val="0"/>
              <w:jc w:val="center"/>
            </w:pPr>
            <w:r>
              <w:rPr>
                <w:lang w:val="en-GB"/>
              </w:rPr>
              <w:t>15</w:t>
            </w:r>
            <w:r>
              <w:t>–</w:t>
            </w:r>
            <w:r>
              <w:rPr>
                <w:lang w:val="en-GB"/>
              </w:rPr>
              <w:t>18</w:t>
            </w:r>
          </w:p>
        </w:tc>
        <w:tc>
          <w:tcPr>
            <w:tcW w:w="3118" w:type="dxa"/>
          </w:tcPr>
          <w:p>
            <w:pPr>
              <w:widowControl w:val="0"/>
              <w:jc w:val="center"/>
            </w:pPr>
            <w:r>
              <w:rPr>
                <w:lang w:val="en-GB"/>
              </w:rPr>
              <w:t>32</w:t>
            </w:r>
          </w:p>
        </w:tc>
      </w:tr>
      <w:tr>
        <w:tc>
          <w:tcPr>
            <w:tcW w:w="1049" w:type="dxa"/>
          </w:tcPr>
          <w:p>
            <w:pPr>
              <w:widowControl w:val="0"/>
              <w:jc w:val="center"/>
            </w:pPr>
            <w:r>
              <w:rPr>
                <w:lang w:val="en-GB"/>
              </w:rPr>
              <w:t>8.</w:t>
            </w:r>
          </w:p>
        </w:tc>
        <w:tc>
          <w:tcPr>
            <w:tcW w:w="2637" w:type="dxa"/>
          </w:tcPr>
          <w:p>
            <w:pPr>
              <w:widowControl w:val="0"/>
              <w:jc w:val="center"/>
            </w:pPr>
            <w:r>
              <w:rPr>
                <w:lang w:val="en-GB"/>
              </w:rPr>
              <w:t>19</w:t>
            </w:r>
            <w:r>
              <w:t>–</w:t>
            </w:r>
            <w:r>
              <w:rPr>
                <w:lang w:val="en-GB"/>
              </w:rPr>
              <w:t>22</w:t>
            </w:r>
          </w:p>
        </w:tc>
        <w:tc>
          <w:tcPr>
            <w:tcW w:w="3118" w:type="dxa"/>
          </w:tcPr>
          <w:p>
            <w:pPr>
              <w:widowControl w:val="0"/>
              <w:jc w:val="center"/>
            </w:pPr>
            <w:r>
              <w:rPr>
                <w:lang w:val="en-GB"/>
              </w:rPr>
              <w:t>40</w:t>
            </w:r>
          </w:p>
        </w:tc>
      </w:tr>
      <w:tr>
        <w:tc>
          <w:tcPr>
            <w:tcW w:w="1049" w:type="dxa"/>
          </w:tcPr>
          <w:p>
            <w:pPr>
              <w:widowControl w:val="0"/>
              <w:jc w:val="center"/>
            </w:pPr>
            <w:r>
              <w:rPr>
                <w:lang w:val="en-GB"/>
              </w:rPr>
              <w:t>9.</w:t>
            </w:r>
          </w:p>
        </w:tc>
        <w:tc>
          <w:tcPr>
            <w:tcW w:w="2637" w:type="dxa"/>
          </w:tcPr>
          <w:p>
            <w:pPr>
              <w:widowControl w:val="0"/>
              <w:jc w:val="center"/>
            </w:pPr>
            <w:r>
              <w:rPr>
                <w:lang w:val="en-GB"/>
              </w:rPr>
              <w:t>23</w:t>
            </w:r>
            <w:r>
              <w:t>–</w:t>
            </w:r>
            <w:r>
              <w:rPr>
                <w:lang w:val="en-GB"/>
              </w:rPr>
              <w:t>28</w:t>
            </w:r>
          </w:p>
        </w:tc>
        <w:tc>
          <w:tcPr>
            <w:tcW w:w="3118" w:type="dxa"/>
          </w:tcPr>
          <w:p>
            <w:pPr>
              <w:widowControl w:val="0"/>
              <w:jc w:val="center"/>
            </w:pPr>
            <w:r>
              <w:rPr>
                <w:lang w:val="en-GB"/>
              </w:rPr>
              <w:t>50</w:t>
            </w:r>
          </w:p>
        </w:tc>
      </w:tr>
      <w:tr>
        <w:tc>
          <w:tcPr>
            <w:tcW w:w="1049" w:type="dxa"/>
          </w:tcPr>
          <w:p>
            <w:pPr>
              <w:widowControl w:val="0"/>
              <w:jc w:val="center"/>
            </w:pPr>
            <w:r>
              <w:rPr>
                <w:lang w:val="en-GB"/>
              </w:rPr>
              <w:t>10.</w:t>
            </w:r>
          </w:p>
        </w:tc>
        <w:tc>
          <w:tcPr>
            <w:tcW w:w="2637" w:type="dxa"/>
          </w:tcPr>
          <w:p>
            <w:pPr>
              <w:widowControl w:val="0"/>
              <w:jc w:val="center"/>
            </w:pPr>
            <w:r>
              <w:rPr>
                <w:lang w:val="en-GB"/>
              </w:rPr>
              <w:t>29</w:t>
            </w:r>
            <w:r>
              <w:t>–</w:t>
            </w:r>
            <w:r>
              <w:rPr>
                <w:lang w:val="en-GB"/>
              </w:rPr>
              <w:t>35</w:t>
            </w:r>
          </w:p>
        </w:tc>
        <w:tc>
          <w:tcPr>
            <w:tcW w:w="3118" w:type="dxa"/>
          </w:tcPr>
          <w:p>
            <w:pPr>
              <w:widowControl w:val="0"/>
              <w:jc w:val="center"/>
            </w:pPr>
            <w:r>
              <w:rPr>
                <w:lang w:val="en-GB"/>
              </w:rPr>
              <w:t>63</w:t>
            </w:r>
          </w:p>
        </w:tc>
      </w:tr>
      <w:tr>
        <w:tc>
          <w:tcPr>
            <w:tcW w:w="1049" w:type="dxa"/>
          </w:tcPr>
          <w:p>
            <w:pPr>
              <w:widowControl w:val="0"/>
              <w:jc w:val="center"/>
            </w:pPr>
            <w:r>
              <w:rPr>
                <w:lang w:val="en-GB"/>
              </w:rPr>
              <w:t>11.</w:t>
            </w:r>
          </w:p>
        </w:tc>
        <w:tc>
          <w:tcPr>
            <w:tcW w:w="2637" w:type="dxa"/>
          </w:tcPr>
          <w:p>
            <w:pPr>
              <w:widowControl w:val="0"/>
              <w:jc w:val="center"/>
            </w:pPr>
            <w:r>
              <w:rPr>
                <w:lang w:val="en-GB"/>
              </w:rPr>
              <w:t>36</w:t>
            </w:r>
            <w:r>
              <w:t>–</w:t>
            </w:r>
            <w:r>
              <w:rPr>
                <w:lang w:val="en-GB"/>
              </w:rPr>
              <w:t>45</w:t>
            </w:r>
          </w:p>
        </w:tc>
        <w:tc>
          <w:tcPr>
            <w:tcW w:w="3118" w:type="dxa"/>
          </w:tcPr>
          <w:p>
            <w:pPr>
              <w:widowControl w:val="0"/>
              <w:jc w:val="center"/>
            </w:pPr>
            <w:r>
              <w:rPr>
                <w:lang w:val="en-GB"/>
              </w:rPr>
              <w:t>80</w:t>
            </w:r>
          </w:p>
        </w:tc>
      </w:tr>
      <w:tr>
        <w:tc>
          <w:tcPr>
            <w:tcW w:w="1049" w:type="dxa"/>
          </w:tcPr>
          <w:p>
            <w:pPr>
              <w:widowControl w:val="0"/>
              <w:jc w:val="center"/>
            </w:pPr>
            <w:r>
              <w:rPr>
                <w:lang w:val="en-GB"/>
              </w:rPr>
              <w:t>12.</w:t>
            </w:r>
          </w:p>
        </w:tc>
        <w:tc>
          <w:tcPr>
            <w:tcW w:w="2637" w:type="dxa"/>
          </w:tcPr>
          <w:p>
            <w:pPr>
              <w:widowControl w:val="0"/>
              <w:jc w:val="center"/>
            </w:pPr>
            <w:r>
              <w:rPr>
                <w:lang w:val="en-GB"/>
              </w:rPr>
              <w:t>46</w:t>
            </w:r>
            <w:r>
              <w:t>–</w:t>
            </w:r>
            <w:r>
              <w:rPr>
                <w:lang w:val="en-GB"/>
              </w:rPr>
              <w:t>57</w:t>
            </w:r>
          </w:p>
        </w:tc>
        <w:tc>
          <w:tcPr>
            <w:tcW w:w="3118" w:type="dxa"/>
          </w:tcPr>
          <w:p>
            <w:pPr>
              <w:widowControl w:val="0"/>
              <w:jc w:val="center"/>
            </w:pPr>
            <w:r>
              <w:rPr>
                <w:lang w:val="en-GB"/>
              </w:rPr>
              <w:t>100</w:t>
            </w:r>
          </w:p>
        </w:tc>
      </w:tr>
      <w:tr>
        <w:tc>
          <w:tcPr>
            <w:tcW w:w="1049" w:type="dxa"/>
          </w:tcPr>
          <w:p>
            <w:pPr>
              <w:widowControl w:val="0"/>
              <w:jc w:val="center"/>
            </w:pPr>
            <w:r>
              <w:rPr>
                <w:lang w:val="en-GB"/>
              </w:rPr>
              <w:t>13.</w:t>
            </w:r>
          </w:p>
        </w:tc>
        <w:tc>
          <w:tcPr>
            <w:tcW w:w="2637" w:type="dxa"/>
          </w:tcPr>
          <w:p>
            <w:pPr>
              <w:widowControl w:val="0"/>
              <w:jc w:val="center"/>
            </w:pPr>
            <w:r>
              <w:rPr>
                <w:lang w:val="en-GB"/>
              </w:rPr>
              <w:t>58</w:t>
            </w:r>
            <w:r>
              <w:t>–</w:t>
            </w:r>
            <w:r>
              <w:rPr>
                <w:lang w:val="en-GB"/>
              </w:rPr>
              <w:t>71</w:t>
            </w:r>
          </w:p>
        </w:tc>
        <w:tc>
          <w:tcPr>
            <w:tcW w:w="3118" w:type="dxa"/>
          </w:tcPr>
          <w:p>
            <w:pPr>
              <w:widowControl w:val="0"/>
              <w:jc w:val="center"/>
            </w:pPr>
            <w:r>
              <w:rPr>
                <w:lang w:val="en-GB"/>
              </w:rPr>
              <w:t>125</w:t>
            </w:r>
          </w:p>
        </w:tc>
      </w:tr>
      <w:tr>
        <w:tc>
          <w:tcPr>
            <w:tcW w:w="1049" w:type="dxa"/>
          </w:tcPr>
          <w:p>
            <w:pPr>
              <w:widowControl w:val="0"/>
              <w:jc w:val="center"/>
            </w:pPr>
            <w:r>
              <w:rPr>
                <w:lang w:val="en-GB"/>
              </w:rPr>
              <w:t>14.</w:t>
            </w:r>
          </w:p>
        </w:tc>
        <w:tc>
          <w:tcPr>
            <w:tcW w:w="2637" w:type="dxa"/>
          </w:tcPr>
          <w:p>
            <w:pPr>
              <w:widowControl w:val="0"/>
              <w:jc w:val="center"/>
            </w:pPr>
            <w:r>
              <w:rPr>
                <w:lang w:val="en-GB"/>
              </w:rPr>
              <w:t>72</w:t>
            </w:r>
            <w:r>
              <w:t>–</w:t>
            </w:r>
            <w:r>
              <w:rPr>
                <w:lang w:val="en-GB"/>
              </w:rPr>
              <w:t>91</w:t>
            </w:r>
          </w:p>
        </w:tc>
        <w:tc>
          <w:tcPr>
            <w:tcW w:w="3118" w:type="dxa"/>
          </w:tcPr>
          <w:p>
            <w:pPr>
              <w:widowControl w:val="0"/>
              <w:jc w:val="center"/>
            </w:pPr>
            <w:r>
              <w:rPr>
                <w:lang w:val="en-GB"/>
              </w:rPr>
              <w:t>160</w:t>
            </w:r>
          </w:p>
        </w:tc>
      </w:tr>
      <w:tr>
        <w:tc>
          <w:tcPr>
            <w:tcW w:w="1049" w:type="dxa"/>
          </w:tcPr>
          <w:p>
            <w:pPr>
              <w:widowControl w:val="0"/>
              <w:jc w:val="center"/>
            </w:pPr>
            <w:r>
              <w:rPr>
                <w:lang w:val="en-GB"/>
              </w:rPr>
              <w:t>15.</w:t>
            </w:r>
          </w:p>
        </w:tc>
        <w:tc>
          <w:tcPr>
            <w:tcW w:w="2637" w:type="dxa"/>
          </w:tcPr>
          <w:p>
            <w:pPr>
              <w:widowControl w:val="0"/>
              <w:jc w:val="center"/>
            </w:pPr>
            <w:r>
              <w:rPr>
                <w:lang w:val="en-GB"/>
              </w:rPr>
              <w:t>92</w:t>
            </w:r>
            <w:r>
              <w:t>–</w:t>
            </w:r>
            <w:r>
              <w:rPr>
                <w:lang w:val="en-GB"/>
              </w:rPr>
              <w:t>114</w:t>
            </w:r>
          </w:p>
        </w:tc>
        <w:tc>
          <w:tcPr>
            <w:tcW w:w="3118" w:type="dxa"/>
          </w:tcPr>
          <w:p>
            <w:pPr>
              <w:widowControl w:val="0"/>
              <w:jc w:val="center"/>
            </w:pPr>
            <w:r>
              <w:rPr>
                <w:lang w:val="en-GB"/>
              </w:rPr>
              <w:t>200</w:t>
            </w:r>
          </w:p>
        </w:tc>
      </w:tr>
      <w:tr>
        <w:tc>
          <w:tcPr>
            <w:tcW w:w="1049" w:type="dxa"/>
          </w:tcPr>
          <w:p>
            <w:pPr>
              <w:widowControl w:val="0"/>
              <w:jc w:val="center"/>
            </w:pPr>
            <w:r>
              <w:rPr>
                <w:lang w:val="en-GB"/>
              </w:rPr>
              <w:t>16.</w:t>
            </w:r>
          </w:p>
        </w:tc>
        <w:tc>
          <w:tcPr>
            <w:tcW w:w="2637" w:type="dxa"/>
          </w:tcPr>
          <w:p>
            <w:pPr>
              <w:widowControl w:val="0"/>
              <w:jc w:val="center"/>
            </w:pPr>
            <w:r>
              <w:rPr>
                <w:lang w:val="en-GB"/>
              </w:rPr>
              <w:t>115</w:t>
            </w:r>
            <w:r>
              <w:t>–</w:t>
            </w:r>
            <w:r>
              <w:rPr>
                <w:lang w:val="en-GB"/>
              </w:rPr>
              <w:t>142</w:t>
            </w:r>
          </w:p>
        </w:tc>
        <w:tc>
          <w:tcPr>
            <w:tcW w:w="3118" w:type="dxa"/>
          </w:tcPr>
          <w:p>
            <w:pPr>
              <w:widowControl w:val="0"/>
              <w:jc w:val="center"/>
            </w:pPr>
            <w:r>
              <w:rPr>
                <w:lang w:val="en-GB"/>
              </w:rPr>
              <w:t>250</w:t>
            </w:r>
          </w:p>
        </w:tc>
      </w:tr>
      <w:tr>
        <w:tc>
          <w:tcPr>
            <w:tcW w:w="1049" w:type="dxa"/>
          </w:tcPr>
          <w:p>
            <w:pPr>
              <w:widowControl w:val="0"/>
              <w:jc w:val="center"/>
            </w:pPr>
            <w:r>
              <w:rPr>
                <w:lang w:val="en-GB"/>
              </w:rPr>
              <w:t>17.</w:t>
            </w:r>
          </w:p>
        </w:tc>
        <w:tc>
          <w:tcPr>
            <w:tcW w:w="2637" w:type="dxa"/>
          </w:tcPr>
          <w:p>
            <w:pPr>
              <w:widowControl w:val="0"/>
              <w:jc w:val="center"/>
            </w:pPr>
            <w:r>
              <w:rPr>
                <w:lang w:val="en-GB"/>
              </w:rPr>
              <w:t>143</w:t>
            </w:r>
            <w:r>
              <w:t>–</w:t>
            </w:r>
            <w:r>
              <w:rPr>
                <w:lang w:val="en-GB"/>
              </w:rPr>
              <w:t>171</w:t>
            </w:r>
          </w:p>
        </w:tc>
        <w:tc>
          <w:tcPr>
            <w:tcW w:w="3118" w:type="dxa"/>
          </w:tcPr>
          <w:p>
            <w:pPr>
              <w:widowControl w:val="0"/>
              <w:jc w:val="center"/>
            </w:pPr>
            <w:r>
              <w:rPr>
                <w:lang w:val="en-GB"/>
              </w:rPr>
              <w:t>300</w:t>
            </w:r>
          </w:p>
        </w:tc>
      </w:tr>
      <w:tr>
        <w:tc>
          <w:tcPr>
            <w:tcW w:w="1049" w:type="dxa"/>
          </w:tcPr>
          <w:p>
            <w:pPr>
              <w:widowControl w:val="0"/>
              <w:jc w:val="center"/>
            </w:pPr>
            <w:r>
              <w:rPr>
                <w:lang w:val="en-GB"/>
              </w:rPr>
              <w:t>18.</w:t>
            </w:r>
          </w:p>
        </w:tc>
        <w:tc>
          <w:tcPr>
            <w:tcW w:w="2637" w:type="dxa"/>
          </w:tcPr>
          <w:p>
            <w:pPr>
              <w:widowControl w:val="0"/>
              <w:jc w:val="center"/>
            </w:pPr>
            <w:r>
              <w:rPr>
                <w:lang w:val="en-GB"/>
              </w:rPr>
              <w:t>172</w:t>
            </w:r>
            <w:r>
              <w:t>–</w:t>
            </w:r>
            <w:r>
              <w:rPr>
                <w:lang w:val="en-GB"/>
              </w:rPr>
              <w:t>182</w:t>
            </w:r>
          </w:p>
        </w:tc>
        <w:tc>
          <w:tcPr>
            <w:tcW w:w="3118" w:type="dxa"/>
          </w:tcPr>
          <w:p>
            <w:pPr>
              <w:widowControl w:val="0"/>
              <w:jc w:val="center"/>
            </w:pPr>
            <w:r>
              <w:rPr>
                <w:lang w:val="en-GB"/>
              </w:rPr>
              <w:t>320</w:t>
            </w:r>
          </w:p>
        </w:tc>
      </w:tr>
      <w:tr>
        <w:tc>
          <w:tcPr>
            <w:tcW w:w="1049" w:type="dxa"/>
          </w:tcPr>
          <w:p>
            <w:pPr>
              <w:widowControl w:val="0"/>
              <w:jc w:val="center"/>
            </w:pPr>
            <w:r>
              <w:rPr>
                <w:lang w:val="en-GB"/>
              </w:rPr>
              <w:t>19.</w:t>
            </w:r>
          </w:p>
        </w:tc>
        <w:tc>
          <w:tcPr>
            <w:tcW w:w="2637" w:type="dxa"/>
          </w:tcPr>
          <w:p>
            <w:pPr>
              <w:widowControl w:val="0"/>
              <w:jc w:val="center"/>
            </w:pPr>
            <w:r>
              <w:rPr>
                <w:lang w:val="en-GB"/>
              </w:rPr>
              <w:t>183</w:t>
            </w:r>
            <w:r>
              <w:t>–</w:t>
            </w:r>
            <w:r>
              <w:rPr>
                <w:lang w:val="en-GB"/>
              </w:rPr>
              <w:t>228</w:t>
            </w:r>
          </w:p>
        </w:tc>
        <w:tc>
          <w:tcPr>
            <w:tcW w:w="3118" w:type="dxa"/>
          </w:tcPr>
          <w:p>
            <w:pPr>
              <w:widowControl w:val="0"/>
              <w:jc w:val="center"/>
            </w:pPr>
            <w:r>
              <w:rPr>
                <w:lang w:val="en-GB"/>
              </w:rPr>
              <w:t>400</w:t>
            </w:r>
          </w:p>
        </w:tc>
      </w:tr>
      <w:tr>
        <w:tc>
          <w:tcPr>
            <w:tcW w:w="1049" w:type="dxa"/>
          </w:tcPr>
          <w:p>
            <w:pPr>
              <w:widowControl w:val="0"/>
              <w:jc w:val="center"/>
            </w:pPr>
            <w:r>
              <w:rPr>
                <w:lang w:val="en-GB"/>
              </w:rPr>
              <w:t>20.</w:t>
            </w:r>
          </w:p>
        </w:tc>
        <w:tc>
          <w:tcPr>
            <w:tcW w:w="2637" w:type="dxa"/>
          </w:tcPr>
          <w:p>
            <w:pPr>
              <w:widowControl w:val="0"/>
              <w:jc w:val="center"/>
            </w:pPr>
            <w:r>
              <w:rPr>
                <w:lang w:val="en-GB"/>
              </w:rPr>
              <w:t>229</w:t>
            </w:r>
            <w:r>
              <w:t>–</w:t>
            </w:r>
            <w:r>
              <w:rPr>
                <w:lang w:val="en-GB"/>
              </w:rPr>
              <w:t>285</w:t>
            </w:r>
          </w:p>
        </w:tc>
        <w:tc>
          <w:tcPr>
            <w:tcW w:w="3118" w:type="dxa"/>
          </w:tcPr>
          <w:p>
            <w:pPr>
              <w:widowControl w:val="0"/>
              <w:jc w:val="center"/>
            </w:pPr>
            <w:r>
              <w:rPr>
                <w:lang w:val="en-GB"/>
              </w:rPr>
              <w:t>500</w:t>
            </w:r>
          </w:p>
        </w:tc>
      </w:tr>
      <w:tr>
        <w:tc>
          <w:tcPr>
            <w:tcW w:w="1049" w:type="dxa"/>
          </w:tcPr>
          <w:p>
            <w:pPr>
              <w:widowControl w:val="0"/>
              <w:jc w:val="center"/>
            </w:pPr>
            <w:r>
              <w:rPr>
                <w:lang w:val="en-GB"/>
              </w:rPr>
              <w:t>21.</w:t>
            </w:r>
          </w:p>
        </w:tc>
        <w:tc>
          <w:tcPr>
            <w:tcW w:w="2637" w:type="dxa"/>
          </w:tcPr>
          <w:p>
            <w:pPr>
              <w:widowControl w:val="0"/>
              <w:jc w:val="center"/>
            </w:pPr>
            <w:r>
              <w:rPr>
                <w:lang w:val="en-GB"/>
              </w:rPr>
              <w:t>286</w:t>
            </w:r>
            <w:r>
              <w:t>–</w:t>
            </w:r>
            <w:r>
              <w:rPr>
                <w:lang w:val="en-GB"/>
              </w:rPr>
              <w:t>342</w:t>
            </w:r>
          </w:p>
        </w:tc>
        <w:tc>
          <w:tcPr>
            <w:tcW w:w="3118" w:type="dxa"/>
          </w:tcPr>
          <w:p>
            <w:pPr>
              <w:widowControl w:val="0"/>
              <w:jc w:val="center"/>
            </w:pPr>
            <w:r>
              <w:rPr>
                <w:lang w:val="en-GB"/>
              </w:rPr>
              <w:t>600</w:t>
            </w:r>
          </w:p>
        </w:tc>
      </w:tr>
    </w:tbl>
    <w:p>
      <w:pPr>
        <w:widowControl w:val="0"/>
        <w:jc w:val="both"/>
      </w:pPr>
    </w:p>
    <w:p>
      <w:pPr>
        <w:widowControl w:val="0"/>
        <w:ind w:firstLine="567"/>
        <w:jc w:val="both"/>
      </w:pPr>
      <w:r>
        <w:rPr>
          <w:b/>
        </w:rPr>
        <w:t>32 lentelė. ĮAS vienfazio įvadinio automatinio jungiklio atkabiklio maksimaliosios vardinės srovės priklausomybė nuo leistinosios naudoti galios</w:t>
      </w:r>
    </w:p>
    <w:p>
      <w:pPr>
        <w:widowControl w:val="0"/>
        <w:jc w:val="both"/>
      </w:pPr>
    </w:p>
    <w:tbl>
      <w:tblPr>
        <w:tblW w:w="9070" w:type="dxa"/>
        <w:tblLook w:val="01E0" w:firstRow="1" w:lastRow="1" w:firstColumn="1" w:lastColumn="1" w:noHBand="0" w:noVBand="0"/>
      </w:tblPr>
      <w:tblGrid>
        <w:gridCol w:w="1324"/>
        <w:gridCol w:w="3590"/>
        <w:gridCol w:w="4156"/>
      </w:tblGrid>
      <w:tr>
        <w:tc>
          <w:tcPr>
            <w:tcW w:w="993" w:type="dxa"/>
          </w:tcPr>
          <w:p>
            <w:pPr>
              <w:widowControl w:val="0"/>
              <w:jc w:val="both"/>
            </w:pPr>
            <w:r>
              <w:t>Eil. Nr.</w:t>
            </w:r>
          </w:p>
        </w:tc>
        <w:tc>
          <w:tcPr>
            <w:tcW w:w="2693" w:type="dxa"/>
          </w:tcPr>
          <w:p>
            <w:pPr>
              <w:widowControl w:val="0"/>
              <w:jc w:val="center"/>
            </w:pPr>
            <w:r>
              <w:t>Leistinoji naudoti galia kW, (P)</w:t>
            </w:r>
          </w:p>
        </w:tc>
        <w:tc>
          <w:tcPr>
            <w:tcW w:w="3118" w:type="dxa"/>
          </w:tcPr>
          <w:p>
            <w:pPr>
              <w:widowControl w:val="0"/>
              <w:jc w:val="center"/>
            </w:pPr>
            <w:r>
              <w:t>Įvadinio automatinio jungiklio atkabiklio maksimalioji vardinė srovė (I</w:t>
            </w:r>
            <w:r>
              <w:rPr>
                <w:vertAlign w:val="subscript"/>
              </w:rPr>
              <w:t>at</w:t>
            </w:r>
            <w:r>
              <w:t>), A</w:t>
            </w:r>
          </w:p>
        </w:tc>
      </w:tr>
      <w:tr>
        <w:tc>
          <w:tcPr>
            <w:tcW w:w="993" w:type="dxa"/>
          </w:tcPr>
          <w:p>
            <w:pPr>
              <w:widowControl w:val="0"/>
              <w:jc w:val="center"/>
            </w:pPr>
            <w:r>
              <w:rPr>
                <w:lang w:val="en-GB"/>
              </w:rPr>
              <w:t>1.</w:t>
            </w:r>
          </w:p>
        </w:tc>
        <w:tc>
          <w:tcPr>
            <w:tcW w:w="2693" w:type="dxa"/>
          </w:tcPr>
          <w:p>
            <w:pPr>
              <w:widowControl w:val="0"/>
              <w:jc w:val="center"/>
            </w:pPr>
            <w:r>
              <w:rPr>
                <w:lang w:val="en-GB"/>
              </w:rPr>
              <w:t>1</w:t>
            </w:r>
          </w:p>
        </w:tc>
        <w:tc>
          <w:tcPr>
            <w:tcW w:w="3118" w:type="dxa"/>
          </w:tcPr>
          <w:p>
            <w:pPr>
              <w:widowControl w:val="0"/>
              <w:jc w:val="center"/>
            </w:pPr>
            <w:r>
              <w:rPr>
                <w:lang w:val="en-GB"/>
              </w:rPr>
              <w:t>6</w:t>
            </w:r>
          </w:p>
        </w:tc>
      </w:tr>
      <w:tr>
        <w:tc>
          <w:tcPr>
            <w:tcW w:w="993" w:type="dxa"/>
          </w:tcPr>
          <w:p>
            <w:pPr>
              <w:widowControl w:val="0"/>
              <w:jc w:val="center"/>
            </w:pPr>
            <w:r>
              <w:rPr>
                <w:lang w:val="en-GB"/>
              </w:rPr>
              <w:t>2.</w:t>
            </w:r>
          </w:p>
        </w:tc>
        <w:tc>
          <w:tcPr>
            <w:tcW w:w="2693" w:type="dxa"/>
          </w:tcPr>
          <w:p>
            <w:pPr>
              <w:widowControl w:val="0"/>
              <w:jc w:val="center"/>
            </w:pPr>
            <w:r>
              <w:rPr>
                <w:lang w:val="en-GB"/>
              </w:rPr>
              <w:t>2</w:t>
            </w:r>
          </w:p>
        </w:tc>
        <w:tc>
          <w:tcPr>
            <w:tcW w:w="3118" w:type="dxa"/>
          </w:tcPr>
          <w:p>
            <w:pPr>
              <w:widowControl w:val="0"/>
              <w:jc w:val="center"/>
            </w:pPr>
            <w:r>
              <w:rPr>
                <w:lang w:val="en-GB"/>
              </w:rPr>
              <w:t>10</w:t>
            </w:r>
          </w:p>
        </w:tc>
      </w:tr>
      <w:tr>
        <w:tc>
          <w:tcPr>
            <w:tcW w:w="993" w:type="dxa"/>
          </w:tcPr>
          <w:p>
            <w:pPr>
              <w:widowControl w:val="0"/>
              <w:jc w:val="center"/>
            </w:pPr>
            <w:r>
              <w:rPr>
                <w:lang w:val="en-GB"/>
              </w:rPr>
              <w:t>3.</w:t>
            </w:r>
          </w:p>
        </w:tc>
        <w:tc>
          <w:tcPr>
            <w:tcW w:w="2693" w:type="dxa"/>
          </w:tcPr>
          <w:p>
            <w:pPr>
              <w:widowControl w:val="0"/>
              <w:jc w:val="center"/>
            </w:pPr>
            <w:r>
              <w:rPr>
                <w:lang w:val="en-GB"/>
              </w:rPr>
              <w:t>3</w:t>
            </w:r>
          </w:p>
        </w:tc>
        <w:tc>
          <w:tcPr>
            <w:tcW w:w="3118" w:type="dxa"/>
          </w:tcPr>
          <w:p>
            <w:pPr>
              <w:widowControl w:val="0"/>
              <w:jc w:val="center"/>
            </w:pPr>
            <w:r>
              <w:rPr>
                <w:lang w:val="en-GB"/>
              </w:rPr>
              <w:t>16</w:t>
            </w:r>
          </w:p>
        </w:tc>
      </w:tr>
      <w:tr>
        <w:tc>
          <w:tcPr>
            <w:tcW w:w="993" w:type="dxa"/>
          </w:tcPr>
          <w:p>
            <w:pPr>
              <w:widowControl w:val="0"/>
              <w:jc w:val="center"/>
            </w:pPr>
            <w:r>
              <w:rPr>
                <w:lang w:val="en-GB"/>
              </w:rPr>
              <w:t>4.</w:t>
            </w:r>
          </w:p>
        </w:tc>
        <w:tc>
          <w:tcPr>
            <w:tcW w:w="2693" w:type="dxa"/>
          </w:tcPr>
          <w:p>
            <w:pPr>
              <w:widowControl w:val="0"/>
              <w:jc w:val="center"/>
            </w:pPr>
            <w:r>
              <w:rPr>
                <w:lang w:val="en-GB"/>
              </w:rPr>
              <w:t>4</w:t>
            </w:r>
          </w:p>
        </w:tc>
        <w:tc>
          <w:tcPr>
            <w:tcW w:w="3118" w:type="dxa"/>
          </w:tcPr>
          <w:p>
            <w:pPr>
              <w:widowControl w:val="0"/>
              <w:jc w:val="center"/>
            </w:pPr>
            <w:r>
              <w:rPr>
                <w:lang w:val="en-GB"/>
              </w:rPr>
              <w:t>20</w:t>
            </w:r>
          </w:p>
        </w:tc>
      </w:tr>
      <w:tr>
        <w:tc>
          <w:tcPr>
            <w:tcW w:w="993" w:type="dxa"/>
          </w:tcPr>
          <w:p>
            <w:pPr>
              <w:widowControl w:val="0"/>
              <w:jc w:val="center"/>
            </w:pPr>
            <w:r>
              <w:rPr>
                <w:lang w:val="en-GB"/>
              </w:rPr>
              <w:t>5.</w:t>
            </w:r>
          </w:p>
        </w:tc>
        <w:tc>
          <w:tcPr>
            <w:tcW w:w="2693" w:type="dxa"/>
          </w:tcPr>
          <w:p>
            <w:pPr>
              <w:widowControl w:val="0"/>
              <w:jc w:val="center"/>
            </w:pPr>
            <w:r>
              <w:rPr>
                <w:lang w:val="en-GB"/>
              </w:rPr>
              <w:t>5</w:t>
            </w:r>
          </w:p>
        </w:tc>
        <w:tc>
          <w:tcPr>
            <w:tcW w:w="3118" w:type="dxa"/>
          </w:tcPr>
          <w:p>
            <w:pPr>
              <w:widowControl w:val="0"/>
              <w:jc w:val="center"/>
            </w:pPr>
            <w:r>
              <w:rPr>
                <w:lang w:val="en-GB"/>
              </w:rPr>
              <w:t>25</w:t>
            </w:r>
          </w:p>
        </w:tc>
      </w:tr>
      <w:tr>
        <w:tc>
          <w:tcPr>
            <w:tcW w:w="993" w:type="dxa"/>
          </w:tcPr>
          <w:p>
            <w:pPr>
              <w:widowControl w:val="0"/>
              <w:jc w:val="center"/>
            </w:pPr>
            <w:r>
              <w:rPr>
                <w:lang w:val="en-GB"/>
              </w:rPr>
              <w:t>6.</w:t>
            </w:r>
          </w:p>
        </w:tc>
        <w:tc>
          <w:tcPr>
            <w:tcW w:w="2693" w:type="dxa"/>
          </w:tcPr>
          <w:p>
            <w:pPr>
              <w:widowControl w:val="0"/>
              <w:jc w:val="center"/>
            </w:pPr>
            <w:r>
              <w:rPr>
                <w:lang w:val="en-GB"/>
              </w:rPr>
              <w:t>6</w:t>
            </w:r>
          </w:p>
        </w:tc>
        <w:tc>
          <w:tcPr>
            <w:tcW w:w="3118" w:type="dxa"/>
          </w:tcPr>
          <w:p>
            <w:pPr>
              <w:widowControl w:val="0"/>
              <w:jc w:val="center"/>
            </w:pPr>
            <w:r>
              <w:rPr>
                <w:lang w:val="en-GB"/>
              </w:rPr>
              <w:t>32</w:t>
            </w:r>
          </w:p>
        </w:tc>
      </w:tr>
      <w:tr>
        <w:tc>
          <w:tcPr>
            <w:tcW w:w="993" w:type="dxa"/>
          </w:tcPr>
          <w:p>
            <w:pPr>
              <w:widowControl w:val="0"/>
              <w:jc w:val="center"/>
            </w:pPr>
            <w:r>
              <w:rPr>
                <w:lang w:val="en-GB"/>
              </w:rPr>
              <w:t>7.</w:t>
            </w:r>
          </w:p>
        </w:tc>
        <w:tc>
          <w:tcPr>
            <w:tcW w:w="2693" w:type="dxa"/>
          </w:tcPr>
          <w:p>
            <w:pPr>
              <w:widowControl w:val="0"/>
              <w:jc w:val="center"/>
            </w:pPr>
            <w:r>
              <w:rPr>
                <w:lang w:val="en-GB"/>
              </w:rPr>
              <w:t>7</w:t>
            </w:r>
          </w:p>
        </w:tc>
        <w:tc>
          <w:tcPr>
            <w:tcW w:w="3118" w:type="dxa"/>
          </w:tcPr>
          <w:p>
            <w:pPr>
              <w:widowControl w:val="0"/>
              <w:jc w:val="center"/>
            </w:pPr>
            <w:r>
              <w:rPr>
                <w:lang w:val="en-GB"/>
              </w:rPr>
              <w:t>40</w:t>
            </w:r>
          </w:p>
        </w:tc>
      </w:tr>
      <w:tr>
        <w:tc>
          <w:tcPr>
            <w:tcW w:w="993" w:type="dxa"/>
          </w:tcPr>
          <w:p>
            <w:pPr>
              <w:widowControl w:val="0"/>
              <w:jc w:val="center"/>
            </w:pPr>
            <w:r>
              <w:rPr>
                <w:lang w:val="en-GB"/>
              </w:rPr>
              <w:t>8.</w:t>
            </w:r>
          </w:p>
        </w:tc>
        <w:tc>
          <w:tcPr>
            <w:tcW w:w="2693" w:type="dxa"/>
          </w:tcPr>
          <w:p>
            <w:pPr>
              <w:widowControl w:val="0"/>
              <w:jc w:val="center"/>
            </w:pPr>
            <w:r>
              <w:rPr>
                <w:lang w:val="en-GB"/>
              </w:rPr>
              <w:t>8</w:t>
            </w:r>
            <w:r>
              <w:t>–</w:t>
            </w:r>
            <w:r>
              <w:rPr>
                <w:lang w:val="en-GB"/>
              </w:rPr>
              <w:t>9</w:t>
            </w:r>
          </w:p>
        </w:tc>
        <w:tc>
          <w:tcPr>
            <w:tcW w:w="3118" w:type="dxa"/>
          </w:tcPr>
          <w:p>
            <w:pPr>
              <w:widowControl w:val="0"/>
              <w:jc w:val="center"/>
            </w:pPr>
            <w:r>
              <w:rPr>
                <w:lang w:val="en-GB"/>
              </w:rPr>
              <w:t>50</w:t>
            </w:r>
          </w:p>
        </w:tc>
      </w:tr>
      <w:tr>
        <w:tc>
          <w:tcPr>
            <w:tcW w:w="993" w:type="dxa"/>
          </w:tcPr>
          <w:p>
            <w:pPr>
              <w:widowControl w:val="0"/>
              <w:jc w:val="center"/>
            </w:pPr>
            <w:r>
              <w:rPr>
                <w:lang w:val="en-GB"/>
              </w:rPr>
              <w:t>9.</w:t>
            </w:r>
          </w:p>
        </w:tc>
        <w:tc>
          <w:tcPr>
            <w:tcW w:w="2693" w:type="dxa"/>
          </w:tcPr>
          <w:p>
            <w:pPr>
              <w:widowControl w:val="0"/>
              <w:jc w:val="center"/>
            </w:pPr>
            <w:r>
              <w:rPr>
                <w:lang w:val="en-GB"/>
              </w:rPr>
              <w:t>10</w:t>
            </w:r>
          </w:p>
        </w:tc>
        <w:tc>
          <w:tcPr>
            <w:tcW w:w="3118" w:type="dxa"/>
          </w:tcPr>
          <w:p>
            <w:pPr>
              <w:widowControl w:val="0"/>
              <w:jc w:val="center"/>
            </w:pPr>
            <w:r>
              <w:rPr>
                <w:lang w:val="en-GB"/>
              </w:rPr>
              <w:t>63</w:t>
            </w:r>
          </w:p>
        </w:tc>
      </w:tr>
    </w:tbl>
    <w:p>
      <w:pPr>
        <w:widowControl w:val="0"/>
        <w:jc w:val="both"/>
      </w:pPr>
    </w:p>
    <w:p>
      <w:pPr>
        <w:widowControl w:val="0"/>
        <w:jc w:val="center"/>
      </w:pPr>
      <w:r>
        <w:t>_________________</w:t>
      </w:r>
    </w:p>
    <w:p>
      <w:pPr>
        <w:widowControl w:val="0"/>
        <w:ind w:left="4535"/>
        <w:sectPr>
          <w:pgSz w:w="11907" w:h="16840" w:code="9"/>
          <w:pgMar w:top="1134" w:right="567" w:bottom="1134" w:left="1701" w:header="680" w:footer="680" w:gutter="0"/>
          <w:pgNumType w:start="1"/>
          <w:cols w:space="1296"/>
          <w:titlePg/>
          <w:docGrid w:linePitch="326"/>
        </w:sectPr>
      </w:pPr>
    </w:p>
    <w:p>
      <w:pPr>
        <w:widowControl w:val="0"/>
        <w:ind w:left="4535"/>
      </w:pPr>
      <w:r>
        <w:t xml:space="preserve">Elektros įrenginių įrengimo bendrųjų taisyklių </w:t>
      </w:r>
    </w:p>
    <w:p>
      <w:pPr>
        <w:widowControl w:val="0"/>
        <w:ind w:left="4535"/>
      </w:pPr>
      <w:r>
        <w:t>2</w:t>
      </w:r>
      <w:r>
        <w:t xml:space="preserve"> priedas</w:t>
      </w:r>
    </w:p>
    <w:p>
      <w:pPr>
        <w:widowControl w:val="0"/>
        <w:jc w:val="both"/>
      </w:pPr>
    </w:p>
    <w:p>
      <w:pPr>
        <w:widowControl w:val="0"/>
        <w:jc w:val="center"/>
        <w:rPr>
          <w:b/>
          <w:bCs/>
        </w:rPr>
      </w:pPr>
      <w:r>
        <w:rPr>
          <w:b/>
          <w:bCs/>
        </w:rPr>
        <w:t xml:space="preserve">IKI 1000 V ĮTAMPOS KINTAMOSIOS IR IKI 1500 V ĮTAMPOS NUOLATINĖS SROVĖS IZOLIUOTŲ LAIDŲ IR KABELIŲ LEISTINOSIOS ILGALAIKĖS SROVĖS PAGAL </w:t>
      </w:r>
    </w:p>
    <w:p>
      <w:pPr>
        <w:widowControl w:val="0"/>
        <w:jc w:val="center"/>
        <w:rPr>
          <w:b/>
          <w:bCs/>
        </w:rPr>
      </w:pPr>
      <w:r>
        <w:rPr>
          <w:b/>
          <w:bCs/>
        </w:rPr>
        <w:t>LST HD 384.5.523 S2</w:t>
      </w:r>
    </w:p>
    <w:p>
      <w:pPr>
        <w:widowControl w:val="0"/>
        <w:jc w:val="both"/>
      </w:pPr>
    </w:p>
    <w:p>
      <w:pPr>
        <w:widowControl w:val="0"/>
        <w:ind w:firstLine="567"/>
        <w:jc w:val="both"/>
        <w:rPr>
          <w:b/>
          <w:bCs/>
          <w:spacing w:val="-8"/>
        </w:rPr>
      </w:pPr>
      <w:r>
        <w:rPr>
          <w:b/>
          <w:bCs/>
        </w:rPr>
        <w:t>1 lentelė. Izoliuotų laidų ir kabelių instaliacijos būdų žymėjimas</w:t>
      </w:r>
    </w:p>
    <w:p>
      <w:pPr>
        <w:widowControl w:val="0"/>
        <w:jc w:val="both"/>
        <w:rPr>
          <w:iCs/>
        </w:rPr>
      </w:pPr>
    </w:p>
    <w:tbl>
      <w:tblPr>
        <w:tblW w:w="9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81"/>
        <w:gridCol w:w="1874"/>
        <w:gridCol w:w="970"/>
        <w:gridCol w:w="915"/>
        <w:gridCol w:w="916"/>
        <w:gridCol w:w="107"/>
        <w:gridCol w:w="808"/>
        <w:gridCol w:w="916"/>
        <w:gridCol w:w="25"/>
        <w:gridCol w:w="1158"/>
      </w:tblGrid>
      <w:tr>
        <w:trPr>
          <w:cantSplit/>
          <w:trHeight w:val="20"/>
          <w:tblHeader/>
          <w:jc w:val="center"/>
        </w:trPr>
        <w:tc>
          <w:tcPr>
            <w:tcW w:w="1265" w:type="dxa"/>
            <w:vMerge w:val="restart"/>
            <w:vAlign w:val="center"/>
          </w:tcPr>
          <w:p>
            <w:pPr>
              <w:widowControl w:val="0"/>
              <w:jc w:val="center"/>
            </w:pPr>
            <w:r>
              <w:t>Instaliacijos būdo grafinis vaizdavimas</w:t>
            </w:r>
          </w:p>
        </w:tc>
        <w:tc>
          <w:tcPr>
            <w:tcW w:w="1716" w:type="dxa"/>
            <w:vMerge w:val="restart"/>
            <w:vAlign w:val="center"/>
          </w:tcPr>
          <w:p>
            <w:pPr>
              <w:widowControl w:val="0"/>
              <w:jc w:val="center"/>
            </w:pPr>
            <w:r>
              <w:t>Instaliacijos būdo charakteristika</w:t>
            </w:r>
          </w:p>
        </w:tc>
        <w:tc>
          <w:tcPr>
            <w:tcW w:w="888" w:type="dxa"/>
            <w:vMerge w:val="restart"/>
            <w:vAlign w:val="center"/>
          </w:tcPr>
          <w:p>
            <w:pPr>
              <w:widowControl w:val="0"/>
              <w:jc w:val="center"/>
            </w:pPr>
            <w:r>
              <w:t>Instaliacijos būdo sutartinis žymuo</w:t>
            </w:r>
          </w:p>
        </w:tc>
        <w:tc>
          <w:tcPr>
            <w:tcW w:w="4438" w:type="dxa"/>
            <w:gridSpan w:val="7"/>
            <w:vAlign w:val="center"/>
          </w:tcPr>
          <w:p>
            <w:pPr>
              <w:widowControl w:val="0"/>
              <w:jc w:val="center"/>
            </w:pPr>
            <w:r>
              <w:t>Pavienių grandinių leistinosios ilgalaikės srovės lentelė ir grafa</w:t>
            </w:r>
          </w:p>
        </w:tc>
      </w:tr>
      <w:tr>
        <w:trPr>
          <w:cantSplit/>
          <w:trHeight w:val="20"/>
          <w:tblHeader/>
          <w:jc w:val="center"/>
        </w:trPr>
        <w:tc>
          <w:tcPr>
            <w:tcW w:w="1265" w:type="dxa"/>
            <w:vMerge/>
            <w:vAlign w:val="center"/>
          </w:tcPr>
          <w:p>
            <w:pPr>
              <w:widowControl w:val="0"/>
              <w:jc w:val="center"/>
            </w:pPr>
          </w:p>
        </w:tc>
        <w:tc>
          <w:tcPr>
            <w:tcW w:w="1716" w:type="dxa"/>
            <w:vMerge/>
            <w:vAlign w:val="center"/>
          </w:tcPr>
          <w:p>
            <w:pPr>
              <w:widowControl w:val="0"/>
            </w:pPr>
          </w:p>
        </w:tc>
        <w:tc>
          <w:tcPr>
            <w:tcW w:w="888" w:type="dxa"/>
            <w:vMerge/>
            <w:vAlign w:val="center"/>
          </w:tcPr>
          <w:p>
            <w:pPr>
              <w:widowControl w:val="0"/>
              <w:jc w:val="center"/>
            </w:pPr>
          </w:p>
        </w:tc>
        <w:tc>
          <w:tcPr>
            <w:tcW w:w="1775" w:type="dxa"/>
            <w:gridSpan w:val="3"/>
            <w:vAlign w:val="center"/>
          </w:tcPr>
          <w:p>
            <w:pPr>
              <w:widowControl w:val="0"/>
              <w:jc w:val="center"/>
            </w:pPr>
            <w:r>
              <w:t>PVC izoliacija</w:t>
            </w:r>
          </w:p>
        </w:tc>
        <w:tc>
          <w:tcPr>
            <w:tcW w:w="1602" w:type="dxa"/>
            <w:gridSpan w:val="3"/>
            <w:vAlign w:val="center"/>
          </w:tcPr>
          <w:p>
            <w:pPr>
              <w:widowControl w:val="0"/>
              <w:jc w:val="center"/>
            </w:pPr>
            <w:r>
              <w:t>XLPE/EPR izoliacija</w:t>
            </w:r>
          </w:p>
        </w:tc>
        <w:tc>
          <w:tcPr>
            <w:tcW w:w="1061" w:type="dxa"/>
            <w:vAlign w:val="center"/>
          </w:tcPr>
          <w:p>
            <w:pPr>
              <w:widowControl w:val="0"/>
              <w:jc w:val="center"/>
            </w:pPr>
            <w:r>
              <w:t>Minera-linė izoliacija</w:t>
            </w:r>
          </w:p>
        </w:tc>
      </w:tr>
      <w:tr>
        <w:trPr>
          <w:cantSplit/>
          <w:trHeight w:val="20"/>
          <w:tblHeader/>
          <w:jc w:val="center"/>
        </w:trPr>
        <w:tc>
          <w:tcPr>
            <w:tcW w:w="1265" w:type="dxa"/>
            <w:vMerge/>
            <w:vAlign w:val="center"/>
          </w:tcPr>
          <w:p>
            <w:pPr>
              <w:widowControl w:val="0"/>
              <w:jc w:val="center"/>
            </w:pPr>
          </w:p>
        </w:tc>
        <w:tc>
          <w:tcPr>
            <w:tcW w:w="1716" w:type="dxa"/>
            <w:vMerge/>
            <w:vAlign w:val="center"/>
          </w:tcPr>
          <w:p>
            <w:pPr>
              <w:widowControl w:val="0"/>
            </w:pPr>
          </w:p>
        </w:tc>
        <w:tc>
          <w:tcPr>
            <w:tcW w:w="888" w:type="dxa"/>
            <w:vMerge/>
            <w:vAlign w:val="center"/>
          </w:tcPr>
          <w:p>
            <w:pPr>
              <w:widowControl w:val="0"/>
              <w:jc w:val="center"/>
            </w:pPr>
          </w:p>
        </w:tc>
        <w:tc>
          <w:tcPr>
            <w:tcW w:w="4438" w:type="dxa"/>
            <w:gridSpan w:val="7"/>
            <w:vAlign w:val="center"/>
          </w:tcPr>
          <w:p>
            <w:pPr>
              <w:widowControl w:val="0"/>
              <w:jc w:val="center"/>
            </w:pPr>
            <w:r>
              <w:t>Gyslų skaičius</w:t>
            </w:r>
          </w:p>
        </w:tc>
      </w:tr>
      <w:tr>
        <w:trPr>
          <w:cantSplit/>
          <w:trHeight w:val="20"/>
          <w:tblHeader/>
          <w:jc w:val="center"/>
        </w:trPr>
        <w:tc>
          <w:tcPr>
            <w:tcW w:w="1265" w:type="dxa"/>
            <w:vMerge/>
            <w:vAlign w:val="center"/>
          </w:tcPr>
          <w:p>
            <w:pPr>
              <w:widowControl w:val="0"/>
              <w:jc w:val="center"/>
            </w:pPr>
          </w:p>
        </w:tc>
        <w:tc>
          <w:tcPr>
            <w:tcW w:w="1716" w:type="dxa"/>
            <w:vMerge/>
            <w:vAlign w:val="center"/>
          </w:tcPr>
          <w:p>
            <w:pPr>
              <w:widowControl w:val="0"/>
            </w:pPr>
          </w:p>
        </w:tc>
        <w:tc>
          <w:tcPr>
            <w:tcW w:w="888" w:type="dxa"/>
            <w:vMerge/>
            <w:vAlign w:val="center"/>
          </w:tcPr>
          <w:p>
            <w:pPr>
              <w:widowControl w:val="0"/>
              <w:jc w:val="center"/>
            </w:pPr>
          </w:p>
        </w:tc>
        <w:tc>
          <w:tcPr>
            <w:tcW w:w="838" w:type="dxa"/>
            <w:vAlign w:val="center"/>
          </w:tcPr>
          <w:p>
            <w:pPr>
              <w:widowControl w:val="0"/>
              <w:jc w:val="center"/>
            </w:pPr>
            <w:r>
              <w:t>2</w:t>
            </w:r>
          </w:p>
        </w:tc>
        <w:tc>
          <w:tcPr>
            <w:tcW w:w="839" w:type="dxa"/>
            <w:vAlign w:val="center"/>
          </w:tcPr>
          <w:p>
            <w:pPr>
              <w:widowControl w:val="0"/>
              <w:jc w:val="center"/>
            </w:pPr>
            <w:r>
              <w:t>3</w:t>
            </w:r>
          </w:p>
        </w:tc>
        <w:tc>
          <w:tcPr>
            <w:tcW w:w="838" w:type="dxa"/>
            <w:gridSpan w:val="2"/>
            <w:vAlign w:val="center"/>
          </w:tcPr>
          <w:p>
            <w:pPr>
              <w:widowControl w:val="0"/>
              <w:jc w:val="center"/>
            </w:pPr>
            <w:r>
              <w:t>2</w:t>
            </w:r>
          </w:p>
        </w:tc>
        <w:tc>
          <w:tcPr>
            <w:tcW w:w="839" w:type="dxa"/>
            <w:vAlign w:val="center"/>
          </w:tcPr>
          <w:p>
            <w:pPr>
              <w:widowControl w:val="0"/>
              <w:jc w:val="center"/>
            </w:pPr>
            <w:r>
              <w:t>3</w:t>
            </w:r>
          </w:p>
        </w:tc>
        <w:tc>
          <w:tcPr>
            <w:tcW w:w="1084" w:type="dxa"/>
            <w:gridSpan w:val="2"/>
            <w:vAlign w:val="center"/>
          </w:tcPr>
          <w:p>
            <w:pPr>
              <w:widowControl w:val="0"/>
              <w:jc w:val="center"/>
            </w:pPr>
            <w:r>
              <w:t>1, 2 ir 3</w:t>
            </w:r>
          </w:p>
        </w:tc>
      </w:tr>
      <w:tr>
        <w:trPr>
          <w:cantSplit/>
          <w:trHeight w:val="20"/>
          <w:jc w:val="center"/>
        </w:trPr>
        <w:tc>
          <w:tcPr>
            <w:tcW w:w="1265" w:type="dxa"/>
            <w:vAlign w:val="center"/>
          </w:tcPr>
          <w:p>
            <w:pPr>
              <w:widowControl w:val="0"/>
              <w:jc w:val="center"/>
            </w:pPr>
            <w:r>
              <w:rPr>
                <w:lang w:eastAsia="lt-LT"/>
              </w:rPr>
              <w:drawing>
                <wp:inline distT="0" distB="0" distL="0" distR="0">
                  <wp:extent cx="590550" cy="457200"/>
                  <wp:effectExtent l="0" t="0" r="0" b="0"/>
                  <wp:docPr id="88" name="Picture 88"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pav"/>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p>
          <w:p>
            <w:pPr>
              <w:widowControl w:val="0"/>
              <w:jc w:val="center"/>
              <w:rPr>
                <w:vanish/>
              </w:rPr>
            </w:pPr>
            <w:r>
              <w:rPr>
                <w:vanish/>
              </w:rPr>
              <w:t>(ženklas)</w:t>
            </w:r>
          </w:p>
        </w:tc>
        <w:tc>
          <w:tcPr>
            <w:tcW w:w="1716" w:type="dxa"/>
          </w:tcPr>
          <w:p>
            <w:pPr>
              <w:widowControl w:val="0"/>
            </w:pPr>
            <w:r>
              <w:t>Izoliuoti laidai vamzdžiuose, šilumai nelaidžiose sienose</w:t>
            </w:r>
          </w:p>
        </w:tc>
        <w:tc>
          <w:tcPr>
            <w:tcW w:w="888" w:type="dxa"/>
          </w:tcPr>
          <w:p>
            <w:pPr>
              <w:widowControl w:val="0"/>
              <w:jc w:val="center"/>
            </w:pPr>
            <w:r>
              <w:t>A1</w:t>
            </w:r>
          </w:p>
        </w:tc>
        <w:tc>
          <w:tcPr>
            <w:tcW w:w="838" w:type="dxa"/>
          </w:tcPr>
          <w:p>
            <w:pPr>
              <w:widowControl w:val="0"/>
            </w:pPr>
            <w:r>
              <w:t xml:space="preserve">2 priedo </w:t>
              <w:br/>
              <w:t>3 lent.</w:t>
            </w:r>
          </w:p>
          <w:p>
            <w:pPr>
              <w:widowControl w:val="0"/>
            </w:pPr>
            <w:r>
              <w:t>2 grafa</w:t>
            </w:r>
          </w:p>
        </w:tc>
        <w:tc>
          <w:tcPr>
            <w:tcW w:w="839" w:type="dxa"/>
          </w:tcPr>
          <w:p>
            <w:pPr>
              <w:widowControl w:val="0"/>
            </w:pPr>
            <w:r>
              <w:t>2 priedo</w:t>
            </w:r>
          </w:p>
          <w:p>
            <w:pPr>
              <w:widowControl w:val="0"/>
            </w:pPr>
            <w:r>
              <w:t>3 lent.</w:t>
            </w:r>
          </w:p>
          <w:p>
            <w:pPr>
              <w:widowControl w:val="0"/>
            </w:pPr>
            <w:r>
              <w:t>3 grafa</w:t>
            </w:r>
          </w:p>
        </w:tc>
        <w:tc>
          <w:tcPr>
            <w:tcW w:w="838" w:type="dxa"/>
            <w:gridSpan w:val="2"/>
          </w:tcPr>
          <w:p>
            <w:pPr>
              <w:widowControl w:val="0"/>
            </w:pPr>
            <w:r>
              <w:t xml:space="preserve">2 priedo </w:t>
              <w:br/>
              <w:t>4 lent.</w:t>
            </w:r>
          </w:p>
          <w:p>
            <w:pPr>
              <w:widowControl w:val="0"/>
            </w:pPr>
            <w:r>
              <w:t>2 grafa</w:t>
            </w:r>
          </w:p>
        </w:tc>
        <w:tc>
          <w:tcPr>
            <w:tcW w:w="839" w:type="dxa"/>
          </w:tcPr>
          <w:p>
            <w:pPr>
              <w:widowControl w:val="0"/>
            </w:pPr>
            <w:r>
              <w:t xml:space="preserve">2 priedo </w:t>
              <w:br/>
              <w:t>4 lent.</w:t>
            </w:r>
          </w:p>
          <w:p>
            <w:pPr>
              <w:widowControl w:val="0"/>
            </w:pPr>
            <w:r>
              <w:t>3 grafa</w:t>
            </w:r>
          </w:p>
        </w:tc>
        <w:tc>
          <w:tcPr>
            <w:tcW w:w="1084" w:type="dxa"/>
            <w:gridSpan w:val="2"/>
          </w:tcPr>
          <w:p>
            <w:pPr>
              <w:widowControl w:val="0"/>
              <w:jc w:val="center"/>
            </w:pPr>
            <w:r>
              <w:t>–</w:t>
            </w:r>
          </w:p>
        </w:tc>
      </w:tr>
      <w:tr>
        <w:trPr>
          <w:cantSplit/>
          <w:trHeight w:val="20"/>
          <w:jc w:val="center"/>
        </w:trPr>
        <w:tc>
          <w:tcPr>
            <w:tcW w:w="1265" w:type="dxa"/>
            <w:vAlign w:val="center"/>
          </w:tcPr>
          <w:p>
            <w:pPr>
              <w:widowControl w:val="0"/>
              <w:jc w:val="center"/>
            </w:pPr>
            <w:r>
              <w:rPr>
                <w:lang w:eastAsia="lt-LT"/>
              </w:rPr>
              <w:drawing>
                <wp:inline distT="0" distB="0" distL="0" distR="0">
                  <wp:extent cx="590550" cy="428625"/>
                  <wp:effectExtent l="0" t="0" r="0" b="0"/>
                  <wp:docPr id="89" name="Picture 89" descr="2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pav"/>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pPr>
              <w:widowControl w:val="0"/>
              <w:jc w:val="center"/>
            </w:pPr>
            <w:r>
              <w:rPr>
                <w:vanish/>
              </w:rPr>
              <w:t>(ženklas)</w:t>
            </w:r>
          </w:p>
        </w:tc>
        <w:tc>
          <w:tcPr>
            <w:tcW w:w="1716" w:type="dxa"/>
          </w:tcPr>
          <w:p>
            <w:pPr>
              <w:widowControl w:val="0"/>
            </w:pPr>
            <w:r>
              <w:t>Daugiagysliai kabeliai vamzdžiuose, šilumai nelaidžiose sienose</w:t>
            </w:r>
          </w:p>
        </w:tc>
        <w:tc>
          <w:tcPr>
            <w:tcW w:w="888" w:type="dxa"/>
          </w:tcPr>
          <w:p>
            <w:pPr>
              <w:widowControl w:val="0"/>
              <w:jc w:val="center"/>
            </w:pPr>
            <w:r>
              <w:t>A2</w:t>
            </w:r>
          </w:p>
        </w:tc>
        <w:tc>
          <w:tcPr>
            <w:tcW w:w="838" w:type="dxa"/>
          </w:tcPr>
          <w:p>
            <w:pPr>
              <w:widowControl w:val="0"/>
            </w:pPr>
            <w:r>
              <w:t xml:space="preserve">2 priedo </w:t>
              <w:br/>
              <w:t xml:space="preserve">3 lent. </w:t>
            </w:r>
          </w:p>
          <w:p>
            <w:pPr>
              <w:widowControl w:val="0"/>
            </w:pPr>
            <w:r>
              <w:t>4 grafa</w:t>
            </w:r>
          </w:p>
        </w:tc>
        <w:tc>
          <w:tcPr>
            <w:tcW w:w="839" w:type="dxa"/>
          </w:tcPr>
          <w:p>
            <w:pPr>
              <w:widowControl w:val="0"/>
            </w:pPr>
            <w:r>
              <w:t xml:space="preserve">2 priedo </w:t>
            </w:r>
          </w:p>
          <w:p>
            <w:pPr>
              <w:widowControl w:val="0"/>
            </w:pPr>
            <w:r>
              <w:t xml:space="preserve">3 lent. </w:t>
            </w:r>
          </w:p>
          <w:p>
            <w:pPr>
              <w:widowControl w:val="0"/>
            </w:pPr>
            <w:r>
              <w:t>4 grafa</w:t>
            </w:r>
          </w:p>
        </w:tc>
        <w:tc>
          <w:tcPr>
            <w:tcW w:w="838" w:type="dxa"/>
            <w:gridSpan w:val="2"/>
          </w:tcPr>
          <w:p>
            <w:pPr>
              <w:widowControl w:val="0"/>
            </w:pPr>
            <w:r>
              <w:t xml:space="preserve">2 priedo </w:t>
              <w:br/>
              <w:t xml:space="preserve">4 lent. </w:t>
            </w:r>
          </w:p>
          <w:p>
            <w:pPr>
              <w:widowControl w:val="0"/>
            </w:pPr>
            <w:r>
              <w:t>4 grafa</w:t>
            </w:r>
          </w:p>
        </w:tc>
        <w:tc>
          <w:tcPr>
            <w:tcW w:w="839" w:type="dxa"/>
          </w:tcPr>
          <w:p>
            <w:pPr>
              <w:widowControl w:val="0"/>
            </w:pPr>
            <w:r>
              <w:t xml:space="preserve">2 priedo </w:t>
              <w:br/>
              <w:t xml:space="preserve">4 lent. </w:t>
            </w:r>
          </w:p>
          <w:p>
            <w:pPr>
              <w:widowControl w:val="0"/>
            </w:pPr>
            <w:r>
              <w:t>5 grafa</w:t>
            </w:r>
          </w:p>
        </w:tc>
        <w:tc>
          <w:tcPr>
            <w:tcW w:w="1084" w:type="dxa"/>
            <w:gridSpan w:val="2"/>
          </w:tcPr>
          <w:p>
            <w:pPr>
              <w:widowControl w:val="0"/>
              <w:jc w:val="center"/>
            </w:pPr>
            <w:r>
              <w:t>–</w:t>
            </w:r>
          </w:p>
        </w:tc>
      </w:tr>
      <w:tr>
        <w:trPr>
          <w:cantSplit/>
          <w:trHeight w:val="20"/>
          <w:jc w:val="center"/>
        </w:trPr>
        <w:tc>
          <w:tcPr>
            <w:tcW w:w="1265" w:type="dxa"/>
            <w:vAlign w:val="center"/>
          </w:tcPr>
          <w:p>
            <w:pPr>
              <w:widowControl w:val="0"/>
              <w:jc w:val="center"/>
            </w:pPr>
            <w:r>
              <w:rPr>
                <w:lang w:eastAsia="lt-LT"/>
              </w:rPr>
              <w:drawing>
                <wp:inline distT="0" distB="0" distL="0" distR="0">
                  <wp:extent cx="400050" cy="495300"/>
                  <wp:effectExtent l="0" t="0" r="0" b="0"/>
                  <wp:docPr id="90" name="Picture 90" descr="3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pav"/>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0050" cy="495300"/>
                          </a:xfrm>
                          <a:prstGeom prst="rect">
                            <a:avLst/>
                          </a:prstGeom>
                          <a:noFill/>
                          <a:ln>
                            <a:noFill/>
                          </a:ln>
                        </pic:spPr>
                      </pic:pic>
                    </a:graphicData>
                  </a:graphic>
                </wp:inline>
              </w:drawing>
            </w:r>
          </w:p>
          <w:p>
            <w:pPr>
              <w:widowControl w:val="0"/>
              <w:jc w:val="center"/>
            </w:pPr>
            <w:r>
              <w:rPr>
                <w:vanish/>
              </w:rPr>
              <w:t>(ženklas)</w:t>
            </w:r>
          </w:p>
        </w:tc>
        <w:tc>
          <w:tcPr>
            <w:tcW w:w="1716" w:type="dxa"/>
          </w:tcPr>
          <w:p>
            <w:pPr>
              <w:widowControl w:val="0"/>
            </w:pPr>
            <w:r>
              <w:t>Izoliuoti laidai vamzdžiuose ant medinių sienų</w:t>
            </w:r>
          </w:p>
        </w:tc>
        <w:tc>
          <w:tcPr>
            <w:tcW w:w="888" w:type="dxa"/>
          </w:tcPr>
          <w:p>
            <w:pPr>
              <w:widowControl w:val="0"/>
              <w:jc w:val="center"/>
            </w:pPr>
            <w:r>
              <w:t>B1</w:t>
            </w:r>
          </w:p>
        </w:tc>
        <w:tc>
          <w:tcPr>
            <w:tcW w:w="838" w:type="dxa"/>
          </w:tcPr>
          <w:p>
            <w:pPr>
              <w:widowControl w:val="0"/>
            </w:pPr>
            <w:r>
              <w:t xml:space="preserve">2 priedo </w:t>
              <w:br/>
              <w:t xml:space="preserve">3 lent. </w:t>
            </w:r>
          </w:p>
          <w:p>
            <w:pPr>
              <w:widowControl w:val="0"/>
            </w:pPr>
            <w:r>
              <w:t>6 grafa</w:t>
            </w:r>
          </w:p>
          <w:p>
            <w:pPr>
              <w:widowControl w:val="0"/>
            </w:pPr>
          </w:p>
        </w:tc>
        <w:tc>
          <w:tcPr>
            <w:tcW w:w="839" w:type="dxa"/>
          </w:tcPr>
          <w:p>
            <w:pPr>
              <w:widowControl w:val="0"/>
            </w:pPr>
            <w:r>
              <w:t xml:space="preserve">2 priedo </w:t>
              <w:br/>
              <w:t xml:space="preserve">3 lent. </w:t>
            </w:r>
          </w:p>
          <w:p>
            <w:pPr>
              <w:widowControl w:val="0"/>
            </w:pPr>
            <w:r>
              <w:t>7 grafa</w:t>
            </w:r>
          </w:p>
        </w:tc>
        <w:tc>
          <w:tcPr>
            <w:tcW w:w="838" w:type="dxa"/>
            <w:gridSpan w:val="2"/>
          </w:tcPr>
          <w:p>
            <w:pPr>
              <w:widowControl w:val="0"/>
            </w:pPr>
            <w:r>
              <w:t xml:space="preserve">2 priedo </w:t>
              <w:br/>
              <w:t xml:space="preserve">4 lent. </w:t>
            </w:r>
          </w:p>
          <w:p>
            <w:pPr>
              <w:widowControl w:val="0"/>
            </w:pPr>
            <w:r>
              <w:t>6 grafa</w:t>
            </w:r>
          </w:p>
        </w:tc>
        <w:tc>
          <w:tcPr>
            <w:tcW w:w="839" w:type="dxa"/>
          </w:tcPr>
          <w:p>
            <w:pPr>
              <w:widowControl w:val="0"/>
            </w:pPr>
            <w:r>
              <w:t xml:space="preserve">2 priedo </w:t>
              <w:br/>
              <w:t xml:space="preserve">4 lent. </w:t>
            </w:r>
          </w:p>
          <w:p>
            <w:pPr>
              <w:widowControl w:val="0"/>
            </w:pPr>
            <w:r>
              <w:t xml:space="preserve">7 grafa </w:t>
            </w:r>
          </w:p>
        </w:tc>
        <w:tc>
          <w:tcPr>
            <w:tcW w:w="1084" w:type="dxa"/>
            <w:gridSpan w:val="2"/>
          </w:tcPr>
          <w:p>
            <w:pPr>
              <w:widowControl w:val="0"/>
              <w:jc w:val="center"/>
            </w:pPr>
            <w:r>
              <w:t>–</w:t>
            </w:r>
          </w:p>
        </w:tc>
      </w:tr>
      <w:tr>
        <w:trPr>
          <w:cantSplit/>
          <w:trHeight w:val="20"/>
          <w:jc w:val="center"/>
        </w:trPr>
        <w:tc>
          <w:tcPr>
            <w:tcW w:w="1265" w:type="dxa"/>
            <w:vAlign w:val="center"/>
          </w:tcPr>
          <w:p>
            <w:pPr>
              <w:widowControl w:val="0"/>
              <w:jc w:val="center"/>
            </w:pPr>
            <w:r>
              <w:rPr>
                <w:lang w:eastAsia="lt-LT"/>
              </w:rPr>
              <w:drawing>
                <wp:inline distT="0" distB="0" distL="0" distR="0">
                  <wp:extent cx="371475" cy="485775"/>
                  <wp:effectExtent l="0" t="0" r="0" b="0"/>
                  <wp:docPr id="91" name="Picture 91"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pav"/>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p>
          <w:p>
            <w:pPr>
              <w:widowControl w:val="0"/>
              <w:jc w:val="center"/>
            </w:pPr>
            <w:r>
              <w:rPr>
                <w:vanish/>
              </w:rPr>
              <w:t>(ženklas)</w:t>
            </w:r>
          </w:p>
        </w:tc>
        <w:tc>
          <w:tcPr>
            <w:tcW w:w="1716" w:type="dxa"/>
          </w:tcPr>
          <w:p>
            <w:pPr>
              <w:widowControl w:val="0"/>
            </w:pPr>
            <w:r>
              <w:t xml:space="preserve">Daugiagysliai kabeliai vamzdžiuose ant medinių sienų </w:t>
            </w:r>
          </w:p>
        </w:tc>
        <w:tc>
          <w:tcPr>
            <w:tcW w:w="888" w:type="dxa"/>
          </w:tcPr>
          <w:p>
            <w:pPr>
              <w:widowControl w:val="0"/>
              <w:jc w:val="center"/>
            </w:pPr>
            <w:r>
              <w:t>B2</w:t>
            </w:r>
          </w:p>
        </w:tc>
        <w:tc>
          <w:tcPr>
            <w:tcW w:w="838" w:type="dxa"/>
          </w:tcPr>
          <w:p>
            <w:pPr>
              <w:widowControl w:val="0"/>
            </w:pPr>
            <w:r>
              <w:t xml:space="preserve">2 priedo </w:t>
              <w:br/>
              <w:t xml:space="preserve">3 lent. </w:t>
            </w:r>
          </w:p>
          <w:p>
            <w:pPr>
              <w:widowControl w:val="0"/>
            </w:pPr>
            <w:r>
              <w:t>8 grafa</w:t>
            </w:r>
          </w:p>
        </w:tc>
        <w:tc>
          <w:tcPr>
            <w:tcW w:w="839" w:type="dxa"/>
          </w:tcPr>
          <w:p>
            <w:pPr>
              <w:widowControl w:val="0"/>
            </w:pPr>
            <w:r>
              <w:t xml:space="preserve">2 priedo </w:t>
              <w:br/>
              <w:t xml:space="preserve">3 lent. </w:t>
            </w:r>
          </w:p>
          <w:p>
            <w:pPr>
              <w:widowControl w:val="0"/>
            </w:pPr>
            <w:r>
              <w:t>9 grafa</w:t>
            </w:r>
          </w:p>
        </w:tc>
        <w:tc>
          <w:tcPr>
            <w:tcW w:w="838" w:type="dxa"/>
            <w:gridSpan w:val="2"/>
          </w:tcPr>
          <w:p>
            <w:pPr>
              <w:widowControl w:val="0"/>
            </w:pPr>
            <w:r>
              <w:t xml:space="preserve">2 priedo </w:t>
              <w:br/>
              <w:t xml:space="preserve">4 lent. </w:t>
            </w:r>
          </w:p>
          <w:p>
            <w:pPr>
              <w:widowControl w:val="0"/>
            </w:pPr>
            <w:r>
              <w:t>8 grafa</w:t>
            </w:r>
          </w:p>
        </w:tc>
        <w:tc>
          <w:tcPr>
            <w:tcW w:w="839" w:type="dxa"/>
          </w:tcPr>
          <w:p>
            <w:pPr>
              <w:widowControl w:val="0"/>
            </w:pPr>
            <w:r>
              <w:t xml:space="preserve">2 priedo </w:t>
              <w:br/>
              <w:t xml:space="preserve">4 lent. </w:t>
            </w:r>
          </w:p>
          <w:p>
            <w:pPr>
              <w:widowControl w:val="0"/>
            </w:pPr>
            <w:r>
              <w:t>9 grafa</w:t>
            </w:r>
          </w:p>
        </w:tc>
        <w:tc>
          <w:tcPr>
            <w:tcW w:w="1084" w:type="dxa"/>
            <w:gridSpan w:val="2"/>
          </w:tcPr>
          <w:p>
            <w:pPr>
              <w:widowControl w:val="0"/>
              <w:jc w:val="center"/>
            </w:pPr>
            <w:r>
              <w:t>–</w:t>
            </w:r>
          </w:p>
        </w:tc>
      </w:tr>
      <w:tr>
        <w:trPr>
          <w:cantSplit/>
          <w:trHeight w:val="20"/>
          <w:jc w:val="center"/>
        </w:trPr>
        <w:tc>
          <w:tcPr>
            <w:tcW w:w="1265" w:type="dxa"/>
            <w:vAlign w:val="center"/>
          </w:tcPr>
          <w:p>
            <w:pPr>
              <w:widowControl w:val="0"/>
              <w:jc w:val="center"/>
            </w:pPr>
            <w:r>
              <w:rPr>
                <w:lang w:eastAsia="lt-LT"/>
              </w:rPr>
              <w:drawing>
                <wp:inline distT="0" distB="0" distL="0" distR="0">
                  <wp:extent cx="352425" cy="714375"/>
                  <wp:effectExtent l="0" t="0" r="0" b="0"/>
                  <wp:docPr id="92" name="Picture 92" descr="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pav"/>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2425" cy="714375"/>
                          </a:xfrm>
                          <a:prstGeom prst="rect">
                            <a:avLst/>
                          </a:prstGeom>
                          <a:noFill/>
                          <a:ln>
                            <a:noFill/>
                          </a:ln>
                        </pic:spPr>
                      </pic:pic>
                    </a:graphicData>
                  </a:graphic>
                </wp:inline>
              </w:drawing>
            </w:r>
          </w:p>
          <w:p>
            <w:pPr>
              <w:widowControl w:val="0"/>
              <w:jc w:val="center"/>
            </w:pPr>
            <w:r>
              <w:rPr>
                <w:vanish/>
              </w:rPr>
              <w:t>(ženklas)</w:t>
            </w:r>
          </w:p>
        </w:tc>
        <w:tc>
          <w:tcPr>
            <w:tcW w:w="1716" w:type="dxa"/>
          </w:tcPr>
          <w:p>
            <w:pPr>
              <w:widowControl w:val="0"/>
            </w:pPr>
            <w:r>
              <w:t xml:space="preserve">Viengysliai arba daugiagysliai kabeliai ant medinių sienų </w:t>
            </w:r>
          </w:p>
        </w:tc>
        <w:tc>
          <w:tcPr>
            <w:tcW w:w="888" w:type="dxa"/>
          </w:tcPr>
          <w:p>
            <w:pPr>
              <w:widowControl w:val="0"/>
              <w:jc w:val="center"/>
            </w:pPr>
            <w:r>
              <w:t>C</w:t>
            </w:r>
          </w:p>
        </w:tc>
        <w:tc>
          <w:tcPr>
            <w:tcW w:w="838" w:type="dxa"/>
          </w:tcPr>
          <w:p>
            <w:pPr>
              <w:widowControl w:val="0"/>
            </w:pPr>
            <w:r>
              <w:t xml:space="preserve">2 priedo </w:t>
              <w:br/>
              <w:t xml:space="preserve">3 lent. </w:t>
            </w:r>
          </w:p>
          <w:p>
            <w:pPr>
              <w:widowControl w:val="0"/>
            </w:pPr>
            <w:r>
              <w:t>10 grafa</w:t>
            </w:r>
          </w:p>
        </w:tc>
        <w:tc>
          <w:tcPr>
            <w:tcW w:w="839" w:type="dxa"/>
          </w:tcPr>
          <w:p>
            <w:pPr>
              <w:widowControl w:val="0"/>
            </w:pPr>
            <w:r>
              <w:t xml:space="preserve">2 priedo </w:t>
              <w:br/>
              <w:t xml:space="preserve">3 lent. </w:t>
            </w:r>
          </w:p>
          <w:p>
            <w:pPr>
              <w:widowControl w:val="0"/>
            </w:pPr>
            <w:r>
              <w:t>11 grafa</w:t>
            </w:r>
          </w:p>
        </w:tc>
        <w:tc>
          <w:tcPr>
            <w:tcW w:w="838" w:type="dxa"/>
            <w:gridSpan w:val="2"/>
          </w:tcPr>
          <w:p>
            <w:pPr>
              <w:widowControl w:val="0"/>
            </w:pPr>
            <w:r>
              <w:t xml:space="preserve">2 priedo </w:t>
              <w:br/>
              <w:t xml:space="preserve">4 lent. </w:t>
            </w:r>
          </w:p>
          <w:p>
            <w:pPr>
              <w:widowControl w:val="0"/>
            </w:pPr>
            <w:r>
              <w:t>10 grafa</w:t>
            </w:r>
          </w:p>
        </w:tc>
        <w:tc>
          <w:tcPr>
            <w:tcW w:w="839" w:type="dxa"/>
          </w:tcPr>
          <w:p>
            <w:pPr>
              <w:widowControl w:val="0"/>
            </w:pPr>
            <w:r>
              <w:t xml:space="preserve">2 priedo </w:t>
              <w:br/>
              <w:t xml:space="preserve">4 lent. </w:t>
            </w:r>
          </w:p>
          <w:p>
            <w:pPr>
              <w:widowControl w:val="0"/>
            </w:pPr>
            <w:r>
              <w:t>11 grafa</w:t>
            </w:r>
          </w:p>
        </w:tc>
        <w:tc>
          <w:tcPr>
            <w:tcW w:w="1084" w:type="dxa"/>
            <w:gridSpan w:val="2"/>
          </w:tcPr>
          <w:p>
            <w:pPr>
              <w:widowControl w:val="0"/>
            </w:pPr>
            <w:r>
              <w:t xml:space="preserve">2 priedo </w:t>
            </w:r>
          </w:p>
          <w:p>
            <w:pPr>
              <w:widowControl w:val="0"/>
            </w:pPr>
            <w:r>
              <w:t xml:space="preserve">5 lent. </w:t>
            </w:r>
          </w:p>
        </w:tc>
      </w:tr>
      <w:tr>
        <w:trPr>
          <w:cantSplit/>
          <w:trHeight w:val="20"/>
          <w:jc w:val="center"/>
        </w:trPr>
        <w:tc>
          <w:tcPr>
            <w:tcW w:w="1265" w:type="dxa"/>
            <w:vAlign w:val="center"/>
          </w:tcPr>
          <w:p>
            <w:pPr>
              <w:widowControl w:val="0"/>
              <w:jc w:val="center"/>
            </w:pPr>
            <w:r>
              <w:rPr>
                <w:lang w:eastAsia="lt-LT"/>
              </w:rPr>
              <w:drawing>
                <wp:inline distT="0" distB="0" distL="0" distR="0">
                  <wp:extent cx="638175" cy="561975"/>
                  <wp:effectExtent l="0" t="0" r="0" b="0"/>
                  <wp:docPr id="93" name="Picture 93" descr="6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pav"/>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p>
          <w:p>
            <w:pPr>
              <w:widowControl w:val="0"/>
              <w:jc w:val="center"/>
            </w:pPr>
            <w:r>
              <w:rPr>
                <w:vanish/>
              </w:rPr>
              <w:t>(ženklas)</w:t>
            </w:r>
          </w:p>
        </w:tc>
        <w:tc>
          <w:tcPr>
            <w:tcW w:w="1716" w:type="dxa"/>
          </w:tcPr>
          <w:p>
            <w:pPr>
              <w:widowControl w:val="0"/>
            </w:pPr>
            <w:r>
              <w:t>Daugiagysliai kabeliai vamzdžiuose, žemėje</w:t>
            </w:r>
          </w:p>
        </w:tc>
        <w:tc>
          <w:tcPr>
            <w:tcW w:w="888" w:type="dxa"/>
          </w:tcPr>
          <w:p>
            <w:pPr>
              <w:widowControl w:val="0"/>
              <w:jc w:val="center"/>
            </w:pPr>
            <w:r>
              <w:t>D</w:t>
            </w:r>
          </w:p>
        </w:tc>
        <w:tc>
          <w:tcPr>
            <w:tcW w:w="838" w:type="dxa"/>
          </w:tcPr>
          <w:p>
            <w:pPr>
              <w:widowControl w:val="0"/>
            </w:pPr>
            <w:r>
              <w:t xml:space="preserve">2 priedo </w:t>
              <w:br/>
              <w:t xml:space="preserve">3 lent. </w:t>
            </w:r>
          </w:p>
          <w:p>
            <w:pPr>
              <w:widowControl w:val="0"/>
            </w:pPr>
            <w:r>
              <w:t>12 grafa</w:t>
            </w:r>
          </w:p>
        </w:tc>
        <w:tc>
          <w:tcPr>
            <w:tcW w:w="839" w:type="dxa"/>
          </w:tcPr>
          <w:p>
            <w:pPr>
              <w:widowControl w:val="0"/>
            </w:pPr>
            <w:r>
              <w:t xml:space="preserve">2 priedo </w:t>
              <w:br/>
              <w:t xml:space="preserve">3 lent. </w:t>
            </w:r>
          </w:p>
          <w:p>
            <w:pPr>
              <w:widowControl w:val="0"/>
            </w:pPr>
            <w:r>
              <w:t>13 grafa</w:t>
            </w:r>
          </w:p>
        </w:tc>
        <w:tc>
          <w:tcPr>
            <w:tcW w:w="838" w:type="dxa"/>
            <w:gridSpan w:val="2"/>
          </w:tcPr>
          <w:p>
            <w:pPr>
              <w:widowControl w:val="0"/>
            </w:pPr>
            <w:r>
              <w:t xml:space="preserve">2 priedo </w:t>
              <w:br/>
              <w:t xml:space="preserve">4 lent. </w:t>
            </w:r>
          </w:p>
          <w:p>
            <w:pPr>
              <w:widowControl w:val="0"/>
            </w:pPr>
            <w:r>
              <w:t>12 grafa</w:t>
            </w:r>
          </w:p>
        </w:tc>
        <w:tc>
          <w:tcPr>
            <w:tcW w:w="839" w:type="dxa"/>
          </w:tcPr>
          <w:p>
            <w:pPr>
              <w:widowControl w:val="0"/>
            </w:pPr>
            <w:r>
              <w:t xml:space="preserve">2 priedo </w:t>
              <w:br/>
              <w:t xml:space="preserve">4 lent. </w:t>
            </w:r>
          </w:p>
          <w:p>
            <w:pPr>
              <w:widowControl w:val="0"/>
            </w:pPr>
            <w:r>
              <w:t>13 grafa</w:t>
            </w:r>
          </w:p>
        </w:tc>
        <w:tc>
          <w:tcPr>
            <w:tcW w:w="1084" w:type="dxa"/>
            <w:gridSpan w:val="2"/>
          </w:tcPr>
          <w:p>
            <w:pPr>
              <w:widowControl w:val="0"/>
              <w:jc w:val="center"/>
            </w:pPr>
            <w:r>
              <w:t>–</w:t>
            </w:r>
          </w:p>
        </w:tc>
      </w:tr>
      <w:tr>
        <w:trPr>
          <w:cantSplit/>
          <w:trHeight w:val="20"/>
          <w:jc w:val="center"/>
        </w:trPr>
        <w:tc>
          <w:tcPr>
            <w:tcW w:w="1265" w:type="dxa"/>
            <w:vAlign w:val="center"/>
          </w:tcPr>
          <w:p>
            <w:pPr>
              <w:widowControl w:val="0"/>
              <w:jc w:val="center"/>
            </w:pPr>
            <w:r>
              <w:rPr>
                <w:lang w:eastAsia="lt-LT"/>
              </w:rPr>
              <w:drawing>
                <wp:inline distT="0" distB="0" distL="0" distR="0">
                  <wp:extent cx="361950" cy="581025"/>
                  <wp:effectExtent l="0" t="0" r="0" b="0"/>
                  <wp:docPr id="94" name="Picture 94" descr="7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7pav"/>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1950" cy="581025"/>
                          </a:xfrm>
                          <a:prstGeom prst="rect">
                            <a:avLst/>
                          </a:prstGeom>
                          <a:noFill/>
                          <a:ln>
                            <a:noFill/>
                          </a:ln>
                        </pic:spPr>
                      </pic:pic>
                    </a:graphicData>
                  </a:graphic>
                </wp:inline>
              </w:drawing>
            </w:r>
          </w:p>
          <w:p>
            <w:pPr>
              <w:widowControl w:val="0"/>
              <w:jc w:val="center"/>
            </w:pPr>
            <w:r>
              <w:rPr>
                <w:vanish/>
              </w:rPr>
              <w:t>(ženklas)</w:t>
            </w:r>
          </w:p>
        </w:tc>
        <w:tc>
          <w:tcPr>
            <w:tcW w:w="1716" w:type="dxa"/>
          </w:tcPr>
          <w:p>
            <w:pPr>
              <w:widowControl w:val="0"/>
            </w:pPr>
            <w:r>
              <w:t>Daugiagysliai besiliečiantys kabeliai ore</w:t>
            </w:r>
          </w:p>
          <w:p>
            <w:pPr>
              <w:widowControl w:val="0"/>
            </w:pPr>
            <w:r>
              <w:t>(atstumas iki sienos ne mažesnis kaip 0,3 kabelio skersmens)</w:t>
            </w:r>
          </w:p>
        </w:tc>
        <w:tc>
          <w:tcPr>
            <w:tcW w:w="888" w:type="dxa"/>
          </w:tcPr>
          <w:p>
            <w:pPr>
              <w:widowControl w:val="0"/>
              <w:jc w:val="center"/>
            </w:pPr>
            <w:r>
              <w:t>E</w:t>
            </w:r>
          </w:p>
        </w:tc>
        <w:tc>
          <w:tcPr>
            <w:tcW w:w="838" w:type="dxa"/>
          </w:tcPr>
          <w:p>
            <w:pPr>
              <w:widowControl w:val="0"/>
            </w:pPr>
            <w:r>
              <w:t xml:space="preserve">2 priedo </w:t>
              <w:br/>
              <w:t xml:space="preserve">7 lent. </w:t>
            </w:r>
          </w:p>
        </w:tc>
        <w:tc>
          <w:tcPr>
            <w:tcW w:w="839" w:type="dxa"/>
          </w:tcPr>
          <w:p>
            <w:pPr>
              <w:widowControl w:val="0"/>
            </w:pPr>
            <w:r>
              <w:t xml:space="preserve">2 priedo </w:t>
              <w:br/>
              <w:t>7 lent.</w:t>
            </w:r>
          </w:p>
        </w:tc>
        <w:tc>
          <w:tcPr>
            <w:tcW w:w="838" w:type="dxa"/>
            <w:gridSpan w:val="2"/>
          </w:tcPr>
          <w:p>
            <w:pPr>
              <w:widowControl w:val="0"/>
            </w:pPr>
            <w:r>
              <w:t xml:space="preserve">2 priedo </w:t>
              <w:br/>
              <w:t>8 lent.</w:t>
            </w:r>
          </w:p>
        </w:tc>
        <w:tc>
          <w:tcPr>
            <w:tcW w:w="839" w:type="dxa"/>
          </w:tcPr>
          <w:p>
            <w:pPr>
              <w:widowControl w:val="0"/>
            </w:pPr>
            <w:r>
              <w:t xml:space="preserve">2 priedo </w:t>
              <w:br/>
              <w:t>8 lent.</w:t>
            </w:r>
          </w:p>
        </w:tc>
        <w:tc>
          <w:tcPr>
            <w:tcW w:w="1084" w:type="dxa"/>
            <w:gridSpan w:val="2"/>
          </w:tcPr>
          <w:p>
            <w:pPr>
              <w:widowControl w:val="0"/>
            </w:pPr>
            <w:r>
              <w:t xml:space="preserve">2 priedo </w:t>
            </w:r>
          </w:p>
          <w:p>
            <w:pPr>
              <w:widowControl w:val="0"/>
            </w:pPr>
            <w:r>
              <w:t>6 lent.</w:t>
            </w:r>
          </w:p>
        </w:tc>
      </w:tr>
      <w:tr>
        <w:trPr>
          <w:cantSplit/>
          <w:trHeight w:val="20"/>
          <w:jc w:val="center"/>
        </w:trPr>
        <w:tc>
          <w:tcPr>
            <w:tcW w:w="1265" w:type="dxa"/>
            <w:vAlign w:val="center"/>
          </w:tcPr>
          <w:p>
            <w:pPr>
              <w:widowControl w:val="0"/>
              <w:jc w:val="center"/>
            </w:pPr>
            <w:r>
              <w:br w:type="page"/>
            </w:r>
            <w:r>
              <w:rPr>
                <w:lang w:eastAsia="lt-LT"/>
              </w:rPr>
              <w:drawing>
                <wp:inline distT="0" distB="0" distL="0" distR="0">
                  <wp:extent cx="438150" cy="666750"/>
                  <wp:effectExtent l="0" t="0" r="0" b="0"/>
                  <wp:docPr id="95" name="Picture 95" descr="8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8pav"/>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8150" cy="666750"/>
                          </a:xfrm>
                          <a:prstGeom prst="rect">
                            <a:avLst/>
                          </a:prstGeom>
                          <a:noFill/>
                          <a:ln>
                            <a:noFill/>
                          </a:ln>
                        </pic:spPr>
                      </pic:pic>
                    </a:graphicData>
                  </a:graphic>
                </wp:inline>
              </w:drawing>
            </w:r>
          </w:p>
          <w:p>
            <w:pPr>
              <w:widowControl w:val="0"/>
              <w:jc w:val="center"/>
            </w:pPr>
            <w:r>
              <w:rPr>
                <w:vanish/>
              </w:rPr>
              <w:t>(ženklas)</w:t>
            </w:r>
          </w:p>
        </w:tc>
        <w:tc>
          <w:tcPr>
            <w:tcW w:w="1716" w:type="dxa"/>
          </w:tcPr>
          <w:p>
            <w:pPr>
              <w:widowControl w:val="0"/>
            </w:pPr>
            <w:r>
              <w:t>Viengysliai besiliečiantys kabeliai ore</w:t>
            </w:r>
          </w:p>
          <w:p>
            <w:pPr>
              <w:widowControl w:val="0"/>
            </w:pPr>
            <w:r>
              <w:t>(atstumas iki sienos ne mažesnis kaip kabelio skersmuo)</w:t>
            </w:r>
          </w:p>
        </w:tc>
        <w:tc>
          <w:tcPr>
            <w:tcW w:w="888" w:type="dxa"/>
          </w:tcPr>
          <w:p>
            <w:pPr>
              <w:widowControl w:val="0"/>
              <w:jc w:val="center"/>
            </w:pPr>
            <w:r>
              <w:t>F</w:t>
            </w:r>
          </w:p>
        </w:tc>
        <w:tc>
          <w:tcPr>
            <w:tcW w:w="838" w:type="dxa"/>
          </w:tcPr>
          <w:p>
            <w:pPr>
              <w:widowControl w:val="0"/>
            </w:pPr>
            <w:r>
              <w:t xml:space="preserve">2 priedo </w:t>
              <w:br/>
              <w:t xml:space="preserve">7 lent. </w:t>
            </w:r>
          </w:p>
        </w:tc>
        <w:tc>
          <w:tcPr>
            <w:tcW w:w="839" w:type="dxa"/>
          </w:tcPr>
          <w:p>
            <w:pPr>
              <w:widowControl w:val="0"/>
            </w:pPr>
            <w:r>
              <w:t xml:space="preserve">2 priedo </w:t>
              <w:br/>
              <w:t>7 lent.</w:t>
            </w:r>
          </w:p>
        </w:tc>
        <w:tc>
          <w:tcPr>
            <w:tcW w:w="838" w:type="dxa"/>
            <w:gridSpan w:val="2"/>
          </w:tcPr>
          <w:p>
            <w:pPr>
              <w:widowControl w:val="0"/>
            </w:pPr>
            <w:r>
              <w:t xml:space="preserve">2 priedo </w:t>
              <w:br/>
              <w:t>8 lent.</w:t>
            </w:r>
          </w:p>
        </w:tc>
        <w:tc>
          <w:tcPr>
            <w:tcW w:w="839" w:type="dxa"/>
          </w:tcPr>
          <w:p>
            <w:pPr>
              <w:widowControl w:val="0"/>
            </w:pPr>
            <w:r>
              <w:t xml:space="preserve">2 priedo </w:t>
              <w:br/>
              <w:t>8 lent.</w:t>
            </w:r>
          </w:p>
        </w:tc>
        <w:tc>
          <w:tcPr>
            <w:tcW w:w="1084" w:type="dxa"/>
            <w:gridSpan w:val="2"/>
          </w:tcPr>
          <w:p>
            <w:pPr>
              <w:widowControl w:val="0"/>
            </w:pPr>
            <w:r>
              <w:t xml:space="preserve">2 priedo </w:t>
            </w:r>
          </w:p>
          <w:p>
            <w:pPr>
              <w:widowControl w:val="0"/>
            </w:pPr>
            <w:r>
              <w:t>6 lent.</w:t>
            </w:r>
          </w:p>
        </w:tc>
      </w:tr>
      <w:tr>
        <w:trPr>
          <w:cantSplit/>
          <w:trHeight w:val="20"/>
          <w:jc w:val="center"/>
        </w:trPr>
        <w:tc>
          <w:tcPr>
            <w:tcW w:w="1265" w:type="dxa"/>
            <w:vAlign w:val="center"/>
          </w:tcPr>
          <w:p>
            <w:pPr>
              <w:widowControl w:val="0"/>
              <w:jc w:val="center"/>
            </w:pPr>
            <w:r>
              <w:rPr>
                <w:lang w:eastAsia="lt-LT"/>
              </w:rPr>
              <w:drawing>
                <wp:inline distT="0" distB="0" distL="0" distR="0">
                  <wp:extent cx="590550" cy="857250"/>
                  <wp:effectExtent l="0" t="0" r="0" b="0"/>
                  <wp:docPr id="96" name="Picture 96" descr="9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pav"/>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0550" cy="857250"/>
                          </a:xfrm>
                          <a:prstGeom prst="rect">
                            <a:avLst/>
                          </a:prstGeom>
                          <a:noFill/>
                          <a:ln>
                            <a:noFill/>
                          </a:ln>
                        </pic:spPr>
                      </pic:pic>
                    </a:graphicData>
                  </a:graphic>
                </wp:inline>
              </w:drawing>
            </w:r>
          </w:p>
          <w:p>
            <w:pPr>
              <w:widowControl w:val="0"/>
              <w:jc w:val="center"/>
            </w:pPr>
            <w:r>
              <w:rPr>
                <w:vanish/>
              </w:rPr>
              <w:t>(ženklas)</w:t>
            </w:r>
          </w:p>
        </w:tc>
        <w:tc>
          <w:tcPr>
            <w:tcW w:w="1716" w:type="dxa"/>
          </w:tcPr>
          <w:p>
            <w:pPr>
              <w:widowControl w:val="0"/>
            </w:pPr>
            <w:r>
              <w:t>Viengysliai kabeliai su tarpais tarp jų ore</w:t>
            </w:r>
          </w:p>
        </w:tc>
        <w:tc>
          <w:tcPr>
            <w:tcW w:w="888" w:type="dxa"/>
          </w:tcPr>
          <w:p>
            <w:pPr>
              <w:widowControl w:val="0"/>
              <w:jc w:val="center"/>
            </w:pPr>
            <w:r>
              <w:t>G</w:t>
            </w:r>
          </w:p>
        </w:tc>
        <w:tc>
          <w:tcPr>
            <w:tcW w:w="838" w:type="dxa"/>
          </w:tcPr>
          <w:p>
            <w:pPr>
              <w:widowControl w:val="0"/>
            </w:pPr>
            <w:r>
              <w:t xml:space="preserve">2 priedo </w:t>
              <w:br/>
              <w:t>7 lent.</w:t>
            </w:r>
          </w:p>
        </w:tc>
        <w:tc>
          <w:tcPr>
            <w:tcW w:w="839" w:type="dxa"/>
          </w:tcPr>
          <w:p>
            <w:pPr>
              <w:widowControl w:val="0"/>
            </w:pPr>
            <w:r>
              <w:t xml:space="preserve">2 priedo </w:t>
              <w:br/>
              <w:t>7 lent.</w:t>
            </w:r>
          </w:p>
        </w:tc>
        <w:tc>
          <w:tcPr>
            <w:tcW w:w="838" w:type="dxa"/>
            <w:gridSpan w:val="2"/>
          </w:tcPr>
          <w:p>
            <w:pPr>
              <w:widowControl w:val="0"/>
            </w:pPr>
            <w:r>
              <w:t xml:space="preserve">2 priedo </w:t>
              <w:br/>
              <w:t>8 lent.</w:t>
            </w:r>
          </w:p>
        </w:tc>
        <w:tc>
          <w:tcPr>
            <w:tcW w:w="839" w:type="dxa"/>
          </w:tcPr>
          <w:p>
            <w:pPr>
              <w:widowControl w:val="0"/>
            </w:pPr>
            <w:r>
              <w:t xml:space="preserve">2 priedo </w:t>
              <w:br/>
              <w:t>8 lent.</w:t>
            </w:r>
          </w:p>
        </w:tc>
        <w:tc>
          <w:tcPr>
            <w:tcW w:w="1084" w:type="dxa"/>
            <w:gridSpan w:val="2"/>
          </w:tcPr>
          <w:p>
            <w:pPr>
              <w:widowControl w:val="0"/>
            </w:pPr>
            <w:r>
              <w:t xml:space="preserve">2 priedo </w:t>
            </w:r>
          </w:p>
          <w:p>
            <w:pPr>
              <w:widowControl w:val="0"/>
            </w:pPr>
            <w:r>
              <w:t>6 lent.</w:t>
            </w:r>
          </w:p>
        </w:tc>
      </w:tr>
    </w:tbl>
    <w:p>
      <w:pPr>
        <w:widowControl w:val="0"/>
        <w:ind w:firstLine="567"/>
        <w:jc w:val="both"/>
        <w:rPr>
          <w:b/>
          <w:bCs/>
          <w:caps/>
        </w:rPr>
      </w:pPr>
    </w:p>
    <w:p>
      <w:pPr>
        <w:widowControl w:val="0"/>
        <w:ind w:firstLine="567"/>
        <w:jc w:val="both"/>
        <w:rPr>
          <w:b/>
          <w:bCs/>
        </w:rPr>
      </w:pPr>
      <w:r>
        <w:rPr>
          <w:b/>
          <w:bCs/>
          <w:caps/>
        </w:rPr>
        <w:t xml:space="preserve">2 </w:t>
      </w:r>
      <w:r>
        <w:rPr>
          <w:b/>
          <w:bCs/>
        </w:rPr>
        <w:t>lentelė.</w:t>
      </w:r>
      <w:r>
        <w:rPr>
          <w:b/>
          <w:bCs/>
          <w:spacing w:val="40"/>
        </w:rPr>
        <w:t xml:space="preserve"> </w:t>
      </w:r>
      <w:r>
        <w:rPr>
          <w:b/>
          <w:bCs/>
        </w:rPr>
        <w:t>Instaliacijos būdai, kuriems taikomos 2 priedo 3–8 lentelėse nurodytos leistinosios ilgalaikės srovės</w:t>
      </w:r>
    </w:p>
    <w:p>
      <w:pPr>
        <w:widowControl w:val="0"/>
        <w:jc w:val="both"/>
        <w:rPr>
          <w:caps/>
        </w:rPr>
      </w:pPr>
    </w:p>
    <w:tbl>
      <w:tblPr>
        <w:tblW w:w="9011" w:type="dxa"/>
        <w:tblInd w:w="-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08"/>
        <w:gridCol w:w="1721"/>
        <w:gridCol w:w="3742"/>
        <w:gridCol w:w="2440"/>
      </w:tblGrid>
      <w:tr>
        <w:trPr>
          <w:cantSplit/>
          <w:trHeight w:val="20"/>
          <w:tblHeader/>
        </w:trPr>
        <w:tc>
          <w:tcPr>
            <w:tcW w:w="1108" w:type="dxa"/>
            <w:vAlign w:val="center"/>
          </w:tcPr>
          <w:p>
            <w:pPr>
              <w:widowControl w:val="0"/>
              <w:jc w:val="center"/>
            </w:pPr>
            <w:r>
              <w:rPr>
                <w:spacing w:val="-2"/>
              </w:rPr>
              <w:t>Instaliacijos</w:t>
            </w:r>
            <w:r>
              <w:t xml:space="preserve"> būdo numeris</w:t>
            </w:r>
          </w:p>
        </w:tc>
        <w:tc>
          <w:tcPr>
            <w:tcW w:w="1721" w:type="dxa"/>
            <w:vAlign w:val="center"/>
          </w:tcPr>
          <w:p>
            <w:pPr>
              <w:widowControl w:val="0"/>
              <w:jc w:val="center"/>
            </w:pPr>
            <w:r>
              <w:t>Instaliacijos būdo grafinis vaizdavimas</w:t>
            </w:r>
          </w:p>
        </w:tc>
        <w:tc>
          <w:tcPr>
            <w:tcW w:w="3742" w:type="dxa"/>
            <w:vAlign w:val="center"/>
          </w:tcPr>
          <w:p>
            <w:pPr>
              <w:widowControl w:val="0"/>
              <w:jc w:val="center"/>
            </w:pPr>
            <w:r>
              <w:t>Instaliacijos būdo charakteristika</w:t>
            </w:r>
          </w:p>
        </w:tc>
        <w:tc>
          <w:tcPr>
            <w:tcW w:w="2440" w:type="dxa"/>
            <w:vAlign w:val="center"/>
          </w:tcPr>
          <w:p>
            <w:pPr>
              <w:widowControl w:val="0"/>
              <w:jc w:val="center"/>
            </w:pPr>
            <w:r>
              <w:t>Sutartinis instaliacijos būdo žymuo</w:t>
            </w:r>
          </w:p>
        </w:tc>
      </w:tr>
      <w:tr>
        <w:tblPrEx>
          <w:tblCellMar>
            <w:left w:w="108" w:type="dxa"/>
            <w:right w:w="108" w:type="dxa"/>
          </w:tblCellMar>
        </w:tblPrEx>
        <w:trPr>
          <w:cantSplit/>
          <w:trHeight w:val="20"/>
        </w:trPr>
        <w:tc>
          <w:tcPr>
            <w:tcW w:w="1108" w:type="dxa"/>
            <w:vAlign w:val="center"/>
          </w:tcPr>
          <w:p>
            <w:pPr>
              <w:widowControl w:val="0"/>
              <w:jc w:val="center"/>
            </w:pPr>
            <w:r>
              <w:t>1</w:t>
            </w:r>
          </w:p>
        </w:tc>
        <w:tc>
          <w:tcPr>
            <w:tcW w:w="1721" w:type="dxa"/>
            <w:vAlign w:val="center"/>
          </w:tcPr>
          <w:p>
            <w:pPr>
              <w:widowControl w:val="0"/>
              <w:jc w:val="center"/>
            </w:pPr>
            <w:r>
              <w:rPr>
                <w:lang w:eastAsia="lt-LT"/>
              </w:rPr>
              <w:drawing>
                <wp:inline distT="0" distB="0" distL="0" distR="0">
                  <wp:extent cx="590550" cy="457200"/>
                  <wp:effectExtent l="0" t="0" r="0" b="0"/>
                  <wp:docPr id="97" name="Picture 97"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pav"/>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ir viengysliai kabeliai vamzdžiuose, šilumai nelaidžiose sienose</w:t>
            </w:r>
          </w:p>
        </w:tc>
        <w:tc>
          <w:tcPr>
            <w:tcW w:w="2440" w:type="dxa"/>
            <w:vAlign w:val="center"/>
          </w:tcPr>
          <w:p>
            <w:pPr>
              <w:widowControl w:val="0"/>
              <w:jc w:val="center"/>
            </w:pPr>
            <w:r>
              <w:t>A1</w:t>
            </w:r>
          </w:p>
        </w:tc>
      </w:tr>
      <w:tr>
        <w:tblPrEx>
          <w:tblCellMar>
            <w:left w:w="108" w:type="dxa"/>
            <w:right w:w="108" w:type="dxa"/>
          </w:tblCellMar>
        </w:tblPrEx>
        <w:trPr>
          <w:cantSplit/>
          <w:trHeight w:val="20"/>
        </w:trPr>
        <w:tc>
          <w:tcPr>
            <w:tcW w:w="1108" w:type="dxa"/>
            <w:vAlign w:val="center"/>
          </w:tcPr>
          <w:p>
            <w:pPr>
              <w:widowControl w:val="0"/>
              <w:jc w:val="center"/>
            </w:pPr>
            <w:r>
              <w:t>2</w:t>
            </w:r>
          </w:p>
        </w:tc>
        <w:tc>
          <w:tcPr>
            <w:tcW w:w="1721" w:type="dxa"/>
            <w:vAlign w:val="center"/>
          </w:tcPr>
          <w:p>
            <w:pPr>
              <w:widowControl w:val="0"/>
              <w:jc w:val="center"/>
            </w:pPr>
            <w:r>
              <w:object w:dxaOrig="945" w:dyaOrig="675">
                <v:shape id="_x0000_i1099" type="#_x0000_t75" style="width:47.2pt;height:33.6pt" o:ole="">
                  <v:imagedata r:id="rId179" o:title=""/>
                </v:shape>
                <o:OLEObject Type="Embed" ProgID="Word.Picture.8" ShapeID="_x0000_i1099" DrawAspect="Content" ObjectID="_0000000001" r:id="rId180"/>
              </w:object>
            </w:r>
          </w:p>
          <w:p>
            <w:pPr>
              <w:widowControl w:val="0"/>
              <w:jc w:val="center"/>
            </w:pPr>
            <w:r>
              <w:rPr>
                <w:vanish/>
              </w:rPr>
              <w:t>(ženklas)</w:t>
            </w:r>
          </w:p>
        </w:tc>
        <w:tc>
          <w:tcPr>
            <w:tcW w:w="3742" w:type="dxa"/>
            <w:vAlign w:val="center"/>
          </w:tcPr>
          <w:p>
            <w:pPr>
              <w:widowControl w:val="0"/>
            </w:pPr>
            <w:r>
              <w:t>Daugiagysliai kabeliai vamzdžiuose, šilumai nelaidžiose sienose</w:t>
            </w:r>
          </w:p>
        </w:tc>
        <w:tc>
          <w:tcPr>
            <w:tcW w:w="2440" w:type="dxa"/>
            <w:vAlign w:val="center"/>
          </w:tcPr>
          <w:p>
            <w:pPr>
              <w:widowControl w:val="0"/>
              <w:jc w:val="center"/>
            </w:pPr>
            <w:r>
              <w:t>A2</w:t>
            </w:r>
          </w:p>
        </w:tc>
      </w:tr>
      <w:tr>
        <w:tblPrEx>
          <w:tblCellMar>
            <w:left w:w="106" w:type="dxa"/>
            <w:right w:w="106" w:type="dxa"/>
          </w:tblCellMar>
        </w:tblPrEx>
        <w:trPr>
          <w:cantSplit/>
          <w:trHeight w:val="20"/>
        </w:trPr>
        <w:tc>
          <w:tcPr>
            <w:tcW w:w="1108" w:type="dxa"/>
            <w:vAlign w:val="center"/>
          </w:tcPr>
          <w:p>
            <w:pPr>
              <w:widowControl w:val="0"/>
              <w:jc w:val="center"/>
            </w:pPr>
            <w:r>
              <w:t>4</w:t>
            </w:r>
          </w:p>
        </w:tc>
        <w:tc>
          <w:tcPr>
            <w:tcW w:w="1721" w:type="dxa"/>
            <w:vAlign w:val="center"/>
          </w:tcPr>
          <w:p>
            <w:pPr>
              <w:widowControl w:val="0"/>
              <w:jc w:val="center"/>
            </w:pPr>
            <w:r>
              <w:rPr>
                <w:lang w:eastAsia="lt-LT"/>
              </w:rPr>
              <w:drawing>
                <wp:inline distT="0" distB="0" distL="0" distR="0">
                  <wp:extent cx="857250" cy="409575"/>
                  <wp:effectExtent l="0" t="0" r="0" b="0"/>
                  <wp:docPr id="99" name="Picture 99"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pav"/>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57250" cy="4095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ir viengysliai kabeliai vamzdžiuose ant medinių ar tinkuotų sienų (ar nutolę nuo jų ne didesniu kaip 0,3 vamzdžio skersmens atstumu)</w:t>
            </w:r>
          </w:p>
        </w:tc>
        <w:tc>
          <w:tcPr>
            <w:tcW w:w="2440" w:type="dxa"/>
            <w:vAlign w:val="center"/>
          </w:tcPr>
          <w:p>
            <w:pPr>
              <w:widowControl w:val="0"/>
              <w:jc w:val="center"/>
            </w:pPr>
            <w:r>
              <w:t>B1</w:t>
            </w:r>
          </w:p>
        </w:tc>
      </w:tr>
      <w:tr>
        <w:tblPrEx>
          <w:tblCellMar>
            <w:left w:w="106" w:type="dxa"/>
            <w:right w:w="106" w:type="dxa"/>
          </w:tblCellMar>
        </w:tblPrEx>
        <w:trPr>
          <w:cantSplit/>
          <w:trHeight w:val="20"/>
        </w:trPr>
        <w:tc>
          <w:tcPr>
            <w:tcW w:w="1108" w:type="dxa"/>
            <w:vAlign w:val="center"/>
          </w:tcPr>
          <w:p>
            <w:pPr>
              <w:widowControl w:val="0"/>
              <w:jc w:val="center"/>
            </w:pPr>
            <w:r>
              <w:t>5</w:t>
            </w:r>
          </w:p>
        </w:tc>
        <w:tc>
          <w:tcPr>
            <w:tcW w:w="1721" w:type="dxa"/>
            <w:vAlign w:val="center"/>
          </w:tcPr>
          <w:p>
            <w:pPr>
              <w:widowControl w:val="0"/>
              <w:jc w:val="center"/>
            </w:pPr>
            <w:r>
              <w:rPr>
                <w:lang w:eastAsia="lt-LT"/>
              </w:rPr>
              <w:drawing>
                <wp:inline distT="0" distB="0" distL="0" distR="0">
                  <wp:extent cx="857250" cy="400050"/>
                  <wp:effectExtent l="0" t="0" r="0" b="0"/>
                  <wp:docPr id="100" name="Picture 100" descr="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5pav"/>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Daugiagysliai kabeliai vamzdžiuose ant medinių ar tinkuotų sienų (ar nutolę nuo jų ne didesniu kaip 0,3 vamzdžio skersmens atstumu)</w:t>
            </w:r>
          </w:p>
        </w:tc>
        <w:tc>
          <w:tcPr>
            <w:tcW w:w="2440" w:type="dxa"/>
            <w:vAlign w:val="center"/>
          </w:tcPr>
          <w:p>
            <w:pPr>
              <w:widowControl w:val="0"/>
              <w:jc w:val="center"/>
            </w:pPr>
            <w:r>
              <w:t>B2</w:t>
            </w:r>
          </w:p>
        </w:tc>
      </w:tr>
      <w:tr>
        <w:tblPrEx>
          <w:tblCellMar>
            <w:left w:w="106" w:type="dxa"/>
            <w:right w:w="106" w:type="dxa"/>
          </w:tblCellMar>
        </w:tblPrEx>
        <w:trPr>
          <w:cantSplit/>
          <w:trHeight w:val="20"/>
        </w:trPr>
        <w:tc>
          <w:tcPr>
            <w:tcW w:w="1108" w:type="dxa"/>
            <w:vAlign w:val="center"/>
          </w:tcPr>
          <w:p>
            <w:pPr>
              <w:widowControl w:val="0"/>
              <w:jc w:val="center"/>
            </w:pPr>
            <w:r>
              <w:br w:type="page"/>
              <w:t>6</w:t>
            </w:r>
          </w:p>
          <w:p>
            <w:pPr>
              <w:widowControl w:val="0"/>
              <w:jc w:val="center"/>
            </w:pPr>
          </w:p>
          <w:p>
            <w:pPr>
              <w:widowControl w:val="0"/>
              <w:jc w:val="center"/>
            </w:pPr>
            <w:r>
              <w:t>7</w:t>
            </w:r>
          </w:p>
        </w:tc>
        <w:tc>
          <w:tcPr>
            <w:tcW w:w="1721" w:type="dxa"/>
            <w:vAlign w:val="center"/>
          </w:tcPr>
          <w:p>
            <w:pPr>
              <w:widowControl w:val="0"/>
              <w:jc w:val="center"/>
            </w:pPr>
            <w:r>
              <w:rPr>
                <w:lang w:eastAsia="lt-LT"/>
              </w:rPr>
              <w:drawing>
                <wp:inline distT="0" distB="0" distL="0" distR="0">
                  <wp:extent cx="857250" cy="600075"/>
                  <wp:effectExtent l="0" t="0" r="0" b="0"/>
                  <wp:docPr id="101" name="Picture 101" descr="6,7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7pav"/>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57250" cy="6000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ar viengysliai kabeliai vertikaliuose arba horizontaliuose kabelių loviuose ant medinių sienų</w:t>
            </w:r>
          </w:p>
        </w:tc>
        <w:tc>
          <w:tcPr>
            <w:tcW w:w="2440" w:type="dxa"/>
            <w:vAlign w:val="center"/>
          </w:tcPr>
          <w:p>
            <w:pPr>
              <w:widowControl w:val="0"/>
              <w:jc w:val="center"/>
            </w:pPr>
            <w:r>
              <w:t>B1</w:t>
            </w:r>
          </w:p>
        </w:tc>
      </w:tr>
      <w:tr>
        <w:tblPrEx>
          <w:tblCellMar>
            <w:left w:w="106" w:type="dxa"/>
            <w:right w:w="106" w:type="dxa"/>
          </w:tblCellMar>
        </w:tblPrEx>
        <w:trPr>
          <w:cantSplit/>
          <w:trHeight w:val="20"/>
        </w:trPr>
        <w:tc>
          <w:tcPr>
            <w:tcW w:w="1108" w:type="dxa"/>
            <w:vAlign w:val="center"/>
          </w:tcPr>
          <w:p>
            <w:pPr>
              <w:widowControl w:val="0"/>
              <w:jc w:val="center"/>
            </w:pPr>
            <w:r>
              <w:t>8</w:t>
            </w:r>
          </w:p>
          <w:p>
            <w:pPr>
              <w:widowControl w:val="0"/>
              <w:jc w:val="center"/>
            </w:pPr>
          </w:p>
          <w:p>
            <w:pPr>
              <w:widowControl w:val="0"/>
              <w:jc w:val="center"/>
            </w:pPr>
            <w:r>
              <w:t>9</w:t>
            </w:r>
          </w:p>
        </w:tc>
        <w:tc>
          <w:tcPr>
            <w:tcW w:w="1721" w:type="dxa"/>
            <w:vAlign w:val="center"/>
          </w:tcPr>
          <w:p>
            <w:pPr>
              <w:widowControl w:val="0"/>
              <w:jc w:val="center"/>
            </w:pPr>
            <w:r>
              <w:rPr>
                <w:lang w:eastAsia="lt-LT"/>
              </w:rPr>
              <w:drawing>
                <wp:inline distT="0" distB="0" distL="0" distR="0">
                  <wp:extent cx="857250" cy="666750"/>
                  <wp:effectExtent l="0" t="0" r="0" b="0"/>
                  <wp:docPr id="102" name="Picture 102" descr="8,9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8,9pav"/>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57250" cy="666750"/>
                          </a:xfrm>
                          <a:prstGeom prst="rect">
                            <a:avLst/>
                          </a:prstGeom>
                          <a:noFill/>
                          <a:ln>
                            <a:noFill/>
                          </a:ln>
                        </pic:spPr>
                      </pic:pic>
                    </a:graphicData>
                  </a:graphic>
                </wp:inline>
              </w:drawing>
            </w:r>
          </w:p>
          <w:p>
            <w:pPr>
              <w:widowControl w:val="0"/>
              <w:jc w:val="center"/>
            </w:pPr>
            <w:r>
              <w:rPr>
                <w:vanish/>
              </w:rPr>
              <w:t>(ženklas)</w:t>
            </w:r>
          </w:p>
        </w:tc>
        <w:tc>
          <w:tcPr>
            <w:tcW w:w="3742" w:type="dxa"/>
            <w:tcBorders>
              <w:bottom w:val="single" w:sz="2" w:space="0" w:color="auto"/>
            </w:tcBorders>
            <w:vAlign w:val="center"/>
          </w:tcPr>
          <w:p>
            <w:pPr>
              <w:widowControl w:val="0"/>
            </w:pPr>
            <w:r>
              <w:t>Daugiagysliai kabeliai vertikaliuose arba horizontaliuose kabelių loviuose ant medinių sienų</w:t>
            </w:r>
          </w:p>
        </w:tc>
        <w:tc>
          <w:tcPr>
            <w:tcW w:w="2440" w:type="dxa"/>
            <w:tcBorders>
              <w:bottom w:val="single" w:sz="2" w:space="0" w:color="auto"/>
            </w:tcBorders>
            <w:vAlign w:val="center"/>
          </w:tcPr>
          <w:p>
            <w:pPr>
              <w:widowControl w:val="0"/>
              <w:jc w:val="center"/>
            </w:pPr>
            <w:r>
              <w:t>B2</w:t>
            </w:r>
          </w:p>
        </w:tc>
      </w:tr>
      <w:tr>
        <w:tblPrEx>
          <w:tblCellMar>
            <w:left w:w="106" w:type="dxa"/>
            <w:right w:w="106" w:type="dxa"/>
          </w:tblCellMar>
        </w:tblPrEx>
        <w:trPr>
          <w:cantSplit/>
          <w:trHeight w:val="870"/>
        </w:trPr>
        <w:tc>
          <w:tcPr>
            <w:tcW w:w="1108" w:type="dxa"/>
            <w:vMerge w:val="restart"/>
            <w:vAlign w:val="center"/>
          </w:tcPr>
          <w:p>
            <w:pPr>
              <w:widowControl w:val="0"/>
              <w:jc w:val="center"/>
            </w:pPr>
            <w:r>
              <w:t>10</w:t>
            </w:r>
          </w:p>
          <w:p>
            <w:pPr>
              <w:widowControl w:val="0"/>
              <w:jc w:val="center"/>
            </w:pPr>
          </w:p>
          <w:p>
            <w:pPr>
              <w:widowControl w:val="0"/>
              <w:jc w:val="center"/>
            </w:pPr>
            <w:r>
              <w:t>11</w:t>
            </w:r>
          </w:p>
        </w:tc>
        <w:tc>
          <w:tcPr>
            <w:tcW w:w="1721" w:type="dxa"/>
            <w:vMerge w:val="restart"/>
            <w:vAlign w:val="center"/>
          </w:tcPr>
          <w:p>
            <w:pPr>
              <w:widowControl w:val="0"/>
              <w:jc w:val="center"/>
            </w:pPr>
            <w:r>
              <w:rPr>
                <w:lang w:eastAsia="lt-LT"/>
              </w:rPr>
              <w:drawing>
                <wp:inline distT="0" distB="0" distL="0" distR="0">
                  <wp:extent cx="857250" cy="714375"/>
                  <wp:effectExtent l="0" t="0" r="0" b="0"/>
                  <wp:docPr id="103" name="Picture 103" descr="10,1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0,11pav"/>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pPr>
              <w:widowControl w:val="0"/>
              <w:jc w:val="center"/>
            </w:pPr>
            <w:r>
              <w:rPr>
                <w:vanish/>
              </w:rPr>
              <w:t>(ženklas)</w:t>
            </w:r>
          </w:p>
        </w:tc>
        <w:tc>
          <w:tcPr>
            <w:tcW w:w="3742" w:type="dxa"/>
            <w:tcBorders>
              <w:bottom w:val="nil"/>
            </w:tcBorders>
            <w:vAlign w:val="center"/>
          </w:tcPr>
          <w:p>
            <w:pPr>
              <w:widowControl w:val="0"/>
            </w:pPr>
            <w:r>
              <w:t>Izoliuoti laidai arba viengysliai kabeliai pakabintuose kabelių loviuose.</w:t>
            </w:r>
          </w:p>
        </w:tc>
        <w:tc>
          <w:tcPr>
            <w:tcW w:w="2440" w:type="dxa"/>
            <w:tcBorders>
              <w:bottom w:val="nil"/>
            </w:tcBorders>
            <w:vAlign w:val="center"/>
          </w:tcPr>
          <w:p>
            <w:pPr>
              <w:widowControl w:val="0"/>
              <w:jc w:val="center"/>
            </w:pPr>
            <w:r>
              <w:t>B1</w:t>
            </w:r>
          </w:p>
        </w:tc>
      </w:tr>
      <w:tr>
        <w:tblPrEx>
          <w:tblCellMar>
            <w:left w:w="106" w:type="dxa"/>
            <w:right w:w="106" w:type="dxa"/>
          </w:tblCellMar>
        </w:tblPrEx>
        <w:trPr>
          <w:cantSplit/>
          <w:trHeight w:val="525"/>
        </w:trPr>
        <w:tc>
          <w:tcPr>
            <w:tcW w:w="1108" w:type="dxa"/>
            <w:vMerge/>
            <w:vAlign w:val="center"/>
          </w:tcPr>
          <w:p>
            <w:pPr>
              <w:widowControl w:val="0"/>
              <w:jc w:val="center"/>
            </w:pPr>
          </w:p>
        </w:tc>
        <w:tc>
          <w:tcPr>
            <w:tcW w:w="1721" w:type="dxa"/>
            <w:vMerge/>
            <w:vAlign w:val="center"/>
          </w:tcPr>
          <w:p>
            <w:pPr>
              <w:widowControl w:val="0"/>
              <w:jc w:val="center"/>
            </w:pPr>
          </w:p>
        </w:tc>
        <w:tc>
          <w:tcPr>
            <w:tcW w:w="3742" w:type="dxa"/>
            <w:tcBorders>
              <w:top w:val="nil"/>
            </w:tcBorders>
            <w:vAlign w:val="center"/>
          </w:tcPr>
          <w:p>
            <w:pPr>
              <w:widowControl w:val="0"/>
            </w:pPr>
            <w:r>
              <w:t>Daugiagysliai kabeliai pakabintuose kabelių loviuose</w:t>
            </w:r>
          </w:p>
        </w:tc>
        <w:tc>
          <w:tcPr>
            <w:tcW w:w="2440" w:type="dxa"/>
            <w:tcBorders>
              <w:top w:val="nil"/>
            </w:tcBorders>
            <w:vAlign w:val="center"/>
          </w:tcPr>
          <w:p>
            <w:pPr>
              <w:widowControl w:val="0"/>
              <w:jc w:val="center"/>
            </w:pPr>
            <w:r>
              <w:t>B2</w:t>
            </w:r>
          </w:p>
        </w:tc>
      </w:tr>
      <w:tr>
        <w:tblPrEx>
          <w:tblCellMar>
            <w:left w:w="106" w:type="dxa"/>
            <w:right w:w="106" w:type="dxa"/>
          </w:tblCellMar>
        </w:tblPrEx>
        <w:trPr>
          <w:cantSplit/>
          <w:trHeight w:val="20"/>
        </w:trPr>
        <w:tc>
          <w:tcPr>
            <w:tcW w:w="1108" w:type="dxa"/>
            <w:vAlign w:val="center"/>
          </w:tcPr>
          <w:p>
            <w:pPr>
              <w:widowControl w:val="0"/>
              <w:jc w:val="center"/>
            </w:pPr>
            <w:r>
              <w:t>12</w:t>
            </w:r>
          </w:p>
        </w:tc>
        <w:tc>
          <w:tcPr>
            <w:tcW w:w="1721" w:type="dxa"/>
            <w:vAlign w:val="center"/>
          </w:tcPr>
          <w:p>
            <w:pPr>
              <w:widowControl w:val="0"/>
              <w:jc w:val="center"/>
            </w:pPr>
            <w:r>
              <w:rPr>
                <w:lang w:eastAsia="lt-LT"/>
              </w:rPr>
              <w:drawing>
                <wp:inline distT="0" distB="0" distL="0" distR="0">
                  <wp:extent cx="485775" cy="876300"/>
                  <wp:effectExtent l="0" t="0" r="0" b="0"/>
                  <wp:docPr id="104" name="Picture 104" descr="12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2pav"/>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85775" cy="8763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arba viengysliai kabeliai montažiniuose loveliuose</w:t>
            </w:r>
          </w:p>
        </w:tc>
        <w:tc>
          <w:tcPr>
            <w:tcW w:w="2440" w:type="dxa"/>
            <w:vAlign w:val="center"/>
          </w:tcPr>
          <w:p>
            <w:pPr>
              <w:widowControl w:val="0"/>
              <w:jc w:val="center"/>
            </w:pPr>
            <w:r>
              <w:t>A1</w:t>
            </w:r>
          </w:p>
        </w:tc>
      </w:tr>
      <w:tr>
        <w:tblPrEx>
          <w:tblCellMar>
            <w:left w:w="106" w:type="dxa"/>
            <w:right w:w="106" w:type="dxa"/>
          </w:tblCellMar>
        </w:tblPrEx>
        <w:trPr>
          <w:cantSplit/>
          <w:trHeight w:val="20"/>
        </w:trPr>
        <w:tc>
          <w:tcPr>
            <w:tcW w:w="1108" w:type="dxa"/>
            <w:tcBorders>
              <w:bottom w:val="single" w:sz="2" w:space="0" w:color="auto"/>
            </w:tcBorders>
            <w:vAlign w:val="center"/>
          </w:tcPr>
          <w:p>
            <w:pPr>
              <w:widowControl w:val="0"/>
              <w:jc w:val="center"/>
            </w:pPr>
            <w:r>
              <w:t>15</w:t>
            </w:r>
          </w:p>
        </w:tc>
        <w:tc>
          <w:tcPr>
            <w:tcW w:w="1721" w:type="dxa"/>
            <w:tcBorders>
              <w:bottom w:val="single" w:sz="2" w:space="0" w:color="auto"/>
            </w:tcBorders>
            <w:vAlign w:val="center"/>
          </w:tcPr>
          <w:p>
            <w:pPr>
              <w:widowControl w:val="0"/>
              <w:jc w:val="center"/>
            </w:pPr>
            <w:r>
              <w:rPr>
                <w:lang w:eastAsia="lt-LT"/>
              </w:rPr>
              <w:drawing>
                <wp:inline distT="0" distB="0" distL="0" distR="0">
                  <wp:extent cx="952500" cy="333375"/>
                  <wp:effectExtent l="0" t="0" r="0" b="0"/>
                  <wp:docPr id="105" name="Picture 105" descr="1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5pav"/>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pPr>
              <w:widowControl w:val="0"/>
              <w:jc w:val="center"/>
            </w:pPr>
            <w:r>
              <w:rPr>
                <w:vanish/>
              </w:rPr>
              <w:t>(ženklas)</w:t>
            </w:r>
          </w:p>
        </w:tc>
        <w:tc>
          <w:tcPr>
            <w:tcW w:w="3742" w:type="dxa"/>
            <w:tcBorders>
              <w:bottom w:val="single" w:sz="2" w:space="0" w:color="auto"/>
            </w:tcBorders>
            <w:vAlign w:val="center"/>
          </w:tcPr>
          <w:p>
            <w:pPr>
              <w:widowControl w:val="0"/>
            </w:pPr>
            <w:r>
              <w:t>Izoliuoti laidai vamzdžiuose, viengyslis ir (ar) daugiagyslis kabelis dekoratyviniame lango apvade</w:t>
            </w:r>
          </w:p>
        </w:tc>
        <w:tc>
          <w:tcPr>
            <w:tcW w:w="2440" w:type="dxa"/>
            <w:tcBorders>
              <w:bottom w:val="single" w:sz="2" w:space="0" w:color="auto"/>
            </w:tcBorders>
            <w:vAlign w:val="center"/>
          </w:tcPr>
          <w:p>
            <w:pPr>
              <w:widowControl w:val="0"/>
              <w:jc w:val="center"/>
            </w:pPr>
            <w:r>
              <w:t>A1</w:t>
            </w:r>
          </w:p>
        </w:tc>
      </w:tr>
      <w:tr>
        <w:tblPrEx>
          <w:tblCellMar>
            <w:left w:w="106" w:type="dxa"/>
            <w:right w:w="106" w:type="dxa"/>
          </w:tblCellMar>
        </w:tblPrEx>
        <w:trPr>
          <w:cantSplit/>
          <w:trHeight w:val="20"/>
        </w:trPr>
        <w:tc>
          <w:tcPr>
            <w:tcW w:w="1108" w:type="dxa"/>
            <w:tcBorders>
              <w:bottom w:val="single" w:sz="2" w:space="0" w:color="auto"/>
            </w:tcBorders>
            <w:vAlign w:val="center"/>
          </w:tcPr>
          <w:p>
            <w:pPr>
              <w:widowControl w:val="0"/>
              <w:jc w:val="center"/>
            </w:pPr>
            <w:r>
              <w:t>16</w:t>
            </w:r>
          </w:p>
        </w:tc>
        <w:tc>
          <w:tcPr>
            <w:tcW w:w="1721" w:type="dxa"/>
            <w:tcBorders>
              <w:bottom w:val="single" w:sz="2" w:space="0" w:color="auto"/>
            </w:tcBorders>
            <w:vAlign w:val="center"/>
          </w:tcPr>
          <w:p>
            <w:pPr>
              <w:widowControl w:val="0"/>
              <w:jc w:val="center"/>
            </w:pPr>
            <w:r>
              <w:rPr>
                <w:lang w:eastAsia="lt-LT"/>
              </w:rPr>
              <w:drawing>
                <wp:inline distT="0" distB="0" distL="0" distR="0">
                  <wp:extent cx="971550" cy="171450"/>
                  <wp:effectExtent l="0" t="0" r="0" b="0"/>
                  <wp:docPr id="106" name="Picture 106" descr="16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6pav"/>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p>
          <w:p>
            <w:pPr>
              <w:widowControl w:val="0"/>
              <w:jc w:val="center"/>
            </w:pPr>
            <w:r>
              <w:rPr>
                <w:vanish/>
              </w:rPr>
              <w:t>(ženklas)</w:t>
            </w:r>
          </w:p>
        </w:tc>
        <w:tc>
          <w:tcPr>
            <w:tcW w:w="3742" w:type="dxa"/>
            <w:tcBorders>
              <w:bottom w:val="single" w:sz="2" w:space="0" w:color="auto"/>
            </w:tcBorders>
            <w:vAlign w:val="center"/>
          </w:tcPr>
          <w:p>
            <w:pPr>
              <w:widowControl w:val="0"/>
            </w:pPr>
            <w:r>
              <w:t>Izoliuoti laidai vamzdžiuose, viengysliai ir (ar) daugiagysliai kabeliai langų rėmuose</w:t>
            </w:r>
          </w:p>
        </w:tc>
        <w:tc>
          <w:tcPr>
            <w:tcW w:w="2440" w:type="dxa"/>
            <w:tcBorders>
              <w:bottom w:val="single" w:sz="2" w:space="0" w:color="auto"/>
            </w:tcBorders>
            <w:vAlign w:val="center"/>
          </w:tcPr>
          <w:p>
            <w:pPr>
              <w:widowControl w:val="0"/>
              <w:jc w:val="center"/>
            </w:pPr>
            <w:r>
              <w:t>A1</w:t>
            </w:r>
          </w:p>
        </w:tc>
      </w:tr>
      <w:tr>
        <w:tblPrEx>
          <w:tblCellMar>
            <w:left w:w="106" w:type="dxa"/>
            <w:right w:w="106" w:type="dxa"/>
          </w:tblCellMar>
        </w:tblPrEx>
        <w:trPr>
          <w:cantSplit/>
          <w:trHeight w:val="20"/>
        </w:trPr>
        <w:tc>
          <w:tcPr>
            <w:tcW w:w="1108" w:type="dxa"/>
            <w:tcBorders>
              <w:bottom w:val="single" w:sz="2" w:space="0" w:color="auto"/>
            </w:tcBorders>
            <w:vAlign w:val="center"/>
          </w:tcPr>
          <w:p>
            <w:pPr>
              <w:widowControl w:val="0"/>
              <w:jc w:val="center"/>
            </w:pPr>
            <w:r>
              <w:t>20</w:t>
            </w:r>
          </w:p>
        </w:tc>
        <w:tc>
          <w:tcPr>
            <w:tcW w:w="1721" w:type="dxa"/>
            <w:tcBorders>
              <w:bottom w:val="single" w:sz="2" w:space="0" w:color="auto"/>
            </w:tcBorders>
            <w:vAlign w:val="center"/>
          </w:tcPr>
          <w:p>
            <w:pPr>
              <w:widowControl w:val="0"/>
              <w:jc w:val="center"/>
            </w:pPr>
            <w:r>
              <w:rPr>
                <w:lang w:eastAsia="lt-LT"/>
              </w:rPr>
              <w:drawing>
                <wp:inline distT="0" distB="0" distL="0" distR="0">
                  <wp:extent cx="857250" cy="409575"/>
                  <wp:effectExtent l="0" t="0" r="0" b="0"/>
                  <wp:docPr id="107" name="Picture 107" descr="20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pav"/>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57250" cy="409575"/>
                          </a:xfrm>
                          <a:prstGeom prst="rect">
                            <a:avLst/>
                          </a:prstGeom>
                          <a:noFill/>
                          <a:ln>
                            <a:noFill/>
                          </a:ln>
                        </pic:spPr>
                      </pic:pic>
                    </a:graphicData>
                  </a:graphic>
                </wp:inline>
              </w:drawing>
            </w:r>
          </w:p>
          <w:p>
            <w:pPr>
              <w:widowControl w:val="0"/>
              <w:jc w:val="center"/>
            </w:pPr>
            <w:r>
              <w:rPr>
                <w:vanish/>
              </w:rPr>
              <w:t>(ženklas)</w:t>
            </w:r>
          </w:p>
        </w:tc>
        <w:tc>
          <w:tcPr>
            <w:tcW w:w="3742" w:type="dxa"/>
            <w:tcBorders>
              <w:bottom w:val="single" w:sz="2" w:space="0" w:color="auto"/>
            </w:tcBorders>
            <w:vAlign w:val="center"/>
          </w:tcPr>
          <w:p>
            <w:pPr>
              <w:widowControl w:val="0"/>
              <w:rPr>
                <w:spacing w:val="-2"/>
              </w:rPr>
            </w:pPr>
            <w:r>
              <w:rPr>
                <w:spacing w:val="-2"/>
              </w:rPr>
              <w:t>Viengysliai arba daugiagysliai kabeliai, pritvirtinti prie medinių sienų ar mažesniu kaip 0,3 kabelio skersmens atstumu nuo jų</w:t>
            </w:r>
          </w:p>
        </w:tc>
        <w:tc>
          <w:tcPr>
            <w:tcW w:w="2440" w:type="dxa"/>
            <w:tcBorders>
              <w:bottom w:val="single" w:sz="2" w:space="0" w:color="auto"/>
            </w:tcBorders>
            <w:vAlign w:val="center"/>
          </w:tcPr>
          <w:p>
            <w:pPr>
              <w:widowControl w:val="0"/>
              <w:jc w:val="center"/>
            </w:pPr>
            <w:r>
              <w:t>C</w:t>
            </w:r>
          </w:p>
        </w:tc>
      </w:tr>
      <w:tr>
        <w:tblPrEx>
          <w:tblCellMar>
            <w:left w:w="106" w:type="dxa"/>
            <w:right w:w="106" w:type="dxa"/>
          </w:tblCellMar>
        </w:tblPrEx>
        <w:trPr>
          <w:cantSplit/>
          <w:trHeight w:val="20"/>
        </w:trPr>
        <w:tc>
          <w:tcPr>
            <w:tcW w:w="1108" w:type="dxa"/>
            <w:tcBorders>
              <w:top w:val="single" w:sz="2" w:space="0" w:color="auto"/>
            </w:tcBorders>
            <w:vAlign w:val="center"/>
          </w:tcPr>
          <w:p>
            <w:pPr>
              <w:widowControl w:val="0"/>
              <w:jc w:val="center"/>
            </w:pPr>
            <w:r>
              <w:t>21</w:t>
            </w:r>
          </w:p>
        </w:tc>
        <w:tc>
          <w:tcPr>
            <w:tcW w:w="1721" w:type="dxa"/>
            <w:tcBorders>
              <w:top w:val="single" w:sz="2" w:space="0" w:color="auto"/>
            </w:tcBorders>
            <w:vAlign w:val="center"/>
          </w:tcPr>
          <w:p>
            <w:pPr>
              <w:widowControl w:val="0"/>
              <w:jc w:val="center"/>
            </w:pPr>
            <w:r>
              <w:rPr>
                <w:lang w:eastAsia="lt-LT"/>
              </w:rPr>
              <w:drawing>
                <wp:inline distT="0" distB="0" distL="0" distR="0">
                  <wp:extent cx="657225" cy="400050"/>
                  <wp:effectExtent l="0" t="0" r="0" b="0"/>
                  <wp:docPr id="108" name="Picture 108" descr="2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1pav"/>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p>
          <w:p>
            <w:pPr>
              <w:widowControl w:val="0"/>
              <w:jc w:val="center"/>
            </w:pPr>
            <w:r>
              <w:rPr>
                <w:vanish/>
              </w:rPr>
              <w:t>(ženklas)</w:t>
            </w:r>
          </w:p>
        </w:tc>
        <w:tc>
          <w:tcPr>
            <w:tcW w:w="3742" w:type="dxa"/>
            <w:tcBorders>
              <w:top w:val="single" w:sz="2" w:space="0" w:color="auto"/>
            </w:tcBorders>
            <w:vAlign w:val="center"/>
          </w:tcPr>
          <w:p>
            <w:pPr>
              <w:widowControl w:val="0"/>
            </w:pPr>
            <w:r>
              <w:t>Viengysliai arba daugiagysliai kabeliai, pritvirtinti prie medinių lubų</w:t>
            </w:r>
          </w:p>
        </w:tc>
        <w:tc>
          <w:tcPr>
            <w:tcW w:w="2440" w:type="dxa"/>
            <w:tcBorders>
              <w:top w:val="single" w:sz="2" w:space="0" w:color="auto"/>
            </w:tcBorders>
            <w:vAlign w:val="center"/>
          </w:tcPr>
          <w:p>
            <w:pPr>
              <w:widowControl w:val="0"/>
              <w:jc w:val="center"/>
            </w:pPr>
            <w:r>
              <w:t>C</w:t>
            </w:r>
          </w:p>
          <w:p>
            <w:pPr>
              <w:widowControl w:val="0"/>
              <w:jc w:val="center"/>
              <w:rPr>
                <w:spacing w:val="-4"/>
              </w:rPr>
            </w:pPr>
            <w:r>
              <w:rPr>
                <w:spacing w:val="-4"/>
              </w:rPr>
              <w:t>(pagal 2 priedo</w:t>
            </w:r>
          </w:p>
          <w:p>
            <w:pPr>
              <w:widowControl w:val="0"/>
              <w:jc w:val="center"/>
              <w:rPr>
                <w:spacing w:val="-4"/>
              </w:rPr>
            </w:pPr>
            <w:r>
              <w:rPr>
                <w:spacing w:val="-4"/>
              </w:rPr>
              <w:t>12 lentelės</w:t>
            </w:r>
          </w:p>
          <w:p>
            <w:pPr>
              <w:widowControl w:val="0"/>
              <w:jc w:val="center"/>
              <w:rPr>
                <w:spacing w:val="-4"/>
              </w:rPr>
            </w:pPr>
            <w:r>
              <w:rPr>
                <w:spacing w:val="-4"/>
              </w:rPr>
              <w:t>3 eilutę)</w:t>
            </w:r>
          </w:p>
        </w:tc>
      </w:tr>
      <w:tr>
        <w:tblPrEx>
          <w:tblCellMar>
            <w:left w:w="106" w:type="dxa"/>
            <w:right w:w="106" w:type="dxa"/>
          </w:tblCellMar>
        </w:tblPrEx>
        <w:trPr>
          <w:cantSplit/>
          <w:trHeight w:val="20"/>
        </w:trPr>
        <w:tc>
          <w:tcPr>
            <w:tcW w:w="1108" w:type="dxa"/>
            <w:vAlign w:val="center"/>
          </w:tcPr>
          <w:p>
            <w:pPr>
              <w:widowControl w:val="0"/>
              <w:jc w:val="center"/>
            </w:pPr>
            <w:r>
              <w:t>22</w:t>
            </w:r>
          </w:p>
        </w:tc>
        <w:tc>
          <w:tcPr>
            <w:tcW w:w="1721" w:type="dxa"/>
            <w:vAlign w:val="center"/>
          </w:tcPr>
          <w:p>
            <w:pPr>
              <w:widowControl w:val="0"/>
              <w:jc w:val="center"/>
            </w:pPr>
            <w:r>
              <w:rPr>
                <w:lang w:eastAsia="lt-LT"/>
              </w:rPr>
              <w:drawing>
                <wp:inline distT="0" distB="0" distL="0" distR="0">
                  <wp:extent cx="428625" cy="600075"/>
                  <wp:effectExtent l="0" t="0" r="0" b="0"/>
                  <wp:docPr id="109" name="Picture 109" descr="22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2pav"/>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atitraukti nuo medinių lubų</w:t>
            </w:r>
          </w:p>
        </w:tc>
        <w:tc>
          <w:tcPr>
            <w:tcW w:w="2440" w:type="dxa"/>
            <w:vAlign w:val="center"/>
          </w:tcPr>
          <w:p>
            <w:pPr>
              <w:widowControl w:val="0"/>
              <w:jc w:val="center"/>
            </w:pPr>
            <w:r>
              <w:t>Neapibrėžta</w:t>
            </w:r>
          </w:p>
        </w:tc>
      </w:tr>
      <w:tr>
        <w:tblPrEx>
          <w:tblCellMar>
            <w:left w:w="106" w:type="dxa"/>
            <w:right w:w="106" w:type="dxa"/>
          </w:tblCellMar>
        </w:tblPrEx>
        <w:trPr>
          <w:cantSplit/>
          <w:trHeight w:val="20"/>
        </w:trPr>
        <w:tc>
          <w:tcPr>
            <w:tcW w:w="1108" w:type="dxa"/>
            <w:vAlign w:val="center"/>
          </w:tcPr>
          <w:p>
            <w:pPr>
              <w:widowControl w:val="0"/>
              <w:jc w:val="center"/>
            </w:pPr>
            <w:r>
              <w:br w:type="page"/>
              <w:t>30</w:t>
            </w:r>
          </w:p>
        </w:tc>
        <w:tc>
          <w:tcPr>
            <w:tcW w:w="1721" w:type="dxa"/>
            <w:vAlign w:val="center"/>
          </w:tcPr>
          <w:p>
            <w:pPr>
              <w:widowControl w:val="0"/>
              <w:jc w:val="center"/>
            </w:pPr>
            <w:r>
              <w:rPr>
                <w:lang w:eastAsia="lt-LT"/>
              </w:rPr>
              <w:drawing>
                <wp:inline distT="0" distB="0" distL="0" distR="0">
                  <wp:extent cx="857250" cy="895350"/>
                  <wp:effectExtent l="0" t="0" r="0" b="0"/>
                  <wp:docPr id="110" name="Picture 110" descr="30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0pav"/>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neperforuotuose latakuose</w:t>
            </w:r>
          </w:p>
        </w:tc>
        <w:tc>
          <w:tcPr>
            <w:tcW w:w="2440" w:type="dxa"/>
            <w:vAlign w:val="center"/>
          </w:tcPr>
          <w:p>
            <w:pPr>
              <w:widowControl w:val="0"/>
              <w:jc w:val="center"/>
            </w:pPr>
            <w:r>
              <w:t>C</w:t>
            </w:r>
          </w:p>
          <w:p>
            <w:pPr>
              <w:widowControl w:val="0"/>
              <w:jc w:val="center"/>
              <w:rPr>
                <w:spacing w:val="-4"/>
              </w:rPr>
            </w:pPr>
            <w:r>
              <w:rPr>
                <w:spacing w:val="-4"/>
              </w:rPr>
              <w:t>(pagal 2 priedo</w:t>
            </w:r>
          </w:p>
          <w:p>
            <w:pPr>
              <w:widowControl w:val="0"/>
              <w:jc w:val="center"/>
              <w:rPr>
                <w:spacing w:val="-4"/>
              </w:rPr>
            </w:pPr>
            <w:r>
              <w:rPr>
                <w:spacing w:val="-4"/>
              </w:rPr>
              <w:t>12 lentelės</w:t>
            </w:r>
          </w:p>
          <w:p>
            <w:pPr>
              <w:widowControl w:val="0"/>
              <w:jc w:val="center"/>
              <w:rPr>
                <w:spacing w:val="-4"/>
              </w:rPr>
            </w:pPr>
            <w:r>
              <w:rPr>
                <w:spacing w:val="-4"/>
              </w:rPr>
              <w:t>2 eilutę)</w:t>
            </w:r>
          </w:p>
        </w:tc>
      </w:tr>
      <w:tr>
        <w:tblPrEx>
          <w:tblCellMar>
            <w:left w:w="106" w:type="dxa"/>
            <w:right w:w="106" w:type="dxa"/>
          </w:tblCellMar>
        </w:tblPrEx>
        <w:trPr>
          <w:cantSplit/>
          <w:trHeight w:val="20"/>
        </w:trPr>
        <w:tc>
          <w:tcPr>
            <w:tcW w:w="1108" w:type="dxa"/>
            <w:vAlign w:val="center"/>
          </w:tcPr>
          <w:p>
            <w:pPr>
              <w:widowControl w:val="0"/>
              <w:jc w:val="center"/>
            </w:pPr>
            <w:r>
              <w:t>31</w:t>
            </w:r>
          </w:p>
        </w:tc>
        <w:tc>
          <w:tcPr>
            <w:tcW w:w="1721" w:type="dxa"/>
            <w:vAlign w:val="center"/>
          </w:tcPr>
          <w:p>
            <w:pPr>
              <w:widowControl w:val="0"/>
              <w:jc w:val="center"/>
            </w:pPr>
            <w:r>
              <w:rPr>
                <w:lang w:eastAsia="lt-LT"/>
              </w:rPr>
              <w:drawing>
                <wp:inline distT="0" distB="0" distL="0" distR="0">
                  <wp:extent cx="857250" cy="914400"/>
                  <wp:effectExtent l="0" t="0" r="0" b="0"/>
                  <wp:docPr id="111" name="Picture 111" descr="3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1pav"/>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perforuotuose latakuose</w:t>
            </w:r>
          </w:p>
        </w:tc>
        <w:tc>
          <w:tcPr>
            <w:tcW w:w="2440" w:type="dxa"/>
            <w:vAlign w:val="center"/>
          </w:tcPr>
          <w:p>
            <w:pPr>
              <w:widowControl w:val="0"/>
              <w:jc w:val="center"/>
            </w:pPr>
            <w:r>
              <w:t>E arba F</w:t>
            </w:r>
          </w:p>
          <w:p>
            <w:pPr>
              <w:widowControl w:val="0"/>
              <w:jc w:val="center"/>
              <w:rPr>
                <w:spacing w:val="-4"/>
              </w:rPr>
            </w:pPr>
            <w:r>
              <w:rPr>
                <w:spacing w:val="-4"/>
              </w:rPr>
              <w:t>(pagal 2 priedo</w:t>
            </w:r>
          </w:p>
          <w:p>
            <w:pPr>
              <w:widowControl w:val="0"/>
              <w:jc w:val="center"/>
              <w:rPr>
                <w:spacing w:val="-4"/>
              </w:rPr>
            </w:pPr>
            <w:r>
              <w:rPr>
                <w:spacing w:val="-4"/>
              </w:rPr>
              <w:t>12 lentelės</w:t>
            </w:r>
          </w:p>
          <w:p>
            <w:pPr>
              <w:widowControl w:val="0"/>
              <w:jc w:val="center"/>
              <w:rPr>
                <w:spacing w:val="-4"/>
              </w:rPr>
            </w:pPr>
            <w:r>
              <w:rPr>
                <w:spacing w:val="-4"/>
              </w:rPr>
              <w:t>4 eilutę)</w:t>
            </w:r>
          </w:p>
        </w:tc>
      </w:tr>
      <w:tr>
        <w:tblPrEx>
          <w:tblCellMar>
            <w:left w:w="106" w:type="dxa"/>
            <w:right w:w="106" w:type="dxa"/>
          </w:tblCellMar>
        </w:tblPrEx>
        <w:trPr>
          <w:cantSplit/>
          <w:trHeight w:val="20"/>
        </w:trPr>
        <w:tc>
          <w:tcPr>
            <w:tcW w:w="1108" w:type="dxa"/>
            <w:vAlign w:val="center"/>
          </w:tcPr>
          <w:p>
            <w:pPr>
              <w:widowControl w:val="0"/>
              <w:jc w:val="center"/>
            </w:pPr>
            <w:r>
              <w:t>32</w:t>
            </w:r>
          </w:p>
        </w:tc>
        <w:tc>
          <w:tcPr>
            <w:tcW w:w="1721" w:type="dxa"/>
            <w:vAlign w:val="center"/>
          </w:tcPr>
          <w:p>
            <w:pPr>
              <w:widowControl w:val="0"/>
              <w:jc w:val="center"/>
            </w:pPr>
            <w:r>
              <w:rPr>
                <w:lang w:eastAsia="lt-LT"/>
              </w:rPr>
              <w:drawing>
                <wp:inline distT="0" distB="0" distL="0" distR="0">
                  <wp:extent cx="876300" cy="876300"/>
                  <wp:effectExtent l="0" t="0" r="0" b="0"/>
                  <wp:docPr id="112" name="Picture 112" descr="32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32pav"/>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ant lentynų arba vielinių tinklų</w:t>
            </w:r>
          </w:p>
        </w:tc>
        <w:tc>
          <w:tcPr>
            <w:tcW w:w="2440" w:type="dxa"/>
            <w:vAlign w:val="center"/>
          </w:tcPr>
          <w:p>
            <w:pPr>
              <w:widowControl w:val="0"/>
              <w:jc w:val="center"/>
            </w:pPr>
            <w:r>
              <w:t>E arba F</w:t>
            </w:r>
          </w:p>
        </w:tc>
      </w:tr>
      <w:tr>
        <w:tblPrEx>
          <w:tblCellMar>
            <w:left w:w="106" w:type="dxa"/>
            <w:right w:w="106" w:type="dxa"/>
          </w:tblCellMar>
        </w:tblPrEx>
        <w:trPr>
          <w:cantSplit/>
          <w:trHeight w:val="20"/>
        </w:trPr>
        <w:tc>
          <w:tcPr>
            <w:tcW w:w="1108" w:type="dxa"/>
            <w:vAlign w:val="center"/>
          </w:tcPr>
          <w:p>
            <w:pPr>
              <w:widowControl w:val="0"/>
              <w:jc w:val="center"/>
            </w:pPr>
            <w:r>
              <w:t>33</w:t>
            </w:r>
          </w:p>
        </w:tc>
        <w:tc>
          <w:tcPr>
            <w:tcW w:w="1721" w:type="dxa"/>
            <w:vAlign w:val="center"/>
          </w:tcPr>
          <w:p>
            <w:pPr>
              <w:widowControl w:val="0"/>
              <w:jc w:val="center"/>
            </w:pPr>
            <w:r>
              <w:rPr>
                <w:lang w:eastAsia="lt-LT"/>
              </w:rPr>
              <w:drawing>
                <wp:inline distT="0" distB="0" distL="0" distR="0">
                  <wp:extent cx="638175" cy="428625"/>
                  <wp:effectExtent l="0" t="0" r="0" b="0"/>
                  <wp:docPr id="113" name="Picture 113" descr="33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3pav"/>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pritvirtinti mažesniu kaip 0,3 kabelio skersmens atstumu nuo sienų</w:t>
            </w:r>
          </w:p>
        </w:tc>
        <w:tc>
          <w:tcPr>
            <w:tcW w:w="2440" w:type="dxa"/>
            <w:vAlign w:val="center"/>
          </w:tcPr>
          <w:p>
            <w:pPr>
              <w:widowControl w:val="0"/>
              <w:jc w:val="center"/>
            </w:pPr>
            <w:r>
              <w:t>E arba F</w:t>
            </w:r>
          </w:p>
          <w:p>
            <w:pPr>
              <w:widowControl w:val="0"/>
              <w:jc w:val="center"/>
              <w:rPr>
                <w:spacing w:val="-4"/>
              </w:rPr>
            </w:pPr>
            <w:r>
              <w:rPr>
                <w:spacing w:val="-4"/>
              </w:rPr>
              <w:t>(pagal 2 priedo</w:t>
            </w:r>
          </w:p>
          <w:p>
            <w:pPr>
              <w:widowControl w:val="0"/>
              <w:jc w:val="center"/>
              <w:rPr>
                <w:spacing w:val="-4"/>
              </w:rPr>
            </w:pPr>
            <w:r>
              <w:rPr>
                <w:spacing w:val="-4"/>
              </w:rPr>
              <w:t>12 lentelės</w:t>
            </w:r>
          </w:p>
          <w:p>
            <w:pPr>
              <w:widowControl w:val="0"/>
              <w:jc w:val="center"/>
              <w:rPr>
                <w:highlight w:val="yellow"/>
              </w:rPr>
            </w:pPr>
            <w:r>
              <w:rPr>
                <w:spacing w:val="-4"/>
              </w:rPr>
              <w:t>4 arba 5 eilutes</w:t>
            </w:r>
          </w:p>
        </w:tc>
      </w:tr>
      <w:tr>
        <w:tblPrEx>
          <w:tblCellMar>
            <w:left w:w="106" w:type="dxa"/>
            <w:right w:w="106" w:type="dxa"/>
          </w:tblCellMar>
        </w:tblPrEx>
        <w:trPr>
          <w:cantSplit/>
          <w:trHeight w:val="20"/>
        </w:trPr>
        <w:tc>
          <w:tcPr>
            <w:tcW w:w="1108" w:type="dxa"/>
            <w:tcBorders>
              <w:top w:val="single" w:sz="2" w:space="0" w:color="auto"/>
            </w:tcBorders>
            <w:vAlign w:val="center"/>
          </w:tcPr>
          <w:p>
            <w:pPr>
              <w:widowControl w:val="0"/>
              <w:jc w:val="center"/>
            </w:pPr>
            <w:r>
              <w:t>34</w:t>
            </w:r>
          </w:p>
        </w:tc>
        <w:tc>
          <w:tcPr>
            <w:tcW w:w="1721" w:type="dxa"/>
            <w:tcBorders>
              <w:top w:val="single" w:sz="2" w:space="0" w:color="auto"/>
            </w:tcBorders>
            <w:vAlign w:val="center"/>
          </w:tcPr>
          <w:p>
            <w:pPr>
              <w:widowControl w:val="0"/>
              <w:jc w:val="center"/>
            </w:pPr>
            <w:r>
              <w:rPr>
                <w:lang w:eastAsia="lt-LT"/>
              </w:rPr>
              <w:drawing>
                <wp:inline distT="0" distB="0" distL="0" distR="0">
                  <wp:extent cx="504825" cy="1104900"/>
                  <wp:effectExtent l="0" t="0" r="0" b="0"/>
                  <wp:docPr id="114" name="Picture 114" descr="3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34pav"/>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4825" cy="1104900"/>
                          </a:xfrm>
                          <a:prstGeom prst="rect">
                            <a:avLst/>
                          </a:prstGeom>
                          <a:noFill/>
                          <a:ln>
                            <a:noFill/>
                          </a:ln>
                        </pic:spPr>
                      </pic:pic>
                    </a:graphicData>
                  </a:graphic>
                </wp:inline>
              </w:drawing>
            </w:r>
          </w:p>
          <w:p>
            <w:pPr>
              <w:widowControl w:val="0"/>
              <w:jc w:val="center"/>
            </w:pPr>
            <w:r>
              <w:rPr>
                <w:vanish/>
              </w:rPr>
              <w:t>(ženklas)</w:t>
            </w:r>
          </w:p>
        </w:tc>
        <w:tc>
          <w:tcPr>
            <w:tcW w:w="3742" w:type="dxa"/>
            <w:tcBorders>
              <w:top w:val="single" w:sz="2" w:space="0" w:color="auto"/>
            </w:tcBorders>
            <w:vAlign w:val="center"/>
          </w:tcPr>
          <w:p>
            <w:pPr>
              <w:widowControl w:val="0"/>
            </w:pPr>
            <w:r>
              <w:t>Viengysliai arba daugiagysliai kabeliai ant kopėčių tipo atraminių konstrukcijų</w:t>
            </w:r>
          </w:p>
        </w:tc>
        <w:tc>
          <w:tcPr>
            <w:tcW w:w="2440" w:type="dxa"/>
            <w:tcBorders>
              <w:top w:val="single" w:sz="2" w:space="0" w:color="auto"/>
            </w:tcBorders>
            <w:vAlign w:val="center"/>
          </w:tcPr>
          <w:p>
            <w:pPr>
              <w:widowControl w:val="0"/>
              <w:jc w:val="center"/>
            </w:pPr>
            <w:r>
              <w:t>E arba F</w:t>
            </w:r>
          </w:p>
        </w:tc>
      </w:tr>
      <w:tr>
        <w:tblPrEx>
          <w:tblCellMar>
            <w:left w:w="106" w:type="dxa"/>
            <w:right w:w="106" w:type="dxa"/>
          </w:tblCellMar>
        </w:tblPrEx>
        <w:trPr>
          <w:cantSplit/>
          <w:trHeight w:val="20"/>
        </w:trPr>
        <w:tc>
          <w:tcPr>
            <w:tcW w:w="1108" w:type="dxa"/>
            <w:vAlign w:val="center"/>
          </w:tcPr>
          <w:p>
            <w:pPr>
              <w:widowControl w:val="0"/>
              <w:jc w:val="center"/>
            </w:pPr>
            <w:r>
              <w:t>35</w:t>
            </w:r>
          </w:p>
        </w:tc>
        <w:tc>
          <w:tcPr>
            <w:tcW w:w="1721" w:type="dxa"/>
            <w:vAlign w:val="center"/>
          </w:tcPr>
          <w:p>
            <w:pPr>
              <w:widowControl w:val="0"/>
              <w:jc w:val="center"/>
            </w:pPr>
            <w:r>
              <w:rPr>
                <w:lang w:eastAsia="lt-LT"/>
              </w:rPr>
              <w:drawing>
                <wp:inline distT="0" distB="0" distL="0" distR="0">
                  <wp:extent cx="752475" cy="533400"/>
                  <wp:effectExtent l="0" t="0" r="0" b="0"/>
                  <wp:docPr id="115" name="Picture 115" descr="3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5pav"/>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pakabinti ant atskirų lynų arba ant lynų, esančių bendrame apvalkale</w:t>
            </w:r>
          </w:p>
        </w:tc>
        <w:tc>
          <w:tcPr>
            <w:tcW w:w="2440" w:type="dxa"/>
            <w:vAlign w:val="center"/>
          </w:tcPr>
          <w:p>
            <w:pPr>
              <w:widowControl w:val="0"/>
              <w:jc w:val="center"/>
            </w:pPr>
            <w:r>
              <w:t>E arba F</w:t>
            </w:r>
          </w:p>
        </w:tc>
      </w:tr>
      <w:tr>
        <w:tblPrEx>
          <w:tblCellMar>
            <w:left w:w="106" w:type="dxa"/>
            <w:right w:w="106" w:type="dxa"/>
          </w:tblCellMar>
        </w:tblPrEx>
        <w:trPr>
          <w:trHeight w:val="20"/>
        </w:trPr>
        <w:tc>
          <w:tcPr>
            <w:tcW w:w="1108" w:type="dxa"/>
            <w:vAlign w:val="center"/>
          </w:tcPr>
          <w:p>
            <w:pPr>
              <w:widowControl w:val="0"/>
              <w:jc w:val="center"/>
            </w:pPr>
            <w:r>
              <w:t>36</w:t>
            </w:r>
          </w:p>
        </w:tc>
        <w:tc>
          <w:tcPr>
            <w:tcW w:w="1721" w:type="dxa"/>
            <w:vAlign w:val="center"/>
          </w:tcPr>
          <w:p>
            <w:pPr>
              <w:widowControl w:val="0"/>
              <w:jc w:val="center"/>
            </w:pPr>
            <w:r>
              <w:rPr>
                <w:lang w:eastAsia="lt-LT"/>
              </w:rPr>
              <w:drawing>
                <wp:inline distT="0" distB="0" distL="0" distR="0">
                  <wp:extent cx="819150" cy="457200"/>
                  <wp:effectExtent l="0" t="0" r="0" b="0"/>
                  <wp:docPr id="116" name="Picture 116" descr="36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36pav"/>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Neizoliuoti arba izoliuoti laidai ant izoliatorių</w:t>
            </w:r>
          </w:p>
        </w:tc>
        <w:tc>
          <w:tcPr>
            <w:tcW w:w="2440" w:type="dxa"/>
            <w:vAlign w:val="center"/>
          </w:tcPr>
          <w:p>
            <w:pPr>
              <w:widowControl w:val="0"/>
              <w:jc w:val="center"/>
            </w:pPr>
            <w:r>
              <w:t>G</w:t>
            </w:r>
          </w:p>
        </w:tc>
      </w:tr>
      <w:tr>
        <w:tblPrEx>
          <w:tblCellMar>
            <w:left w:w="106" w:type="dxa"/>
            <w:right w:w="106" w:type="dxa"/>
          </w:tblCellMar>
        </w:tblPrEx>
        <w:trPr>
          <w:trHeight w:val="20"/>
        </w:trPr>
        <w:tc>
          <w:tcPr>
            <w:tcW w:w="1108" w:type="dxa"/>
            <w:vAlign w:val="center"/>
          </w:tcPr>
          <w:p>
            <w:pPr>
              <w:widowControl w:val="0"/>
              <w:jc w:val="center"/>
            </w:pPr>
            <w:r>
              <w:t>40</w:t>
            </w:r>
          </w:p>
        </w:tc>
        <w:tc>
          <w:tcPr>
            <w:tcW w:w="1721" w:type="dxa"/>
            <w:vAlign w:val="center"/>
          </w:tcPr>
          <w:p>
            <w:pPr>
              <w:widowControl w:val="0"/>
              <w:jc w:val="center"/>
            </w:pPr>
            <w:r>
              <w:rPr>
                <w:lang w:eastAsia="lt-LT"/>
              </w:rPr>
              <w:drawing>
                <wp:inline distT="0" distB="0" distL="0" distR="0">
                  <wp:extent cx="819150" cy="485775"/>
                  <wp:effectExtent l="0" t="0" r="0" b="0"/>
                  <wp:docPr id="117" name="Picture 117" descr="40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0pav"/>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statinių ertmėse</w:t>
            </w:r>
          </w:p>
        </w:tc>
        <w:tc>
          <w:tcPr>
            <w:tcW w:w="2440" w:type="dxa"/>
            <w:vAlign w:val="center"/>
          </w:tcPr>
          <w:p>
            <w:pPr>
              <w:widowControl w:val="0"/>
              <w:jc w:val="center"/>
              <w:rPr>
                <w:vertAlign w:val="subscript"/>
              </w:rPr>
            </w:pPr>
            <w:r>
              <w:t>1,5D</w:t>
            </w:r>
            <w:r>
              <w:rPr>
                <w:vertAlign w:val="subscript"/>
              </w:rPr>
              <w:t xml:space="preserve">e </w:t>
            </w:r>
            <w:r>
              <w:rPr>
                <w:position w:val="-4"/>
                <w:vertAlign w:val="subscript"/>
              </w:rPr>
              <w:object w:dxaOrig="195" w:dyaOrig="240">
                <v:shape id="_x0000_i1100" type="#_x0000_t75" style="width:9.6pt;height:12pt" o:ole="">
                  <v:imagedata r:id="rId200" o:title=""/>
                </v:shape>
                <o:OLEObject Type="Embed" ProgID="Equation.3" ShapeID="_x0000_i1100" DrawAspect="Content" ObjectID="_0000000001" r:id="rId201"/>
              </w:object>
            </w:r>
            <w:r>
              <w:rPr>
                <w:vanish/>
                <w:lang w:val="en-US"/>
              </w:rPr>
              <w:t>&lt;=</w:t>
            </w:r>
            <w:r>
              <w:t>V&lt;5D</w:t>
            </w:r>
            <w:r>
              <w:rPr>
                <w:vertAlign w:val="subscript"/>
              </w:rPr>
              <w:t>e</w:t>
            </w:r>
          </w:p>
          <w:p>
            <w:pPr>
              <w:widowControl w:val="0"/>
              <w:jc w:val="center"/>
            </w:pPr>
            <w:r>
              <w:t>B2</w:t>
            </w:r>
          </w:p>
          <w:p>
            <w:pPr>
              <w:widowControl w:val="0"/>
              <w:jc w:val="center"/>
              <w:rPr>
                <w:vertAlign w:val="subscript"/>
              </w:rPr>
            </w:pPr>
            <w:r>
              <w:t>5D</w:t>
            </w:r>
            <w:r>
              <w:rPr>
                <w:vertAlign w:val="subscript"/>
              </w:rPr>
              <w:t>e</w:t>
            </w:r>
            <w:r>
              <w:rPr>
                <w:position w:val="-4"/>
                <w:vertAlign w:val="subscript"/>
              </w:rPr>
              <w:object w:dxaOrig="195" w:dyaOrig="240">
                <v:shape id="_x0000_i1101" type="#_x0000_t75" style="width:9.6pt;height:12pt" o:ole="">
                  <v:imagedata r:id="rId202" o:title=""/>
                </v:shape>
                <o:OLEObject Type="Embed" ProgID="Equation.3" ShapeID="_x0000_i1101" DrawAspect="Content" ObjectID="_0000000001" r:id="rId203"/>
              </w:object>
            </w:r>
            <w:r>
              <w:rPr>
                <w:vanish/>
                <w:lang w:val="en-US"/>
              </w:rPr>
              <w:t>&lt;=</w:t>
            </w:r>
            <w:r>
              <w:t>V&lt;50D</w:t>
            </w:r>
            <w:r>
              <w:rPr>
                <w:vertAlign w:val="subscript"/>
              </w:rPr>
              <w:t>e</w:t>
            </w:r>
          </w:p>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41</w:t>
            </w:r>
          </w:p>
        </w:tc>
        <w:tc>
          <w:tcPr>
            <w:tcW w:w="1721" w:type="dxa"/>
            <w:vAlign w:val="center"/>
          </w:tcPr>
          <w:p>
            <w:pPr>
              <w:widowControl w:val="0"/>
              <w:jc w:val="center"/>
            </w:pPr>
            <w:r>
              <w:rPr>
                <w:lang w:eastAsia="lt-LT"/>
              </w:rPr>
              <w:drawing>
                <wp:inline distT="0" distB="0" distL="0" distR="0">
                  <wp:extent cx="809625" cy="476250"/>
                  <wp:effectExtent l="0" t="0" r="0" b="0"/>
                  <wp:docPr id="120" name="Picture 120" descr="4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41pav"/>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09625" cy="47625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vamzdžiuose, statinių ertmėse</w:t>
            </w:r>
          </w:p>
        </w:tc>
        <w:tc>
          <w:tcPr>
            <w:tcW w:w="2440" w:type="dxa"/>
            <w:vAlign w:val="center"/>
          </w:tcPr>
          <w:p>
            <w:pPr>
              <w:widowControl w:val="0"/>
              <w:jc w:val="center"/>
              <w:rPr>
                <w:spacing w:val="-8"/>
                <w:vertAlign w:val="subscript"/>
              </w:rPr>
            </w:pPr>
            <w:r>
              <w:rPr>
                <w:spacing w:val="-8"/>
              </w:rPr>
              <w:t>1,5D</w:t>
            </w:r>
            <w:r>
              <w:rPr>
                <w:spacing w:val="-8"/>
                <w:vertAlign w:val="subscript"/>
              </w:rPr>
              <w:t>e</w:t>
            </w:r>
            <w:r>
              <w:rPr>
                <w:position w:val="-4"/>
                <w:vertAlign w:val="subscript"/>
              </w:rPr>
              <w:object w:dxaOrig="195" w:dyaOrig="240">
                <v:shape id="_x0000_i1102" type="#_x0000_t75" style="width:9.6pt;height:12pt" o:ole="">
                  <v:imagedata r:id="rId205" o:title=""/>
                </v:shape>
                <o:OLEObject Type="Embed" ProgID="Equation.3" ShapeID="_x0000_i1102" DrawAspect="Content" ObjectID="_0000000001" r:id="rId206"/>
              </w:object>
            </w:r>
            <w:r>
              <w:rPr>
                <w:vanish/>
                <w:lang w:val="en-US"/>
              </w:rPr>
              <w:t>&lt;=</w:t>
            </w:r>
            <w:r>
              <w:rPr>
                <w:spacing w:val="-8"/>
              </w:rPr>
              <w:t>V</w:t>
            </w:r>
            <w:r>
              <w:t>&lt;</w:t>
            </w:r>
            <w:r>
              <w:rPr>
                <w:spacing w:val="-8"/>
              </w:rPr>
              <w:t>20D</w:t>
            </w:r>
            <w:r>
              <w:rPr>
                <w:spacing w:val="-8"/>
                <w:vertAlign w:val="subscript"/>
              </w:rPr>
              <w:t>e</w:t>
            </w:r>
          </w:p>
          <w:p>
            <w:pPr>
              <w:widowControl w:val="0"/>
              <w:jc w:val="center"/>
            </w:pPr>
            <w:r>
              <w:t>B2</w:t>
            </w:r>
          </w:p>
          <w:p>
            <w:pPr>
              <w:widowControl w:val="0"/>
              <w:jc w:val="center"/>
            </w:pPr>
            <w:r>
              <w:t>V</w:t>
            </w:r>
            <w:r>
              <w:rPr>
                <w:position w:val="-4"/>
              </w:rPr>
              <w:object w:dxaOrig="195" w:dyaOrig="240">
                <v:shape id="_x0000_i1103" type="#_x0000_t75" style="width:9.6pt;height:12pt" o:ole="">
                  <v:imagedata r:id="rId207" o:title=""/>
                </v:shape>
                <o:OLEObject Type="Embed" ProgID="Equation.3" ShapeID="_x0000_i1103" DrawAspect="Content" ObjectID="_0000000001" r:id="rId208"/>
              </w:object>
            </w:r>
            <w:r>
              <w:rPr>
                <w:vanish/>
                <w:lang w:val="en-US"/>
              </w:rPr>
              <w:t>&gt;=</w:t>
            </w:r>
            <w:r>
              <w:t>20D</w:t>
            </w:r>
            <w:r>
              <w:rPr>
                <w:vertAlign w:val="subscript"/>
              </w:rPr>
              <w:t>e</w:t>
            </w:r>
          </w:p>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42</w:t>
            </w:r>
          </w:p>
        </w:tc>
        <w:tc>
          <w:tcPr>
            <w:tcW w:w="1721" w:type="dxa"/>
            <w:vAlign w:val="center"/>
          </w:tcPr>
          <w:p>
            <w:pPr>
              <w:widowControl w:val="0"/>
              <w:jc w:val="center"/>
            </w:pPr>
            <w:r>
              <w:rPr>
                <w:lang w:eastAsia="lt-LT"/>
              </w:rPr>
              <w:drawing>
                <wp:inline distT="0" distB="0" distL="0" distR="0">
                  <wp:extent cx="790575" cy="485775"/>
                  <wp:effectExtent l="0" t="0" r="0" b="0"/>
                  <wp:docPr id="123" name="Picture 123" descr="42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2pav"/>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vamzdžiuose, statinių ertmėse</w:t>
            </w:r>
          </w:p>
        </w:tc>
        <w:tc>
          <w:tcPr>
            <w:tcW w:w="2440" w:type="dxa"/>
            <w:vAlign w:val="center"/>
          </w:tcPr>
          <w:p>
            <w:pPr>
              <w:widowControl w:val="0"/>
              <w:jc w:val="center"/>
            </w:pPr>
            <w:r>
              <w:t>Neapibrėžta</w:t>
            </w:r>
          </w:p>
        </w:tc>
      </w:tr>
      <w:tr>
        <w:tblPrEx>
          <w:tblCellMar>
            <w:left w:w="106" w:type="dxa"/>
            <w:right w:w="106" w:type="dxa"/>
          </w:tblCellMar>
        </w:tblPrEx>
        <w:trPr>
          <w:trHeight w:val="20"/>
        </w:trPr>
        <w:tc>
          <w:tcPr>
            <w:tcW w:w="1108" w:type="dxa"/>
            <w:vAlign w:val="center"/>
          </w:tcPr>
          <w:p>
            <w:pPr>
              <w:widowControl w:val="0"/>
              <w:jc w:val="center"/>
            </w:pPr>
            <w:r>
              <w:t>43</w:t>
            </w:r>
          </w:p>
        </w:tc>
        <w:tc>
          <w:tcPr>
            <w:tcW w:w="1721" w:type="dxa"/>
            <w:vAlign w:val="center"/>
          </w:tcPr>
          <w:p>
            <w:pPr>
              <w:widowControl w:val="0"/>
              <w:jc w:val="center"/>
            </w:pPr>
            <w:r>
              <w:rPr>
                <w:lang w:eastAsia="lt-LT"/>
              </w:rPr>
              <w:drawing>
                <wp:inline distT="0" distB="0" distL="0" distR="0">
                  <wp:extent cx="923925" cy="371475"/>
                  <wp:effectExtent l="0" t="0" r="0" b="0"/>
                  <wp:docPr id="124" name="Picture 124" descr="43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43pav"/>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kabelių kanaluose, statinių ertmėse</w:t>
            </w:r>
          </w:p>
        </w:tc>
        <w:tc>
          <w:tcPr>
            <w:tcW w:w="2440" w:type="dxa"/>
            <w:vAlign w:val="center"/>
          </w:tcPr>
          <w:p>
            <w:pPr>
              <w:widowControl w:val="0"/>
              <w:jc w:val="center"/>
              <w:rPr>
                <w:spacing w:val="-8"/>
                <w:vertAlign w:val="subscript"/>
              </w:rPr>
            </w:pPr>
            <w:r>
              <w:rPr>
                <w:spacing w:val="-8"/>
              </w:rPr>
              <w:t>1,5D</w:t>
            </w:r>
            <w:r>
              <w:rPr>
                <w:spacing w:val="-8"/>
                <w:vertAlign w:val="subscript"/>
              </w:rPr>
              <w:t>e</w:t>
            </w:r>
            <w:r>
              <w:rPr>
                <w:position w:val="-4"/>
                <w:vertAlign w:val="subscript"/>
              </w:rPr>
              <w:object w:dxaOrig="195" w:dyaOrig="240">
                <v:shape id="_x0000_i1104" type="#_x0000_t75" style="width:9.6pt;height:12pt" o:ole="">
                  <v:imagedata r:id="rId211" o:title=""/>
                </v:shape>
                <o:OLEObject Type="Embed" ProgID="Equation.3" ShapeID="_x0000_i1104" DrawAspect="Content" ObjectID="_0000000001" r:id="rId212"/>
              </w:object>
            </w:r>
            <w:r>
              <w:rPr>
                <w:vanish/>
                <w:lang w:val="en-US"/>
              </w:rPr>
              <w:t>&lt;=</w:t>
            </w:r>
            <w:r>
              <w:rPr>
                <w:spacing w:val="-8"/>
              </w:rPr>
              <w:t>V</w:t>
            </w:r>
            <w:r>
              <w:t>&lt;</w:t>
            </w:r>
            <w:r>
              <w:rPr>
                <w:spacing w:val="-8"/>
              </w:rPr>
              <w:t>20D</w:t>
            </w:r>
            <w:r>
              <w:rPr>
                <w:spacing w:val="-8"/>
                <w:vertAlign w:val="subscript"/>
              </w:rPr>
              <w:t>e</w:t>
            </w:r>
          </w:p>
          <w:p>
            <w:pPr>
              <w:widowControl w:val="0"/>
              <w:jc w:val="center"/>
            </w:pPr>
            <w:r>
              <w:t>B2</w:t>
            </w:r>
          </w:p>
          <w:p>
            <w:pPr>
              <w:widowControl w:val="0"/>
              <w:jc w:val="center"/>
            </w:pPr>
            <w:r>
              <w:t>V</w:t>
            </w:r>
            <w:r>
              <w:rPr>
                <w:position w:val="-4"/>
              </w:rPr>
              <w:object w:dxaOrig="195" w:dyaOrig="240">
                <v:shape id="_x0000_i1105" type="#_x0000_t75" style="width:9.6pt;height:12pt" o:ole="">
                  <v:imagedata r:id="rId213" o:title=""/>
                </v:shape>
                <o:OLEObject Type="Embed" ProgID="Equation.3" ShapeID="_x0000_i1105" DrawAspect="Content" ObjectID="_0000000001" r:id="rId214"/>
              </w:object>
            </w:r>
            <w:r>
              <w:rPr>
                <w:vanish/>
                <w:lang w:val="en-US"/>
              </w:rPr>
              <w:t>&gt;=</w:t>
            </w:r>
            <w:r>
              <w:t>20D</w:t>
            </w:r>
            <w:r>
              <w:rPr>
                <w:vertAlign w:val="subscript"/>
              </w:rPr>
              <w:t>e</w:t>
            </w:r>
          </w:p>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44</w:t>
            </w:r>
          </w:p>
        </w:tc>
        <w:tc>
          <w:tcPr>
            <w:tcW w:w="1721" w:type="dxa"/>
            <w:vAlign w:val="center"/>
          </w:tcPr>
          <w:p>
            <w:pPr>
              <w:widowControl w:val="0"/>
              <w:jc w:val="center"/>
            </w:pPr>
            <w:r>
              <w:rPr>
                <w:lang w:eastAsia="lt-LT"/>
              </w:rPr>
              <w:drawing>
                <wp:inline distT="0" distB="0" distL="0" distR="0">
                  <wp:extent cx="923925" cy="371475"/>
                  <wp:effectExtent l="0" t="0" r="0" b="0"/>
                  <wp:docPr id="127" name="Picture 127" descr="4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44pav"/>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kabelių kanaluose, statinių ertmėse</w:t>
            </w:r>
          </w:p>
        </w:tc>
        <w:tc>
          <w:tcPr>
            <w:tcW w:w="2440" w:type="dxa"/>
            <w:vAlign w:val="center"/>
          </w:tcPr>
          <w:p>
            <w:pPr>
              <w:widowControl w:val="0"/>
              <w:jc w:val="center"/>
            </w:pPr>
            <w:r>
              <w:t>Neapibrėžta</w:t>
            </w:r>
          </w:p>
        </w:tc>
      </w:tr>
      <w:tr>
        <w:tblPrEx>
          <w:tblCellMar>
            <w:left w:w="106" w:type="dxa"/>
            <w:right w:w="106" w:type="dxa"/>
          </w:tblCellMar>
        </w:tblPrEx>
        <w:trPr>
          <w:trHeight w:val="20"/>
        </w:trPr>
        <w:tc>
          <w:tcPr>
            <w:tcW w:w="1108" w:type="dxa"/>
            <w:vAlign w:val="center"/>
          </w:tcPr>
          <w:p>
            <w:pPr>
              <w:widowControl w:val="0"/>
              <w:jc w:val="center"/>
            </w:pPr>
            <w:r>
              <w:t>45</w:t>
            </w:r>
          </w:p>
        </w:tc>
        <w:tc>
          <w:tcPr>
            <w:tcW w:w="1721" w:type="dxa"/>
            <w:vAlign w:val="center"/>
          </w:tcPr>
          <w:p>
            <w:pPr>
              <w:widowControl w:val="0"/>
              <w:jc w:val="center"/>
            </w:pPr>
            <w:r>
              <w:rPr>
                <w:lang w:eastAsia="lt-LT"/>
              </w:rPr>
              <w:drawing>
                <wp:inline distT="0" distB="0" distL="0" distR="0">
                  <wp:extent cx="933450" cy="409575"/>
                  <wp:effectExtent l="0" t="0" r="0" b="0"/>
                  <wp:docPr id="128" name="Picture 128" descr="4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45pav"/>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kabelių kanaluose, sienų mūriniuose, kurių savitoji šiluminė varža ne didesnė kaip 2 K·m\W</w:t>
            </w:r>
          </w:p>
        </w:tc>
        <w:tc>
          <w:tcPr>
            <w:tcW w:w="2440" w:type="dxa"/>
            <w:vAlign w:val="center"/>
          </w:tcPr>
          <w:p>
            <w:pPr>
              <w:widowControl w:val="0"/>
              <w:jc w:val="center"/>
              <w:rPr>
                <w:vertAlign w:val="subscript"/>
              </w:rPr>
            </w:pPr>
            <w:r>
              <w:t>1,5D</w:t>
            </w:r>
            <w:r>
              <w:rPr>
                <w:vertAlign w:val="subscript"/>
              </w:rPr>
              <w:t>e</w:t>
            </w:r>
            <w:r>
              <w:rPr>
                <w:position w:val="-4"/>
                <w:vertAlign w:val="subscript"/>
              </w:rPr>
              <w:object w:dxaOrig="195" w:dyaOrig="240">
                <v:shape id="_x0000_i1106" type="#_x0000_t75" style="width:9.6pt;height:12pt" o:ole="">
                  <v:imagedata r:id="rId217" o:title=""/>
                </v:shape>
                <o:OLEObject Type="Embed" ProgID="Equation.3" ShapeID="_x0000_i1106" DrawAspect="Content" ObjectID="_0000000001" r:id="rId218"/>
              </w:object>
            </w:r>
            <w:r>
              <w:rPr>
                <w:vanish/>
                <w:lang w:val="en-US"/>
              </w:rPr>
              <w:t>&lt;=</w:t>
            </w:r>
            <w:r>
              <w:t>V&lt;5D</w:t>
            </w:r>
            <w:r>
              <w:rPr>
                <w:vertAlign w:val="subscript"/>
              </w:rPr>
              <w:t>e</w:t>
            </w:r>
          </w:p>
          <w:p>
            <w:pPr>
              <w:widowControl w:val="0"/>
              <w:jc w:val="center"/>
            </w:pPr>
            <w:r>
              <w:t>B2</w:t>
            </w:r>
          </w:p>
          <w:p>
            <w:pPr>
              <w:widowControl w:val="0"/>
              <w:jc w:val="center"/>
              <w:rPr>
                <w:vertAlign w:val="subscript"/>
              </w:rPr>
            </w:pPr>
            <w:r>
              <w:t>5D</w:t>
            </w:r>
            <w:r>
              <w:rPr>
                <w:vertAlign w:val="subscript"/>
              </w:rPr>
              <w:t>e</w:t>
            </w:r>
            <w:r>
              <w:rPr>
                <w:position w:val="-4"/>
                <w:vertAlign w:val="subscript"/>
              </w:rPr>
              <w:object w:dxaOrig="195" w:dyaOrig="240">
                <v:shape id="_x0000_i1107" type="#_x0000_t75" style="width:9.6pt;height:12pt" o:ole="">
                  <v:imagedata r:id="rId219" o:title=""/>
                </v:shape>
                <o:OLEObject Type="Embed" ProgID="Equation.3" ShapeID="_x0000_i1107" DrawAspect="Content" ObjectID="_0000000001" r:id="rId220"/>
              </w:object>
            </w:r>
            <w:r>
              <w:rPr>
                <w:vanish/>
                <w:lang w:val="en-US"/>
              </w:rPr>
              <w:t>&lt;=</w:t>
            </w:r>
            <w:r>
              <w:t>V&lt;50D</w:t>
            </w:r>
            <w:r>
              <w:rPr>
                <w:vertAlign w:val="subscript"/>
              </w:rPr>
              <w:t>e</w:t>
            </w:r>
          </w:p>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46</w:t>
            </w:r>
          </w:p>
        </w:tc>
        <w:tc>
          <w:tcPr>
            <w:tcW w:w="1721" w:type="dxa"/>
            <w:vAlign w:val="center"/>
          </w:tcPr>
          <w:p>
            <w:pPr>
              <w:widowControl w:val="0"/>
              <w:jc w:val="center"/>
            </w:pPr>
            <w:r>
              <w:object w:dxaOrig="1335" w:dyaOrig="630">
                <v:shape id="_x0000_i1108" type="#_x0000_t75" style="width:66.4pt;height:31.2pt" o:ole="">
                  <v:imagedata r:id="rId221" o:title=""/>
                </v:shape>
                <o:OLEObject Type="Embed" ProgID="Word.Picture.8" ShapeID="_x0000_i1108" DrawAspect="Content" ObjectID="_0000000001" r:id="rId222"/>
              </w:object>
            </w:r>
          </w:p>
          <w:p>
            <w:pPr>
              <w:widowControl w:val="0"/>
              <w:jc w:val="center"/>
            </w:pPr>
            <w:r>
              <w:rPr>
                <w:vanish/>
              </w:rPr>
              <w:t>(ženklas)</w:t>
            </w:r>
          </w:p>
        </w:tc>
        <w:tc>
          <w:tcPr>
            <w:tcW w:w="3742" w:type="dxa"/>
            <w:vAlign w:val="center"/>
          </w:tcPr>
          <w:p>
            <w:pPr>
              <w:widowControl w:val="0"/>
              <w:rPr>
                <w:spacing w:val="-4"/>
              </w:rPr>
            </w:pPr>
            <w:r>
              <w:rPr>
                <w:spacing w:val="-4"/>
              </w:rPr>
              <w:t>Viengysliai arba daugiagysliai kabeliai kabelių kanaluose, sienų mūriniuose, kurių savitoji šiluminė varža ne didesnė kaip 2K·m\W</w:t>
            </w:r>
          </w:p>
        </w:tc>
        <w:tc>
          <w:tcPr>
            <w:tcW w:w="2440" w:type="dxa"/>
            <w:vAlign w:val="center"/>
          </w:tcPr>
          <w:p>
            <w:pPr>
              <w:widowControl w:val="0"/>
              <w:jc w:val="center"/>
            </w:pPr>
            <w:r>
              <w:t>Neapibrėžta</w:t>
            </w:r>
          </w:p>
        </w:tc>
      </w:tr>
      <w:tr>
        <w:tblPrEx>
          <w:tblCellMar>
            <w:left w:w="106" w:type="dxa"/>
            <w:right w:w="106" w:type="dxa"/>
          </w:tblCellMar>
        </w:tblPrEx>
        <w:trPr>
          <w:trHeight w:val="20"/>
        </w:trPr>
        <w:tc>
          <w:tcPr>
            <w:tcW w:w="1108" w:type="dxa"/>
            <w:vAlign w:val="center"/>
          </w:tcPr>
          <w:p>
            <w:pPr>
              <w:widowControl w:val="0"/>
              <w:jc w:val="center"/>
            </w:pPr>
            <w:r>
              <w:t>47</w:t>
            </w:r>
          </w:p>
        </w:tc>
        <w:tc>
          <w:tcPr>
            <w:tcW w:w="1721" w:type="dxa"/>
            <w:vAlign w:val="center"/>
          </w:tcPr>
          <w:p>
            <w:pPr>
              <w:widowControl w:val="0"/>
              <w:jc w:val="center"/>
            </w:pPr>
            <w:r>
              <w:rPr>
                <w:lang w:eastAsia="lt-LT"/>
              </w:rPr>
              <w:drawing>
                <wp:inline distT="0" distB="0" distL="0" distR="0">
                  <wp:extent cx="923925" cy="485775"/>
                  <wp:effectExtent l="0" t="0" r="0" b="0"/>
                  <wp:docPr id="132" name="Picture 132" descr="47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47pav"/>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perdangų ertmėse arba pakabinamosiose grindyse</w:t>
            </w:r>
          </w:p>
        </w:tc>
        <w:tc>
          <w:tcPr>
            <w:tcW w:w="2440" w:type="dxa"/>
            <w:vAlign w:val="center"/>
          </w:tcPr>
          <w:p>
            <w:pPr>
              <w:widowControl w:val="0"/>
              <w:jc w:val="center"/>
              <w:rPr>
                <w:vertAlign w:val="subscript"/>
              </w:rPr>
            </w:pPr>
            <w:r>
              <w:t>1,5D</w:t>
            </w:r>
            <w:r>
              <w:rPr>
                <w:vertAlign w:val="subscript"/>
              </w:rPr>
              <w:t>e</w:t>
            </w:r>
            <w:r>
              <w:rPr>
                <w:position w:val="-4"/>
                <w:vertAlign w:val="subscript"/>
              </w:rPr>
              <w:object w:dxaOrig="195" w:dyaOrig="240">
                <v:shape id="_x0000_i1109" type="#_x0000_t75" style="width:9.6pt;height:12pt" o:ole="">
                  <v:imagedata r:id="rId224" o:title=""/>
                </v:shape>
                <o:OLEObject Type="Embed" ProgID="Equation.3" ShapeID="_x0000_i1109" DrawAspect="Content" ObjectID="_0000000001" r:id="rId225"/>
              </w:object>
            </w:r>
            <w:r>
              <w:rPr>
                <w:vanish/>
                <w:lang w:val="en-US"/>
              </w:rPr>
              <w:t>&lt;=</w:t>
            </w:r>
            <w:r>
              <w:t>V&lt;5D</w:t>
            </w:r>
            <w:r>
              <w:rPr>
                <w:vertAlign w:val="subscript"/>
              </w:rPr>
              <w:t>e</w:t>
            </w:r>
          </w:p>
          <w:p>
            <w:pPr>
              <w:widowControl w:val="0"/>
              <w:jc w:val="center"/>
            </w:pPr>
            <w:r>
              <w:t>B2</w:t>
            </w:r>
          </w:p>
          <w:p>
            <w:pPr>
              <w:widowControl w:val="0"/>
              <w:jc w:val="center"/>
              <w:rPr>
                <w:vertAlign w:val="subscript"/>
              </w:rPr>
            </w:pPr>
            <w:r>
              <w:t>5D</w:t>
            </w:r>
            <w:r>
              <w:rPr>
                <w:vertAlign w:val="subscript"/>
              </w:rPr>
              <w:t>e</w:t>
            </w:r>
            <w:r>
              <w:rPr>
                <w:position w:val="-4"/>
                <w:vertAlign w:val="subscript"/>
              </w:rPr>
              <w:object w:dxaOrig="195" w:dyaOrig="240">
                <v:shape id="_x0000_i1110" type="#_x0000_t75" style="width:9.6pt;height:12pt" o:ole="">
                  <v:imagedata r:id="rId226" o:title=""/>
                </v:shape>
                <o:OLEObject Type="Embed" ProgID="Equation.3" ShapeID="_x0000_i1110" DrawAspect="Content" ObjectID="_0000000001" r:id="rId227"/>
              </w:object>
            </w:r>
            <w:r>
              <w:rPr>
                <w:vanish/>
                <w:lang w:val="en-US"/>
              </w:rPr>
              <w:t>&lt;=</w:t>
            </w:r>
            <w:r>
              <w:t>V&lt;50D</w:t>
            </w:r>
            <w:r>
              <w:rPr>
                <w:vertAlign w:val="subscript"/>
              </w:rPr>
              <w:t>e</w:t>
            </w:r>
          </w:p>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50</w:t>
            </w:r>
          </w:p>
        </w:tc>
        <w:tc>
          <w:tcPr>
            <w:tcW w:w="1721" w:type="dxa"/>
            <w:vAlign w:val="center"/>
          </w:tcPr>
          <w:p>
            <w:pPr>
              <w:widowControl w:val="0"/>
              <w:jc w:val="center"/>
            </w:pPr>
            <w:r>
              <w:rPr>
                <w:lang w:eastAsia="lt-LT"/>
              </w:rPr>
              <w:drawing>
                <wp:inline distT="0" distB="0" distL="0" distR="0">
                  <wp:extent cx="981075" cy="419100"/>
                  <wp:effectExtent l="0" t="0" r="0" b="0"/>
                  <wp:docPr id="135" name="Picture 135" descr="50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0pav"/>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rPr>
                <w:spacing w:val="-4"/>
              </w:rPr>
            </w:pPr>
            <w:r>
              <w:rPr>
                <w:spacing w:val="-4"/>
              </w:rPr>
              <w:t>Izoliuoti laidai arba viengysliai kabeliai iš viršaus uždengiamuose kabelių kanaluose grindyse</w:t>
            </w:r>
          </w:p>
        </w:tc>
        <w:tc>
          <w:tcPr>
            <w:tcW w:w="2440" w:type="dxa"/>
            <w:vAlign w:val="center"/>
          </w:tcPr>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51</w:t>
            </w:r>
          </w:p>
        </w:tc>
        <w:tc>
          <w:tcPr>
            <w:tcW w:w="1721" w:type="dxa"/>
            <w:vAlign w:val="center"/>
          </w:tcPr>
          <w:p>
            <w:pPr>
              <w:widowControl w:val="0"/>
              <w:jc w:val="center"/>
            </w:pPr>
            <w:r>
              <w:rPr>
                <w:lang w:eastAsia="lt-LT"/>
              </w:rPr>
              <w:drawing>
                <wp:inline distT="0" distB="0" distL="0" distR="0">
                  <wp:extent cx="952500" cy="381000"/>
                  <wp:effectExtent l="0" t="0" r="0" b="0"/>
                  <wp:docPr id="136" name="Picture 136" descr="5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1pav"/>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Daugiagysliai kabeliai iš viršaus uždengiamuose kabelių kanaluose grindyse</w:t>
            </w:r>
          </w:p>
        </w:tc>
        <w:tc>
          <w:tcPr>
            <w:tcW w:w="2440" w:type="dxa"/>
            <w:vAlign w:val="center"/>
          </w:tcPr>
          <w:p>
            <w:pPr>
              <w:widowControl w:val="0"/>
              <w:jc w:val="center"/>
            </w:pPr>
            <w:r>
              <w:t>B2</w:t>
            </w:r>
          </w:p>
        </w:tc>
      </w:tr>
      <w:tr>
        <w:tblPrEx>
          <w:tblCellMar>
            <w:left w:w="106" w:type="dxa"/>
            <w:right w:w="106" w:type="dxa"/>
          </w:tblCellMar>
        </w:tblPrEx>
        <w:trPr>
          <w:trHeight w:val="1005"/>
        </w:trPr>
        <w:tc>
          <w:tcPr>
            <w:tcW w:w="1108" w:type="dxa"/>
            <w:vMerge w:val="restart"/>
            <w:vAlign w:val="center"/>
          </w:tcPr>
          <w:p>
            <w:pPr>
              <w:widowControl w:val="0"/>
              <w:jc w:val="center"/>
            </w:pPr>
            <w:r>
              <w:t>52</w:t>
            </w:r>
          </w:p>
          <w:p>
            <w:pPr>
              <w:widowControl w:val="0"/>
              <w:jc w:val="center"/>
            </w:pPr>
          </w:p>
          <w:p>
            <w:pPr>
              <w:widowControl w:val="0"/>
              <w:jc w:val="center"/>
            </w:pPr>
            <w:r>
              <w:t>53</w:t>
            </w:r>
          </w:p>
        </w:tc>
        <w:tc>
          <w:tcPr>
            <w:tcW w:w="1721" w:type="dxa"/>
            <w:vMerge w:val="restart"/>
            <w:vAlign w:val="center"/>
          </w:tcPr>
          <w:p>
            <w:pPr>
              <w:widowControl w:val="0"/>
              <w:jc w:val="center"/>
            </w:pPr>
            <w:r>
              <w:rPr>
                <w:lang w:eastAsia="lt-LT"/>
              </w:rPr>
              <w:drawing>
                <wp:inline distT="0" distB="0" distL="0" distR="0">
                  <wp:extent cx="723900" cy="1038225"/>
                  <wp:effectExtent l="0" t="0" r="0" b="0"/>
                  <wp:docPr id="137" name="Picture 137" descr="52-53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52-53pav"/>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p>
            <w:pPr>
              <w:widowControl w:val="0"/>
              <w:jc w:val="center"/>
            </w:pPr>
            <w:r>
              <w:rPr>
                <w:vanish/>
              </w:rPr>
              <w:t>(ženklas)</w:t>
            </w:r>
          </w:p>
        </w:tc>
        <w:tc>
          <w:tcPr>
            <w:tcW w:w="3742" w:type="dxa"/>
            <w:tcBorders>
              <w:bottom w:val="nil"/>
            </w:tcBorders>
            <w:vAlign w:val="center"/>
          </w:tcPr>
          <w:p>
            <w:pPr>
              <w:widowControl w:val="0"/>
            </w:pPr>
            <w:r>
              <w:t>Izoliuoti laidai arba viengysliai kabeliai įstatytuose kanaluose.</w:t>
            </w:r>
          </w:p>
        </w:tc>
        <w:tc>
          <w:tcPr>
            <w:tcW w:w="2440" w:type="dxa"/>
            <w:tcBorders>
              <w:bottom w:val="nil"/>
            </w:tcBorders>
            <w:vAlign w:val="center"/>
          </w:tcPr>
          <w:p>
            <w:pPr>
              <w:widowControl w:val="0"/>
              <w:jc w:val="center"/>
            </w:pPr>
            <w:r>
              <w:t>B1</w:t>
            </w:r>
          </w:p>
        </w:tc>
      </w:tr>
      <w:tr>
        <w:tblPrEx>
          <w:tblCellMar>
            <w:left w:w="106" w:type="dxa"/>
            <w:right w:w="106" w:type="dxa"/>
          </w:tblCellMar>
        </w:tblPrEx>
        <w:trPr>
          <w:trHeight w:val="900"/>
        </w:trPr>
        <w:tc>
          <w:tcPr>
            <w:tcW w:w="1108" w:type="dxa"/>
            <w:vMerge/>
            <w:vAlign w:val="center"/>
          </w:tcPr>
          <w:p>
            <w:pPr>
              <w:widowControl w:val="0"/>
              <w:jc w:val="center"/>
            </w:pPr>
          </w:p>
        </w:tc>
        <w:tc>
          <w:tcPr>
            <w:tcW w:w="1721" w:type="dxa"/>
            <w:vMerge/>
            <w:vAlign w:val="center"/>
          </w:tcPr>
          <w:p>
            <w:pPr>
              <w:widowControl w:val="0"/>
              <w:jc w:val="center"/>
            </w:pPr>
          </w:p>
        </w:tc>
        <w:tc>
          <w:tcPr>
            <w:tcW w:w="3742" w:type="dxa"/>
            <w:tcBorders>
              <w:top w:val="nil"/>
            </w:tcBorders>
            <w:vAlign w:val="center"/>
          </w:tcPr>
          <w:p>
            <w:pPr>
              <w:widowControl w:val="0"/>
            </w:pPr>
            <w:r>
              <w:t>Daugiagysliai kabeliai įstatytuose kanaluose</w:t>
            </w:r>
          </w:p>
        </w:tc>
        <w:tc>
          <w:tcPr>
            <w:tcW w:w="2440" w:type="dxa"/>
            <w:tcBorders>
              <w:top w:val="nil"/>
            </w:tcBorders>
            <w:vAlign w:val="center"/>
          </w:tcPr>
          <w:p>
            <w:pPr>
              <w:widowControl w:val="0"/>
              <w:jc w:val="center"/>
            </w:pPr>
            <w:r>
              <w:t>B2</w:t>
            </w:r>
          </w:p>
        </w:tc>
      </w:tr>
      <w:tr>
        <w:tblPrEx>
          <w:tblCellMar>
            <w:left w:w="106" w:type="dxa"/>
            <w:right w:w="106" w:type="dxa"/>
          </w:tblCellMar>
        </w:tblPrEx>
        <w:trPr>
          <w:trHeight w:val="20"/>
        </w:trPr>
        <w:tc>
          <w:tcPr>
            <w:tcW w:w="1108" w:type="dxa"/>
            <w:vAlign w:val="center"/>
          </w:tcPr>
          <w:p>
            <w:pPr>
              <w:widowControl w:val="0"/>
              <w:jc w:val="center"/>
            </w:pPr>
            <w:r>
              <w:t>54</w:t>
            </w:r>
          </w:p>
        </w:tc>
        <w:tc>
          <w:tcPr>
            <w:tcW w:w="1721" w:type="dxa"/>
            <w:vAlign w:val="center"/>
          </w:tcPr>
          <w:p>
            <w:pPr>
              <w:widowControl w:val="0"/>
              <w:jc w:val="center"/>
            </w:pPr>
            <w:r>
              <w:rPr>
                <w:lang w:eastAsia="lt-LT"/>
              </w:rPr>
              <w:drawing>
                <wp:inline distT="0" distB="0" distL="0" distR="0">
                  <wp:extent cx="923925" cy="381000"/>
                  <wp:effectExtent l="0" t="0" r="0" b="0"/>
                  <wp:docPr id="138" name="Picture 138" descr="5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54pav"/>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ir viengysliai kabeliai horizontaliuose vamzdžiuose arba vertikaliuose neventiliuojamuose kanaluose</w:t>
            </w:r>
          </w:p>
        </w:tc>
        <w:tc>
          <w:tcPr>
            <w:tcW w:w="2440" w:type="dxa"/>
            <w:vAlign w:val="center"/>
          </w:tcPr>
          <w:p>
            <w:pPr>
              <w:widowControl w:val="0"/>
              <w:jc w:val="center"/>
              <w:rPr>
                <w:spacing w:val="-8"/>
                <w:vertAlign w:val="subscript"/>
              </w:rPr>
            </w:pPr>
            <w:r>
              <w:rPr>
                <w:spacing w:val="-8"/>
              </w:rPr>
              <w:t>1,5D</w:t>
            </w:r>
            <w:r>
              <w:rPr>
                <w:spacing w:val="-8"/>
                <w:vertAlign w:val="subscript"/>
              </w:rPr>
              <w:t>e</w:t>
            </w:r>
            <w:r>
              <w:rPr>
                <w:position w:val="-4"/>
                <w:vertAlign w:val="subscript"/>
              </w:rPr>
              <w:object w:dxaOrig="195" w:dyaOrig="240">
                <v:shape id="_x0000_i1111" type="#_x0000_t75" style="width:9.6pt;height:12pt" o:ole="">
                  <v:imagedata r:id="rId232" o:title=""/>
                </v:shape>
                <o:OLEObject Type="Embed" ProgID="Equation.3" ShapeID="_x0000_i1111" DrawAspect="Content" ObjectID="_0000000001" r:id="rId233"/>
              </w:object>
            </w:r>
            <w:r>
              <w:rPr>
                <w:vanish/>
                <w:lang w:val="en-US"/>
              </w:rPr>
              <w:t>&lt;=</w:t>
            </w:r>
            <w:r>
              <w:rPr>
                <w:spacing w:val="-8"/>
              </w:rPr>
              <w:t>V</w:t>
            </w:r>
            <w:r>
              <w:t>&lt;</w:t>
            </w:r>
            <w:r>
              <w:rPr>
                <w:spacing w:val="-8"/>
              </w:rPr>
              <w:t>20D</w:t>
            </w:r>
            <w:r>
              <w:rPr>
                <w:spacing w:val="-8"/>
                <w:vertAlign w:val="subscript"/>
              </w:rPr>
              <w:t>e</w:t>
            </w:r>
          </w:p>
          <w:p>
            <w:pPr>
              <w:widowControl w:val="0"/>
              <w:jc w:val="center"/>
            </w:pPr>
            <w:r>
              <w:t>B2</w:t>
            </w:r>
          </w:p>
          <w:p>
            <w:pPr>
              <w:widowControl w:val="0"/>
              <w:jc w:val="center"/>
            </w:pPr>
            <w:r>
              <w:t>V</w:t>
            </w:r>
            <w:r>
              <w:rPr>
                <w:position w:val="-4"/>
              </w:rPr>
              <w:object w:dxaOrig="195" w:dyaOrig="240">
                <v:shape id="_x0000_i1112" type="#_x0000_t75" style="width:9.6pt;height:12pt" o:ole="">
                  <v:imagedata r:id="rId234" o:title=""/>
                </v:shape>
                <o:OLEObject Type="Embed" ProgID="Equation.3" ShapeID="_x0000_i1112" DrawAspect="Content" ObjectID="_0000000001" r:id="rId235"/>
              </w:object>
            </w:r>
            <w:r>
              <w:rPr>
                <w:vanish/>
                <w:lang w:val="en-US"/>
              </w:rPr>
              <w:t>&gt;=</w:t>
            </w:r>
            <w:r>
              <w:t>20D</w:t>
            </w:r>
            <w:r>
              <w:rPr>
                <w:vertAlign w:val="subscript"/>
              </w:rPr>
              <w:t>e</w:t>
            </w:r>
          </w:p>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55</w:t>
            </w:r>
          </w:p>
        </w:tc>
        <w:tc>
          <w:tcPr>
            <w:tcW w:w="1721" w:type="dxa"/>
            <w:vAlign w:val="center"/>
          </w:tcPr>
          <w:p>
            <w:pPr>
              <w:widowControl w:val="0"/>
              <w:jc w:val="center"/>
            </w:pPr>
            <w:r>
              <w:rPr>
                <w:lang w:eastAsia="lt-LT"/>
              </w:rPr>
              <w:drawing>
                <wp:inline distT="0" distB="0" distL="0" distR="0">
                  <wp:extent cx="876300" cy="504825"/>
                  <wp:effectExtent l="0" t="0" r="0" b="0"/>
                  <wp:docPr id="141" name="Picture 141" descr="5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5pav"/>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76300" cy="50482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atviruose vamzdžiuose arba ventiliuojamuose kabelių kanaluose grindyse</w:t>
            </w:r>
          </w:p>
        </w:tc>
        <w:tc>
          <w:tcPr>
            <w:tcW w:w="2440" w:type="dxa"/>
            <w:vAlign w:val="center"/>
          </w:tcPr>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56</w:t>
            </w:r>
          </w:p>
        </w:tc>
        <w:tc>
          <w:tcPr>
            <w:tcW w:w="1721" w:type="dxa"/>
            <w:vAlign w:val="center"/>
          </w:tcPr>
          <w:p>
            <w:pPr>
              <w:widowControl w:val="0"/>
              <w:jc w:val="center"/>
            </w:pPr>
            <w:r>
              <w:rPr>
                <w:lang w:eastAsia="lt-LT"/>
              </w:rPr>
              <w:drawing>
                <wp:inline distT="0" distB="0" distL="0" distR="0">
                  <wp:extent cx="857250" cy="485775"/>
                  <wp:effectExtent l="0" t="0" r="0" b="0"/>
                  <wp:docPr id="142" name="Picture 142" descr="56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56pav"/>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7250" cy="48577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rPr>
                <w:spacing w:val="-4"/>
              </w:rPr>
            </w:pPr>
            <w:r>
              <w:rPr>
                <w:spacing w:val="-4"/>
              </w:rPr>
              <w:t>Viengysliai arba daugiagysliai kabeliai atviruose arba ventiliuojamuose vertikaliuose ar horizontaliuose kabelių kanaluose</w:t>
            </w:r>
          </w:p>
        </w:tc>
        <w:tc>
          <w:tcPr>
            <w:tcW w:w="2440" w:type="dxa"/>
            <w:vAlign w:val="center"/>
          </w:tcPr>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57</w:t>
            </w:r>
          </w:p>
        </w:tc>
        <w:tc>
          <w:tcPr>
            <w:tcW w:w="1721" w:type="dxa"/>
            <w:vAlign w:val="center"/>
          </w:tcPr>
          <w:p>
            <w:pPr>
              <w:widowControl w:val="0"/>
              <w:jc w:val="center"/>
            </w:pPr>
            <w:r>
              <w:object w:dxaOrig="765" w:dyaOrig="1185">
                <v:shape id="_x0000_i1113" type="#_x0000_t75" style="width:38.4pt;height:59.2pt" o:ole="">
                  <v:imagedata r:id="rId238" o:title=""/>
                </v:shape>
                <o:OLEObject Type="Embed" ProgID="Word.Picture.8" ShapeID="_x0000_i1113" DrawAspect="Content" ObjectID="_0000000001" r:id="rId239"/>
              </w:object>
            </w:r>
          </w:p>
          <w:p>
            <w:pPr>
              <w:widowControl w:val="0"/>
              <w:jc w:val="center"/>
            </w:pPr>
            <w:r>
              <w:rPr>
                <w:vanish/>
              </w:rPr>
              <w:t>(ženklas)</w:t>
            </w:r>
          </w:p>
        </w:tc>
        <w:tc>
          <w:tcPr>
            <w:tcW w:w="3742" w:type="dxa"/>
            <w:vAlign w:val="center"/>
          </w:tcPr>
          <w:p>
            <w:pPr>
              <w:widowControl w:val="0"/>
              <w:rPr>
                <w:spacing w:val="-4"/>
              </w:rPr>
            </w:pPr>
            <w:r>
              <w:rPr>
                <w:spacing w:val="-4"/>
              </w:rPr>
              <w:t>Apsaugos nuo mechaninių pažeidimų neturintys viengysliai arba daugiagysliai kabeliai sienų mūriniuose, kurių savitoji šiluminė varža ne didesnė kaip 2 K·m\W</w:t>
            </w:r>
          </w:p>
        </w:tc>
        <w:tc>
          <w:tcPr>
            <w:tcW w:w="2440" w:type="dxa"/>
            <w:vAlign w:val="center"/>
          </w:tcPr>
          <w:p>
            <w:pPr>
              <w:widowControl w:val="0"/>
              <w:jc w:val="center"/>
            </w:pPr>
            <w:r>
              <w:t>C</w:t>
            </w:r>
          </w:p>
        </w:tc>
      </w:tr>
      <w:tr>
        <w:tblPrEx>
          <w:tblCellMar>
            <w:left w:w="106" w:type="dxa"/>
            <w:right w:w="106" w:type="dxa"/>
          </w:tblCellMar>
        </w:tblPrEx>
        <w:trPr>
          <w:trHeight w:val="20"/>
        </w:trPr>
        <w:tc>
          <w:tcPr>
            <w:tcW w:w="1108" w:type="dxa"/>
            <w:vAlign w:val="center"/>
          </w:tcPr>
          <w:p>
            <w:pPr>
              <w:widowControl w:val="0"/>
              <w:jc w:val="center"/>
            </w:pPr>
            <w:r>
              <w:t>58</w:t>
            </w:r>
          </w:p>
        </w:tc>
        <w:tc>
          <w:tcPr>
            <w:tcW w:w="1721" w:type="dxa"/>
            <w:vAlign w:val="center"/>
          </w:tcPr>
          <w:p>
            <w:pPr>
              <w:widowControl w:val="0"/>
              <w:jc w:val="center"/>
            </w:pPr>
            <w:r>
              <w:rPr>
                <w:lang w:eastAsia="lt-LT"/>
              </w:rPr>
              <w:drawing>
                <wp:inline distT="0" distB="0" distL="0" distR="0">
                  <wp:extent cx="523875" cy="781050"/>
                  <wp:effectExtent l="0" t="0" r="0" b="0"/>
                  <wp:docPr id="144" name="Picture 144" descr="58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8pav"/>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Apsaugą nuo mechaninių pažeidimų turintys viengysliai arba daugiagysliai kabeliai sienų mūriniuose, kurių savitoji šiluminė varža ne didesnė kaip 2 K·m\W</w:t>
            </w:r>
          </w:p>
        </w:tc>
        <w:tc>
          <w:tcPr>
            <w:tcW w:w="2440" w:type="dxa"/>
            <w:vAlign w:val="center"/>
          </w:tcPr>
          <w:p>
            <w:pPr>
              <w:widowControl w:val="0"/>
              <w:jc w:val="center"/>
            </w:pPr>
            <w:r>
              <w:t>C</w:t>
            </w:r>
          </w:p>
        </w:tc>
      </w:tr>
      <w:tr>
        <w:tblPrEx>
          <w:tblCellMar>
            <w:left w:w="106" w:type="dxa"/>
            <w:right w:w="106" w:type="dxa"/>
          </w:tblCellMar>
        </w:tblPrEx>
        <w:trPr>
          <w:trHeight w:val="20"/>
        </w:trPr>
        <w:tc>
          <w:tcPr>
            <w:tcW w:w="1108" w:type="dxa"/>
            <w:vAlign w:val="center"/>
          </w:tcPr>
          <w:p>
            <w:pPr>
              <w:widowControl w:val="0"/>
              <w:jc w:val="center"/>
            </w:pPr>
            <w:r>
              <w:t>59</w:t>
            </w:r>
          </w:p>
        </w:tc>
        <w:tc>
          <w:tcPr>
            <w:tcW w:w="1721" w:type="dxa"/>
            <w:vAlign w:val="center"/>
          </w:tcPr>
          <w:p>
            <w:pPr>
              <w:widowControl w:val="0"/>
              <w:jc w:val="center"/>
            </w:pPr>
            <w:r>
              <w:rPr>
                <w:lang w:eastAsia="lt-LT"/>
              </w:rPr>
              <w:drawing>
                <wp:inline distT="0" distB="0" distL="0" distR="0">
                  <wp:extent cx="676275" cy="609600"/>
                  <wp:effectExtent l="0" t="0" r="0" b="0"/>
                  <wp:docPr id="145" name="Picture 145" descr="59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59pav"/>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Izoliuoti laidai arba viengysliai kabeliai vamzdyje, sienų mūriniuose</w:t>
            </w:r>
          </w:p>
        </w:tc>
        <w:tc>
          <w:tcPr>
            <w:tcW w:w="2440" w:type="dxa"/>
            <w:vAlign w:val="center"/>
          </w:tcPr>
          <w:p>
            <w:pPr>
              <w:widowControl w:val="0"/>
              <w:jc w:val="center"/>
            </w:pPr>
            <w:r>
              <w:t>B1</w:t>
            </w:r>
          </w:p>
        </w:tc>
      </w:tr>
      <w:tr>
        <w:tblPrEx>
          <w:tblCellMar>
            <w:left w:w="106" w:type="dxa"/>
            <w:right w:w="106" w:type="dxa"/>
          </w:tblCellMar>
        </w:tblPrEx>
        <w:trPr>
          <w:trHeight w:val="20"/>
        </w:trPr>
        <w:tc>
          <w:tcPr>
            <w:tcW w:w="1108" w:type="dxa"/>
            <w:vAlign w:val="center"/>
          </w:tcPr>
          <w:p>
            <w:pPr>
              <w:widowControl w:val="0"/>
              <w:jc w:val="center"/>
            </w:pPr>
            <w:r>
              <w:t>60</w:t>
            </w:r>
          </w:p>
        </w:tc>
        <w:tc>
          <w:tcPr>
            <w:tcW w:w="1721" w:type="dxa"/>
            <w:vAlign w:val="center"/>
          </w:tcPr>
          <w:p>
            <w:pPr>
              <w:widowControl w:val="0"/>
              <w:jc w:val="center"/>
            </w:pPr>
            <w:r>
              <w:object w:dxaOrig="1050" w:dyaOrig="960">
                <v:shape id="_x0000_i1114" type="#_x0000_t75" style="width:53.6pt;height:48pt" o:ole="">
                  <v:imagedata r:id="rId242" o:title=""/>
                </v:shape>
                <o:OLEObject Type="Embed" ProgID="Word.Picture.8" ShapeID="_x0000_i1114" DrawAspect="Content" ObjectID="_0000000001" r:id="rId243"/>
              </w:object>
            </w:r>
          </w:p>
          <w:p>
            <w:pPr>
              <w:widowControl w:val="0"/>
              <w:jc w:val="center"/>
            </w:pPr>
            <w:r>
              <w:rPr>
                <w:vanish/>
              </w:rPr>
              <w:t>(ženklas)</w:t>
            </w:r>
          </w:p>
        </w:tc>
        <w:tc>
          <w:tcPr>
            <w:tcW w:w="3742" w:type="dxa"/>
            <w:vAlign w:val="center"/>
          </w:tcPr>
          <w:p>
            <w:pPr>
              <w:widowControl w:val="0"/>
            </w:pPr>
            <w:r>
              <w:t>Daugiagysliai kabeliai vamzdžiuose, sienų mūriniuose</w:t>
            </w:r>
          </w:p>
        </w:tc>
        <w:tc>
          <w:tcPr>
            <w:tcW w:w="2440" w:type="dxa"/>
            <w:vAlign w:val="center"/>
          </w:tcPr>
          <w:p>
            <w:pPr>
              <w:widowControl w:val="0"/>
              <w:jc w:val="center"/>
            </w:pPr>
            <w:r>
              <w:t>B2</w:t>
            </w:r>
          </w:p>
        </w:tc>
      </w:tr>
      <w:tr>
        <w:tblPrEx>
          <w:tblCellMar>
            <w:left w:w="106" w:type="dxa"/>
            <w:right w:w="106" w:type="dxa"/>
          </w:tblCellMar>
        </w:tblPrEx>
        <w:trPr>
          <w:trHeight w:val="20"/>
        </w:trPr>
        <w:tc>
          <w:tcPr>
            <w:tcW w:w="1108" w:type="dxa"/>
            <w:vAlign w:val="center"/>
          </w:tcPr>
          <w:p>
            <w:pPr>
              <w:widowControl w:val="0"/>
              <w:jc w:val="center"/>
            </w:pPr>
            <w:r>
              <w:t>70</w:t>
            </w:r>
          </w:p>
        </w:tc>
        <w:tc>
          <w:tcPr>
            <w:tcW w:w="1721" w:type="dxa"/>
            <w:vAlign w:val="center"/>
          </w:tcPr>
          <w:p>
            <w:pPr>
              <w:widowControl w:val="0"/>
              <w:jc w:val="center"/>
            </w:pPr>
            <w:r>
              <w:rPr>
                <w:lang w:eastAsia="lt-LT"/>
              </w:rPr>
              <w:drawing>
                <wp:inline distT="0" distB="0" distL="0" distR="0">
                  <wp:extent cx="685800" cy="628650"/>
                  <wp:effectExtent l="0" t="0" r="0" b="0"/>
                  <wp:docPr id="147" name="Picture 147" descr="70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70pav"/>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Daugiagysliai kabeliai vamzdyje arba kabelių loviuose žemėje</w:t>
            </w:r>
          </w:p>
        </w:tc>
        <w:tc>
          <w:tcPr>
            <w:tcW w:w="2440" w:type="dxa"/>
            <w:vAlign w:val="center"/>
          </w:tcPr>
          <w:p>
            <w:pPr>
              <w:widowControl w:val="0"/>
              <w:jc w:val="center"/>
            </w:pPr>
            <w:r>
              <w:t>D</w:t>
            </w:r>
          </w:p>
        </w:tc>
      </w:tr>
      <w:tr>
        <w:tblPrEx>
          <w:tblCellMar>
            <w:left w:w="106" w:type="dxa"/>
            <w:right w:w="106" w:type="dxa"/>
          </w:tblCellMar>
        </w:tblPrEx>
        <w:trPr>
          <w:trHeight w:val="20"/>
        </w:trPr>
        <w:tc>
          <w:tcPr>
            <w:tcW w:w="1108" w:type="dxa"/>
            <w:vAlign w:val="center"/>
          </w:tcPr>
          <w:p>
            <w:pPr>
              <w:widowControl w:val="0"/>
              <w:jc w:val="center"/>
            </w:pPr>
            <w:r>
              <w:t>71</w:t>
            </w:r>
          </w:p>
        </w:tc>
        <w:tc>
          <w:tcPr>
            <w:tcW w:w="1721" w:type="dxa"/>
            <w:vAlign w:val="center"/>
          </w:tcPr>
          <w:p>
            <w:pPr>
              <w:widowControl w:val="0"/>
              <w:jc w:val="center"/>
            </w:pPr>
            <w:r>
              <w:rPr>
                <w:lang w:eastAsia="lt-LT"/>
              </w:rPr>
              <w:drawing>
                <wp:inline distT="0" distB="0" distL="0" distR="0">
                  <wp:extent cx="857250" cy="457200"/>
                  <wp:effectExtent l="0" t="0" r="0" b="0"/>
                  <wp:docPr id="148" name="Picture 148" descr="7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71pav"/>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kabeliai vamzdyje arba kabelių loviuose žemėje</w:t>
            </w:r>
          </w:p>
        </w:tc>
        <w:tc>
          <w:tcPr>
            <w:tcW w:w="2440" w:type="dxa"/>
            <w:vAlign w:val="center"/>
          </w:tcPr>
          <w:p>
            <w:pPr>
              <w:widowControl w:val="0"/>
              <w:jc w:val="center"/>
            </w:pPr>
            <w:r>
              <w:t>D</w:t>
            </w:r>
          </w:p>
        </w:tc>
      </w:tr>
      <w:tr>
        <w:tblPrEx>
          <w:tblCellMar>
            <w:left w:w="106" w:type="dxa"/>
            <w:right w:w="106" w:type="dxa"/>
          </w:tblCellMar>
        </w:tblPrEx>
        <w:trPr>
          <w:trHeight w:val="20"/>
        </w:trPr>
        <w:tc>
          <w:tcPr>
            <w:tcW w:w="1108" w:type="dxa"/>
            <w:vAlign w:val="center"/>
          </w:tcPr>
          <w:p>
            <w:pPr>
              <w:widowControl w:val="0"/>
              <w:jc w:val="center"/>
            </w:pPr>
            <w:r>
              <w:t>72</w:t>
            </w:r>
          </w:p>
        </w:tc>
        <w:tc>
          <w:tcPr>
            <w:tcW w:w="1721" w:type="dxa"/>
            <w:vAlign w:val="center"/>
          </w:tcPr>
          <w:p>
            <w:pPr>
              <w:widowControl w:val="0"/>
              <w:jc w:val="center"/>
            </w:pPr>
            <w:r>
              <w:rPr>
                <w:lang w:eastAsia="lt-LT"/>
              </w:rPr>
              <w:drawing>
                <wp:inline distT="0" distB="0" distL="0" distR="0">
                  <wp:extent cx="857250" cy="466725"/>
                  <wp:effectExtent l="0" t="0" r="0" b="0"/>
                  <wp:docPr id="149" name="Picture 149" descr="72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72pav"/>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žemėje, neapsaugoti nuo mechaninių pažeidimų</w:t>
            </w:r>
          </w:p>
        </w:tc>
        <w:tc>
          <w:tcPr>
            <w:tcW w:w="2440" w:type="dxa"/>
            <w:vAlign w:val="center"/>
          </w:tcPr>
          <w:p>
            <w:pPr>
              <w:widowControl w:val="0"/>
              <w:jc w:val="center"/>
            </w:pPr>
            <w:r>
              <w:t>D</w:t>
            </w:r>
          </w:p>
        </w:tc>
      </w:tr>
      <w:tr>
        <w:tblPrEx>
          <w:tblCellMar>
            <w:left w:w="106" w:type="dxa"/>
            <w:right w:w="106" w:type="dxa"/>
          </w:tblCellMar>
        </w:tblPrEx>
        <w:trPr>
          <w:trHeight w:val="20"/>
        </w:trPr>
        <w:tc>
          <w:tcPr>
            <w:tcW w:w="1108" w:type="dxa"/>
            <w:vAlign w:val="center"/>
          </w:tcPr>
          <w:p>
            <w:pPr>
              <w:widowControl w:val="0"/>
              <w:jc w:val="center"/>
            </w:pPr>
            <w:r>
              <w:t>73</w:t>
            </w:r>
          </w:p>
        </w:tc>
        <w:tc>
          <w:tcPr>
            <w:tcW w:w="1721" w:type="dxa"/>
            <w:vAlign w:val="center"/>
          </w:tcPr>
          <w:p>
            <w:pPr>
              <w:widowControl w:val="0"/>
              <w:jc w:val="center"/>
            </w:pPr>
            <w:r>
              <w:rPr>
                <w:lang w:eastAsia="lt-LT"/>
              </w:rPr>
              <w:drawing>
                <wp:inline distT="0" distB="0" distL="0" distR="0">
                  <wp:extent cx="857250" cy="457200"/>
                  <wp:effectExtent l="0" t="0" r="0" b="0"/>
                  <wp:docPr id="150" name="Picture 150" descr="73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73pav"/>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žemėje, apsaugoti nuo mechaninių pažeidimų</w:t>
            </w:r>
          </w:p>
        </w:tc>
        <w:tc>
          <w:tcPr>
            <w:tcW w:w="2440" w:type="dxa"/>
            <w:vAlign w:val="center"/>
          </w:tcPr>
          <w:p>
            <w:pPr>
              <w:widowControl w:val="0"/>
              <w:jc w:val="center"/>
            </w:pPr>
            <w:r>
              <w:t>D</w:t>
            </w:r>
          </w:p>
        </w:tc>
      </w:tr>
      <w:tr>
        <w:tblPrEx>
          <w:tblCellMar>
            <w:left w:w="106" w:type="dxa"/>
            <w:right w:w="106" w:type="dxa"/>
          </w:tblCellMar>
        </w:tblPrEx>
        <w:trPr>
          <w:trHeight w:val="20"/>
        </w:trPr>
        <w:tc>
          <w:tcPr>
            <w:tcW w:w="1108" w:type="dxa"/>
            <w:vAlign w:val="center"/>
          </w:tcPr>
          <w:p>
            <w:pPr>
              <w:widowControl w:val="0"/>
              <w:jc w:val="center"/>
            </w:pPr>
            <w:r>
              <w:t>80</w:t>
            </w:r>
          </w:p>
        </w:tc>
        <w:tc>
          <w:tcPr>
            <w:tcW w:w="1721" w:type="dxa"/>
            <w:vAlign w:val="center"/>
          </w:tcPr>
          <w:p>
            <w:pPr>
              <w:widowControl w:val="0"/>
              <w:jc w:val="center"/>
            </w:pPr>
            <w:r>
              <w:rPr>
                <w:lang w:eastAsia="lt-LT"/>
              </w:rPr>
              <w:drawing>
                <wp:inline distT="0" distB="0" distL="0" distR="0">
                  <wp:extent cx="914400" cy="514350"/>
                  <wp:effectExtent l="0" t="0" r="0" b="0"/>
                  <wp:docPr id="151" name="Picture 151" descr="80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80pav"/>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a:ln>
                            <a:noFill/>
                          </a:ln>
                        </pic:spPr>
                      </pic:pic>
                    </a:graphicData>
                  </a:graphic>
                </wp:inline>
              </w:drawing>
            </w:r>
          </w:p>
          <w:p>
            <w:pPr>
              <w:widowControl w:val="0"/>
              <w:jc w:val="center"/>
            </w:pPr>
            <w:r>
              <w:rPr>
                <w:vanish/>
              </w:rPr>
              <w:t>(ženklas)</w:t>
            </w:r>
          </w:p>
        </w:tc>
        <w:tc>
          <w:tcPr>
            <w:tcW w:w="3742" w:type="dxa"/>
            <w:vAlign w:val="center"/>
          </w:tcPr>
          <w:p>
            <w:pPr>
              <w:widowControl w:val="0"/>
            </w:pPr>
            <w:r>
              <w:t>Viengysliai arba daugiagysliai kabeliai su apvalkalu vandenyje</w:t>
            </w:r>
          </w:p>
        </w:tc>
        <w:tc>
          <w:tcPr>
            <w:tcW w:w="2440" w:type="dxa"/>
            <w:vAlign w:val="center"/>
          </w:tcPr>
          <w:p>
            <w:pPr>
              <w:widowControl w:val="0"/>
              <w:jc w:val="center"/>
            </w:pPr>
            <w:r>
              <w:t>Neapibrėžta</w:t>
            </w:r>
          </w:p>
        </w:tc>
      </w:tr>
    </w:tbl>
    <w:p>
      <w:pPr>
        <w:widowControl w:val="0"/>
        <w:ind w:firstLine="567"/>
        <w:jc w:val="both"/>
      </w:pPr>
    </w:p>
    <w:p>
      <w:pPr>
        <w:widowControl w:val="0"/>
        <w:ind w:firstLine="567"/>
        <w:jc w:val="both"/>
        <w:rPr>
          <w:b/>
        </w:rPr>
      </w:pPr>
      <w:r>
        <w:rPr>
          <w:b/>
        </w:rPr>
        <w:t>3 lentelė. Laidininkų XLPE arba EPR izoliacija leistinoji ilgalaikė srovė</w:t>
      </w:r>
    </w:p>
    <w:p>
      <w:pPr>
        <w:widowControl w:val="0"/>
        <w:ind w:firstLine="567"/>
        <w:jc w:val="both"/>
      </w:pPr>
    </w:p>
    <w:p>
      <w:pPr>
        <w:widowControl w:val="0"/>
        <w:ind w:firstLine="567"/>
        <w:jc w:val="both"/>
      </w:pPr>
      <w:r>
        <w:t xml:space="preserve">Temperatūra: laidininko +70 </w:t>
      </w:r>
      <w:r>
        <w:rPr>
          <w:vertAlign w:val="superscript"/>
        </w:rPr>
        <w:t>o</w:t>
      </w:r>
      <w:r>
        <w:t xml:space="preserve">C, oro +30 </w:t>
      </w:r>
      <w:r>
        <w:rPr>
          <w:vertAlign w:val="superscript"/>
        </w:rPr>
        <w:t>o</w:t>
      </w:r>
      <w:r>
        <w:t xml:space="preserve">C, žemės +20 </w:t>
      </w:r>
      <w:r>
        <w:rPr>
          <w:vertAlign w:val="superscript"/>
        </w:rPr>
        <w:t>o</w:t>
      </w:r>
      <w:r>
        <w:t>C.</w:t>
      </w:r>
    </w:p>
    <w:p>
      <w:pPr>
        <w:widowControl w:val="0"/>
        <w:ind w:firstLine="567"/>
        <w:jc w:val="both"/>
      </w:pPr>
      <w:r>
        <w:t>Taikoma A1, A2, B1, B2, C ir D instaliacijos būdams pagal 2 priedo 1 lentelę.</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000" w:firstRow="0" w:lastRow="0" w:firstColumn="0" w:lastColumn="0" w:noHBand="0" w:noVBand="0"/>
      </w:tblPr>
      <w:tblGrid>
        <w:gridCol w:w="6"/>
        <w:gridCol w:w="977"/>
        <w:gridCol w:w="6"/>
        <w:gridCol w:w="665"/>
        <w:gridCol w:w="6"/>
        <w:gridCol w:w="665"/>
        <w:gridCol w:w="6"/>
        <w:gridCol w:w="666"/>
        <w:gridCol w:w="6"/>
        <w:gridCol w:w="666"/>
        <w:gridCol w:w="6"/>
        <w:gridCol w:w="667"/>
        <w:gridCol w:w="7"/>
        <w:gridCol w:w="668"/>
        <w:gridCol w:w="7"/>
        <w:gridCol w:w="667"/>
        <w:gridCol w:w="7"/>
        <w:gridCol w:w="667"/>
        <w:gridCol w:w="7"/>
        <w:gridCol w:w="668"/>
        <w:gridCol w:w="7"/>
        <w:gridCol w:w="667"/>
        <w:gridCol w:w="7"/>
        <w:gridCol w:w="667"/>
        <w:gridCol w:w="7"/>
        <w:gridCol w:w="668"/>
        <w:gridCol w:w="7"/>
      </w:tblGrid>
      <w:tr>
        <w:trPr>
          <w:gridAfter w:val="1"/>
          <w:wAfter w:w="6" w:type="dxa"/>
          <w:trHeight w:val="20"/>
          <w:tblHeader/>
        </w:trPr>
        <w:tc>
          <w:tcPr>
            <w:tcW w:w="902" w:type="dxa"/>
            <w:gridSpan w:val="2"/>
            <w:vMerge w:val="restart"/>
            <w:vAlign w:val="center"/>
          </w:tcPr>
          <w:p>
            <w:pPr>
              <w:widowControl w:val="0"/>
              <w:jc w:val="center"/>
            </w:pPr>
            <w:r>
              <w:t>Laidininko skerspjūvis, mm</w:t>
            </w:r>
            <w:r>
              <w:rPr>
                <w:vertAlign w:val="superscript"/>
              </w:rPr>
              <w:t>2</w:t>
            </w:r>
          </w:p>
        </w:tc>
        <w:tc>
          <w:tcPr>
            <w:tcW w:w="7405" w:type="dxa"/>
            <w:gridSpan w:val="24"/>
            <w:vAlign w:val="center"/>
          </w:tcPr>
          <w:p>
            <w:pPr>
              <w:widowControl w:val="0"/>
              <w:jc w:val="center"/>
            </w:pPr>
            <w:r>
              <w:t>Instaliacijos būdas</w:t>
            </w:r>
          </w:p>
        </w:tc>
      </w:tr>
      <w:tr>
        <w:trPr>
          <w:gridAfter w:val="1"/>
          <w:wAfter w:w="6" w:type="dxa"/>
          <w:cantSplit/>
          <w:trHeight w:val="20"/>
          <w:tblHeader/>
        </w:trPr>
        <w:tc>
          <w:tcPr>
            <w:tcW w:w="902" w:type="dxa"/>
            <w:gridSpan w:val="2"/>
            <w:vMerge/>
            <w:vAlign w:val="center"/>
          </w:tcPr>
          <w:p>
            <w:pPr>
              <w:widowControl w:val="0"/>
              <w:jc w:val="center"/>
            </w:pPr>
          </w:p>
        </w:tc>
        <w:tc>
          <w:tcPr>
            <w:tcW w:w="1232" w:type="dxa"/>
            <w:gridSpan w:val="4"/>
            <w:vAlign w:val="center"/>
          </w:tcPr>
          <w:p>
            <w:pPr>
              <w:widowControl w:val="0"/>
              <w:jc w:val="center"/>
            </w:pPr>
            <w:r>
              <w:t>A1</w:t>
            </w:r>
          </w:p>
        </w:tc>
        <w:tc>
          <w:tcPr>
            <w:tcW w:w="1234" w:type="dxa"/>
            <w:gridSpan w:val="4"/>
            <w:vAlign w:val="center"/>
          </w:tcPr>
          <w:p>
            <w:pPr>
              <w:widowControl w:val="0"/>
              <w:jc w:val="center"/>
            </w:pPr>
            <w:r>
              <w:t>A2</w:t>
            </w:r>
          </w:p>
        </w:tc>
        <w:tc>
          <w:tcPr>
            <w:tcW w:w="1235" w:type="dxa"/>
            <w:gridSpan w:val="4"/>
            <w:vAlign w:val="center"/>
          </w:tcPr>
          <w:p>
            <w:pPr>
              <w:widowControl w:val="0"/>
              <w:jc w:val="center"/>
            </w:pPr>
            <w:r>
              <w:t>B1</w:t>
            </w:r>
          </w:p>
        </w:tc>
        <w:tc>
          <w:tcPr>
            <w:tcW w:w="1234" w:type="dxa"/>
            <w:gridSpan w:val="4"/>
            <w:vAlign w:val="center"/>
          </w:tcPr>
          <w:p>
            <w:pPr>
              <w:widowControl w:val="0"/>
              <w:jc w:val="center"/>
            </w:pPr>
            <w:r>
              <w:t>B2</w:t>
            </w:r>
          </w:p>
        </w:tc>
        <w:tc>
          <w:tcPr>
            <w:tcW w:w="1235" w:type="dxa"/>
            <w:gridSpan w:val="4"/>
            <w:vAlign w:val="center"/>
          </w:tcPr>
          <w:p>
            <w:pPr>
              <w:widowControl w:val="0"/>
              <w:jc w:val="center"/>
            </w:pPr>
            <w:r>
              <w:t>C</w:t>
            </w:r>
          </w:p>
        </w:tc>
        <w:tc>
          <w:tcPr>
            <w:tcW w:w="1235" w:type="dxa"/>
            <w:gridSpan w:val="4"/>
            <w:vAlign w:val="center"/>
          </w:tcPr>
          <w:p>
            <w:pPr>
              <w:widowControl w:val="0"/>
              <w:jc w:val="center"/>
            </w:pPr>
            <w:r>
              <w:t>D</w:t>
            </w:r>
          </w:p>
        </w:tc>
      </w:tr>
      <w:tr>
        <w:trPr>
          <w:gridAfter w:val="1"/>
          <w:wAfter w:w="6" w:type="dxa"/>
          <w:cantSplit/>
          <w:trHeight w:val="20"/>
          <w:tblHeader/>
        </w:trPr>
        <w:tc>
          <w:tcPr>
            <w:tcW w:w="902" w:type="dxa"/>
            <w:gridSpan w:val="2"/>
            <w:vMerge/>
            <w:vAlign w:val="center"/>
          </w:tcPr>
          <w:p>
            <w:pPr>
              <w:widowControl w:val="0"/>
              <w:jc w:val="center"/>
            </w:pPr>
          </w:p>
        </w:tc>
        <w:tc>
          <w:tcPr>
            <w:tcW w:w="1232" w:type="dxa"/>
            <w:gridSpan w:val="4"/>
            <w:vAlign w:val="center"/>
          </w:tcPr>
          <w:p>
            <w:pPr>
              <w:widowControl w:val="0"/>
              <w:jc w:val="center"/>
            </w:pPr>
            <w:r>
              <w:rPr>
                <w:lang w:eastAsia="lt-LT"/>
              </w:rPr>
              <w:drawing>
                <wp:inline distT="0" distB="0" distL="0" distR="0">
                  <wp:extent cx="466725" cy="361950"/>
                  <wp:effectExtent l="0" t="0" r="0" b="0"/>
                  <wp:docPr id="152" name="Picture 152"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pav"/>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p>
          <w:p>
            <w:pPr>
              <w:widowControl w:val="0"/>
              <w:jc w:val="center"/>
            </w:pPr>
            <w:r>
              <w:rPr>
                <w:vanish/>
              </w:rPr>
              <w:t>(ženklas)</w:t>
            </w:r>
          </w:p>
        </w:tc>
        <w:tc>
          <w:tcPr>
            <w:tcW w:w="1234" w:type="dxa"/>
            <w:gridSpan w:val="4"/>
            <w:vAlign w:val="center"/>
          </w:tcPr>
          <w:p>
            <w:pPr>
              <w:widowControl w:val="0"/>
              <w:jc w:val="center"/>
            </w:pPr>
            <w:r>
              <w:rPr>
                <w:lang w:eastAsia="lt-LT"/>
              </w:rPr>
              <w:drawing>
                <wp:inline distT="0" distB="0" distL="0" distR="0">
                  <wp:extent cx="466725" cy="333375"/>
                  <wp:effectExtent l="0" t="0" r="0" b="0"/>
                  <wp:docPr id="153" name="Picture 153" descr="2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pav"/>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p>
          <w:p>
            <w:pPr>
              <w:widowControl w:val="0"/>
              <w:jc w:val="center"/>
            </w:pPr>
            <w:r>
              <w:rPr>
                <w:vanish/>
              </w:rPr>
              <w:t>(ženklas)</w:t>
            </w:r>
          </w:p>
        </w:tc>
        <w:tc>
          <w:tcPr>
            <w:tcW w:w="1235" w:type="dxa"/>
            <w:gridSpan w:val="4"/>
            <w:vAlign w:val="center"/>
          </w:tcPr>
          <w:p>
            <w:pPr>
              <w:widowControl w:val="0"/>
              <w:jc w:val="center"/>
            </w:pPr>
            <w:r>
              <w:rPr>
                <w:lang w:eastAsia="lt-LT"/>
              </w:rPr>
              <w:drawing>
                <wp:inline distT="0" distB="0" distL="0" distR="0">
                  <wp:extent cx="304800" cy="381000"/>
                  <wp:effectExtent l="0" t="0" r="0" b="0"/>
                  <wp:docPr id="154" name="Picture 154" descr="3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3pav"/>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p>
          <w:p>
            <w:pPr>
              <w:widowControl w:val="0"/>
              <w:jc w:val="center"/>
            </w:pPr>
            <w:r>
              <w:rPr>
                <w:vanish/>
              </w:rPr>
              <w:t>(ženklas)</w:t>
            </w:r>
          </w:p>
        </w:tc>
        <w:tc>
          <w:tcPr>
            <w:tcW w:w="1234" w:type="dxa"/>
            <w:gridSpan w:val="4"/>
            <w:vAlign w:val="center"/>
          </w:tcPr>
          <w:p>
            <w:pPr>
              <w:widowControl w:val="0"/>
              <w:jc w:val="center"/>
            </w:pPr>
            <w:r>
              <w:rPr>
                <w:lang w:eastAsia="lt-LT"/>
              </w:rPr>
              <w:drawing>
                <wp:inline distT="0" distB="0" distL="0" distR="0">
                  <wp:extent cx="314325" cy="409575"/>
                  <wp:effectExtent l="0" t="0" r="0" b="0"/>
                  <wp:docPr id="155" name="Picture 155"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4pav"/>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p>
          <w:p>
            <w:pPr>
              <w:widowControl w:val="0"/>
              <w:jc w:val="center"/>
            </w:pPr>
            <w:r>
              <w:rPr>
                <w:vanish/>
              </w:rPr>
              <w:t>(ženklas)</w:t>
            </w:r>
          </w:p>
        </w:tc>
        <w:tc>
          <w:tcPr>
            <w:tcW w:w="1235" w:type="dxa"/>
            <w:gridSpan w:val="4"/>
            <w:vAlign w:val="center"/>
          </w:tcPr>
          <w:p>
            <w:pPr>
              <w:widowControl w:val="0"/>
              <w:jc w:val="center"/>
            </w:pPr>
            <w:r>
              <w:rPr>
                <w:lang w:eastAsia="lt-LT"/>
              </w:rPr>
              <w:drawing>
                <wp:inline distT="0" distB="0" distL="0" distR="0">
                  <wp:extent cx="314325" cy="419100"/>
                  <wp:effectExtent l="0" t="0" r="0" b="0"/>
                  <wp:docPr id="156" name="Picture 156" descr="20_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20_1pav"/>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p>
          <w:p>
            <w:pPr>
              <w:widowControl w:val="0"/>
              <w:jc w:val="center"/>
            </w:pPr>
            <w:r>
              <w:rPr>
                <w:vanish/>
              </w:rPr>
              <w:t>(ženklas)</w:t>
            </w:r>
          </w:p>
        </w:tc>
        <w:tc>
          <w:tcPr>
            <w:tcW w:w="1235" w:type="dxa"/>
            <w:gridSpan w:val="4"/>
            <w:vAlign w:val="center"/>
          </w:tcPr>
          <w:p>
            <w:pPr>
              <w:widowControl w:val="0"/>
              <w:jc w:val="center"/>
            </w:pPr>
            <w:r>
              <w:rPr>
                <w:lang w:eastAsia="lt-LT"/>
              </w:rPr>
              <w:drawing>
                <wp:inline distT="0" distB="0" distL="0" distR="0">
                  <wp:extent cx="485775" cy="428625"/>
                  <wp:effectExtent l="0" t="0" r="0" b="0"/>
                  <wp:docPr id="157" name="Picture 157" descr="6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6pav"/>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p>
            <w:pPr>
              <w:widowControl w:val="0"/>
              <w:jc w:val="center"/>
            </w:pPr>
            <w:r>
              <w:rPr>
                <w:vanish/>
              </w:rPr>
              <w:t>(ženklas)</w:t>
            </w:r>
          </w:p>
        </w:tc>
      </w:tr>
      <w:tr>
        <w:tblPrEx>
          <w:tblCellMar>
            <w:left w:w="28" w:type="dxa"/>
            <w:right w:w="28" w:type="dxa"/>
          </w:tblCellMar>
        </w:tblPrEx>
        <w:trPr>
          <w:gridBefore w:val="1"/>
          <w:wBefore w:w="6" w:type="dxa"/>
          <w:cantSplit/>
          <w:trHeight w:val="20"/>
          <w:tblHeader/>
        </w:trPr>
        <w:tc>
          <w:tcPr>
            <w:tcW w:w="902" w:type="dxa"/>
            <w:gridSpan w:val="2"/>
            <w:vAlign w:val="center"/>
          </w:tcPr>
          <w:p>
            <w:pPr>
              <w:widowControl w:val="0"/>
              <w:jc w:val="center"/>
            </w:pPr>
          </w:p>
        </w:tc>
        <w:tc>
          <w:tcPr>
            <w:tcW w:w="616" w:type="dxa"/>
            <w:gridSpan w:val="2"/>
            <w:vAlign w:val="center"/>
          </w:tcPr>
          <w:p>
            <w:pPr>
              <w:widowControl w:val="0"/>
              <w:jc w:val="center"/>
              <w:rPr>
                <w:spacing w:val="-4"/>
              </w:rPr>
            </w:pPr>
            <w:r>
              <w:rPr>
                <w:spacing w:val="-4"/>
              </w:rPr>
              <w:t>2 laid.</w:t>
            </w:r>
          </w:p>
        </w:tc>
        <w:tc>
          <w:tcPr>
            <w:tcW w:w="616" w:type="dxa"/>
            <w:gridSpan w:val="2"/>
            <w:vAlign w:val="center"/>
          </w:tcPr>
          <w:p>
            <w:pPr>
              <w:widowControl w:val="0"/>
              <w:jc w:val="center"/>
              <w:rPr>
                <w:spacing w:val="-4"/>
              </w:rPr>
            </w:pPr>
            <w:r>
              <w:rPr>
                <w:spacing w:val="-4"/>
              </w:rPr>
              <w:t>3 laid.</w:t>
            </w:r>
          </w:p>
        </w:tc>
        <w:tc>
          <w:tcPr>
            <w:tcW w:w="617" w:type="dxa"/>
            <w:gridSpan w:val="2"/>
            <w:vAlign w:val="center"/>
          </w:tcPr>
          <w:p>
            <w:pPr>
              <w:widowControl w:val="0"/>
              <w:jc w:val="center"/>
              <w:rPr>
                <w:spacing w:val="-4"/>
              </w:rPr>
            </w:pPr>
            <w:r>
              <w:rPr>
                <w:spacing w:val="-4"/>
              </w:rPr>
              <w:t>2 laid.</w:t>
            </w:r>
          </w:p>
        </w:tc>
        <w:tc>
          <w:tcPr>
            <w:tcW w:w="617" w:type="dxa"/>
            <w:gridSpan w:val="2"/>
            <w:vAlign w:val="center"/>
          </w:tcPr>
          <w:p>
            <w:pPr>
              <w:widowControl w:val="0"/>
              <w:jc w:val="center"/>
              <w:rPr>
                <w:spacing w:val="-4"/>
              </w:rPr>
            </w:pPr>
            <w:r>
              <w:rPr>
                <w:spacing w:val="-4"/>
              </w:rPr>
              <w:t>3 laid.</w:t>
            </w:r>
          </w:p>
        </w:tc>
        <w:tc>
          <w:tcPr>
            <w:tcW w:w="617" w:type="dxa"/>
            <w:gridSpan w:val="2"/>
            <w:vAlign w:val="center"/>
          </w:tcPr>
          <w:p>
            <w:pPr>
              <w:widowControl w:val="0"/>
              <w:jc w:val="center"/>
              <w:rPr>
                <w:spacing w:val="-4"/>
              </w:rPr>
            </w:pPr>
            <w:r>
              <w:rPr>
                <w:spacing w:val="-4"/>
              </w:rPr>
              <w:t>2 laid.</w:t>
            </w:r>
          </w:p>
        </w:tc>
        <w:tc>
          <w:tcPr>
            <w:tcW w:w="618" w:type="dxa"/>
            <w:gridSpan w:val="2"/>
            <w:vAlign w:val="center"/>
          </w:tcPr>
          <w:p>
            <w:pPr>
              <w:widowControl w:val="0"/>
              <w:jc w:val="center"/>
              <w:rPr>
                <w:spacing w:val="-4"/>
              </w:rPr>
            </w:pPr>
            <w:r>
              <w:rPr>
                <w:spacing w:val="-4"/>
              </w:rPr>
              <w:t>3 laid.</w:t>
            </w:r>
          </w:p>
        </w:tc>
        <w:tc>
          <w:tcPr>
            <w:tcW w:w="617" w:type="dxa"/>
            <w:gridSpan w:val="2"/>
            <w:vAlign w:val="center"/>
          </w:tcPr>
          <w:p>
            <w:pPr>
              <w:widowControl w:val="0"/>
              <w:jc w:val="center"/>
              <w:rPr>
                <w:spacing w:val="-4"/>
              </w:rPr>
            </w:pPr>
            <w:r>
              <w:rPr>
                <w:spacing w:val="-4"/>
              </w:rPr>
              <w:t>2 laid.</w:t>
            </w:r>
          </w:p>
        </w:tc>
        <w:tc>
          <w:tcPr>
            <w:tcW w:w="617" w:type="dxa"/>
            <w:gridSpan w:val="2"/>
            <w:vAlign w:val="center"/>
          </w:tcPr>
          <w:p>
            <w:pPr>
              <w:widowControl w:val="0"/>
              <w:jc w:val="center"/>
              <w:rPr>
                <w:spacing w:val="-4"/>
              </w:rPr>
            </w:pPr>
            <w:r>
              <w:rPr>
                <w:spacing w:val="-4"/>
              </w:rPr>
              <w:t>3 laid.</w:t>
            </w:r>
          </w:p>
        </w:tc>
        <w:tc>
          <w:tcPr>
            <w:tcW w:w="618" w:type="dxa"/>
            <w:gridSpan w:val="2"/>
            <w:vAlign w:val="center"/>
          </w:tcPr>
          <w:p>
            <w:pPr>
              <w:widowControl w:val="0"/>
              <w:jc w:val="center"/>
              <w:rPr>
                <w:spacing w:val="-4"/>
              </w:rPr>
            </w:pPr>
            <w:r>
              <w:rPr>
                <w:spacing w:val="-4"/>
              </w:rPr>
              <w:t>2 laid.</w:t>
            </w:r>
          </w:p>
        </w:tc>
        <w:tc>
          <w:tcPr>
            <w:tcW w:w="617" w:type="dxa"/>
            <w:gridSpan w:val="2"/>
            <w:vAlign w:val="center"/>
          </w:tcPr>
          <w:p>
            <w:pPr>
              <w:widowControl w:val="0"/>
              <w:jc w:val="center"/>
              <w:rPr>
                <w:spacing w:val="-4"/>
              </w:rPr>
            </w:pPr>
            <w:r>
              <w:rPr>
                <w:spacing w:val="-4"/>
              </w:rPr>
              <w:t>3 laid.</w:t>
            </w:r>
          </w:p>
        </w:tc>
        <w:tc>
          <w:tcPr>
            <w:tcW w:w="617" w:type="dxa"/>
            <w:gridSpan w:val="2"/>
            <w:vAlign w:val="center"/>
          </w:tcPr>
          <w:p>
            <w:pPr>
              <w:widowControl w:val="0"/>
              <w:jc w:val="center"/>
              <w:rPr>
                <w:spacing w:val="-4"/>
              </w:rPr>
            </w:pPr>
            <w:r>
              <w:rPr>
                <w:spacing w:val="-4"/>
              </w:rPr>
              <w:t>2 laid.</w:t>
            </w:r>
          </w:p>
        </w:tc>
        <w:tc>
          <w:tcPr>
            <w:tcW w:w="618" w:type="dxa"/>
            <w:gridSpan w:val="2"/>
            <w:vAlign w:val="center"/>
          </w:tcPr>
          <w:p>
            <w:pPr>
              <w:widowControl w:val="0"/>
              <w:jc w:val="center"/>
              <w:rPr>
                <w:spacing w:val="-4"/>
              </w:rPr>
            </w:pPr>
            <w:r>
              <w:rPr>
                <w:spacing w:val="-4"/>
              </w:rPr>
              <w:t>3 laid.</w:t>
            </w:r>
          </w:p>
        </w:tc>
      </w:tr>
      <w:tr>
        <w:trPr>
          <w:gridAfter w:val="1"/>
          <w:wAfter w:w="6" w:type="dxa"/>
          <w:cantSplit/>
          <w:trHeight w:val="20"/>
        </w:trPr>
        <w:tc>
          <w:tcPr>
            <w:tcW w:w="8307" w:type="dxa"/>
            <w:gridSpan w:val="26"/>
            <w:vAlign w:val="center"/>
          </w:tcPr>
          <w:p>
            <w:pPr>
              <w:widowControl w:val="0"/>
              <w:jc w:val="center"/>
            </w:pPr>
            <w:r>
              <w:t>Varinių laidininkų leistinoji ilgalaikė srovė, A</w:t>
            </w:r>
          </w:p>
        </w:tc>
      </w:tr>
      <w:tr>
        <w:trPr>
          <w:gridAfter w:val="1"/>
          <w:wAfter w:w="6" w:type="dxa"/>
          <w:cantSplit/>
          <w:trHeight w:val="20"/>
        </w:trPr>
        <w:tc>
          <w:tcPr>
            <w:tcW w:w="902" w:type="dxa"/>
            <w:gridSpan w:val="2"/>
            <w:vAlign w:val="center"/>
          </w:tcPr>
          <w:p>
            <w:pPr>
              <w:widowControl w:val="0"/>
              <w:jc w:val="center"/>
            </w:pPr>
            <w:r>
              <w:t>1,5</w:t>
            </w:r>
          </w:p>
        </w:tc>
        <w:tc>
          <w:tcPr>
            <w:tcW w:w="616" w:type="dxa"/>
            <w:gridSpan w:val="2"/>
            <w:vAlign w:val="center"/>
          </w:tcPr>
          <w:p>
            <w:pPr>
              <w:widowControl w:val="0"/>
              <w:jc w:val="center"/>
            </w:pPr>
            <w:r>
              <w:t>14,5</w:t>
            </w:r>
          </w:p>
        </w:tc>
        <w:tc>
          <w:tcPr>
            <w:tcW w:w="616" w:type="dxa"/>
            <w:gridSpan w:val="2"/>
            <w:vAlign w:val="center"/>
          </w:tcPr>
          <w:p>
            <w:pPr>
              <w:widowControl w:val="0"/>
              <w:jc w:val="center"/>
            </w:pPr>
            <w:r>
              <w:t>13,5</w:t>
            </w:r>
          </w:p>
        </w:tc>
        <w:tc>
          <w:tcPr>
            <w:tcW w:w="617" w:type="dxa"/>
            <w:gridSpan w:val="2"/>
            <w:vAlign w:val="center"/>
          </w:tcPr>
          <w:p>
            <w:pPr>
              <w:widowControl w:val="0"/>
              <w:jc w:val="center"/>
            </w:pPr>
            <w:r>
              <w:t>14</w:t>
            </w:r>
          </w:p>
        </w:tc>
        <w:tc>
          <w:tcPr>
            <w:tcW w:w="617" w:type="dxa"/>
            <w:gridSpan w:val="2"/>
            <w:vAlign w:val="center"/>
          </w:tcPr>
          <w:p>
            <w:pPr>
              <w:widowControl w:val="0"/>
              <w:jc w:val="center"/>
            </w:pPr>
            <w:r>
              <w:t>13</w:t>
            </w:r>
          </w:p>
        </w:tc>
        <w:tc>
          <w:tcPr>
            <w:tcW w:w="617" w:type="dxa"/>
            <w:gridSpan w:val="2"/>
            <w:vAlign w:val="center"/>
          </w:tcPr>
          <w:p>
            <w:pPr>
              <w:widowControl w:val="0"/>
              <w:jc w:val="center"/>
            </w:pPr>
            <w:r>
              <w:t>17,5</w:t>
            </w:r>
          </w:p>
        </w:tc>
        <w:tc>
          <w:tcPr>
            <w:tcW w:w="618" w:type="dxa"/>
            <w:gridSpan w:val="2"/>
            <w:vAlign w:val="center"/>
          </w:tcPr>
          <w:p>
            <w:pPr>
              <w:widowControl w:val="0"/>
              <w:jc w:val="center"/>
            </w:pPr>
            <w:r>
              <w:t>15,5</w:t>
            </w:r>
          </w:p>
        </w:tc>
        <w:tc>
          <w:tcPr>
            <w:tcW w:w="617" w:type="dxa"/>
            <w:gridSpan w:val="2"/>
            <w:vAlign w:val="center"/>
          </w:tcPr>
          <w:p>
            <w:pPr>
              <w:widowControl w:val="0"/>
              <w:jc w:val="center"/>
            </w:pPr>
            <w:r>
              <w:t>16,5</w:t>
            </w:r>
          </w:p>
        </w:tc>
        <w:tc>
          <w:tcPr>
            <w:tcW w:w="617" w:type="dxa"/>
            <w:gridSpan w:val="2"/>
            <w:vAlign w:val="center"/>
          </w:tcPr>
          <w:p>
            <w:pPr>
              <w:widowControl w:val="0"/>
              <w:jc w:val="center"/>
            </w:pPr>
            <w:r>
              <w:t>15</w:t>
            </w:r>
          </w:p>
        </w:tc>
        <w:tc>
          <w:tcPr>
            <w:tcW w:w="618" w:type="dxa"/>
            <w:gridSpan w:val="2"/>
            <w:vAlign w:val="center"/>
          </w:tcPr>
          <w:p>
            <w:pPr>
              <w:widowControl w:val="0"/>
              <w:jc w:val="center"/>
            </w:pPr>
            <w:r>
              <w:t>19,5</w:t>
            </w:r>
          </w:p>
        </w:tc>
        <w:tc>
          <w:tcPr>
            <w:tcW w:w="617" w:type="dxa"/>
            <w:gridSpan w:val="2"/>
            <w:vAlign w:val="center"/>
          </w:tcPr>
          <w:p>
            <w:pPr>
              <w:widowControl w:val="0"/>
              <w:jc w:val="center"/>
            </w:pPr>
            <w:r>
              <w:t>17,5</w:t>
            </w:r>
          </w:p>
        </w:tc>
        <w:tc>
          <w:tcPr>
            <w:tcW w:w="617" w:type="dxa"/>
            <w:gridSpan w:val="2"/>
            <w:vAlign w:val="center"/>
          </w:tcPr>
          <w:p>
            <w:pPr>
              <w:widowControl w:val="0"/>
              <w:jc w:val="center"/>
            </w:pPr>
            <w:r>
              <w:t>22</w:t>
            </w:r>
          </w:p>
        </w:tc>
        <w:tc>
          <w:tcPr>
            <w:tcW w:w="618" w:type="dxa"/>
            <w:gridSpan w:val="2"/>
            <w:vAlign w:val="center"/>
          </w:tcPr>
          <w:p>
            <w:pPr>
              <w:widowControl w:val="0"/>
              <w:jc w:val="center"/>
            </w:pPr>
            <w:r>
              <w:t>18</w:t>
            </w:r>
          </w:p>
        </w:tc>
      </w:tr>
      <w:tr>
        <w:trPr>
          <w:gridAfter w:val="1"/>
          <w:wAfter w:w="6" w:type="dxa"/>
          <w:cantSplit/>
          <w:trHeight w:val="20"/>
        </w:trPr>
        <w:tc>
          <w:tcPr>
            <w:tcW w:w="902" w:type="dxa"/>
            <w:gridSpan w:val="2"/>
            <w:vAlign w:val="center"/>
          </w:tcPr>
          <w:p>
            <w:pPr>
              <w:widowControl w:val="0"/>
              <w:jc w:val="center"/>
            </w:pPr>
            <w:r>
              <w:t>2,5</w:t>
            </w:r>
          </w:p>
        </w:tc>
        <w:tc>
          <w:tcPr>
            <w:tcW w:w="616" w:type="dxa"/>
            <w:gridSpan w:val="2"/>
            <w:vAlign w:val="center"/>
          </w:tcPr>
          <w:p>
            <w:pPr>
              <w:widowControl w:val="0"/>
              <w:jc w:val="center"/>
            </w:pPr>
            <w:r>
              <w:t>19,5</w:t>
            </w:r>
          </w:p>
        </w:tc>
        <w:tc>
          <w:tcPr>
            <w:tcW w:w="616" w:type="dxa"/>
            <w:gridSpan w:val="2"/>
            <w:vAlign w:val="center"/>
          </w:tcPr>
          <w:p>
            <w:pPr>
              <w:widowControl w:val="0"/>
              <w:jc w:val="center"/>
            </w:pPr>
            <w:r>
              <w:t>18</w:t>
            </w:r>
          </w:p>
        </w:tc>
        <w:tc>
          <w:tcPr>
            <w:tcW w:w="617" w:type="dxa"/>
            <w:gridSpan w:val="2"/>
            <w:vAlign w:val="center"/>
          </w:tcPr>
          <w:p>
            <w:pPr>
              <w:widowControl w:val="0"/>
              <w:jc w:val="center"/>
            </w:pPr>
            <w:r>
              <w:t>18,5</w:t>
            </w:r>
          </w:p>
        </w:tc>
        <w:tc>
          <w:tcPr>
            <w:tcW w:w="617" w:type="dxa"/>
            <w:gridSpan w:val="2"/>
            <w:vAlign w:val="center"/>
          </w:tcPr>
          <w:p>
            <w:pPr>
              <w:widowControl w:val="0"/>
              <w:jc w:val="center"/>
            </w:pPr>
            <w:r>
              <w:t>17,5</w:t>
            </w:r>
          </w:p>
        </w:tc>
        <w:tc>
          <w:tcPr>
            <w:tcW w:w="617" w:type="dxa"/>
            <w:gridSpan w:val="2"/>
            <w:vAlign w:val="center"/>
          </w:tcPr>
          <w:p>
            <w:pPr>
              <w:widowControl w:val="0"/>
              <w:jc w:val="center"/>
            </w:pPr>
            <w:r>
              <w:t>24</w:t>
            </w:r>
          </w:p>
        </w:tc>
        <w:tc>
          <w:tcPr>
            <w:tcW w:w="618" w:type="dxa"/>
            <w:gridSpan w:val="2"/>
            <w:vAlign w:val="center"/>
          </w:tcPr>
          <w:p>
            <w:pPr>
              <w:widowControl w:val="0"/>
              <w:jc w:val="center"/>
            </w:pPr>
            <w:r>
              <w:t>21</w:t>
            </w:r>
          </w:p>
        </w:tc>
        <w:tc>
          <w:tcPr>
            <w:tcW w:w="617" w:type="dxa"/>
            <w:gridSpan w:val="2"/>
            <w:vAlign w:val="center"/>
          </w:tcPr>
          <w:p>
            <w:pPr>
              <w:widowControl w:val="0"/>
              <w:jc w:val="center"/>
            </w:pPr>
            <w:r>
              <w:t>23</w:t>
            </w:r>
          </w:p>
        </w:tc>
        <w:tc>
          <w:tcPr>
            <w:tcW w:w="617" w:type="dxa"/>
            <w:gridSpan w:val="2"/>
            <w:vAlign w:val="center"/>
          </w:tcPr>
          <w:p>
            <w:pPr>
              <w:widowControl w:val="0"/>
              <w:jc w:val="center"/>
            </w:pPr>
            <w:r>
              <w:t>20</w:t>
            </w:r>
          </w:p>
        </w:tc>
        <w:tc>
          <w:tcPr>
            <w:tcW w:w="618" w:type="dxa"/>
            <w:gridSpan w:val="2"/>
            <w:vAlign w:val="center"/>
          </w:tcPr>
          <w:p>
            <w:pPr>
              <w:widowControl w:val="0"/>
              <w:jc w:val="center"/>
            </w:pPr>
            <w:r>
              <w:t>27</w:t>
            </w:r>
          </w:p>
        </w:tc>
        <w:tc>
          <w:tcPr>
            <w:tcW w:w="617" w:type="dxa"/>
            <w:gridSpan w:val="2"/>
            <w:vAlign w:val="center"/>
          </w:tcPr>
          <w:p>
            <w:pPr>
              <w:widowControl w:val="0"/>
              <w:jc w:val="center"/>
            </w:pPr>
            <w:r>
              <w:t>24</w:t>
            </w:r>
          </w:p>
        </w:tc>
        <w:tc>
          <w:tcPr>
            <w:tcW w:w="617" w:type="dxa"/>
            <w:gridSpan w:val="2"/>
            <w:vAlign w:val="center"/>
          </w:tcPr>
          <w:p>
            <w:pPr>
              <w:widowControl w:val="0"/>
              <w:jc w:val="center"/>
            </w:pPr>
            <w:r>
              <w:t>29</w:t>
            </w:r>
          </w:p>
        </w:tc>
        <w:tc>
          <w:tcPr>
            <w:tcW w:w="618" w:type="dxa"/>
            <w:gridSpan w:val="2"/>
            <w:vAlign w:val="center"/>
          </w:tcPr>
          <w:p>
            <w:pPr>
              <w:widowControl w:val="0"/>
              <w:jc w:val="center"/>
            </w:pPr>
            <w:r>
              <w:t>24</w:t>
            </w:r>
          </w:p>
        </w:tc>
      </w:tr>
      <w:tr>
        <w:trPr>
          <w:gridAfter w:val="1"/>
          <w:wAfter w:w="6" w:type="dxa"/>
          <w:cantSplit/>
          <w:trHeight w:val="20"/>
        </w:trPr>
        <w:tc>
          <w:tcPr>
            <w:tcW w:w="902" w:type="dxa"/>
            <w:gridSpan w:val="2"/>
            <w:vAlign w:val="center"/>
          </w:tcPr>
          <w:p>
            <w:pPr>
              <w:widowControl w:val="0"/>
              <w:jc w:val="center"/>
            </w:pPr>
            <w:r>
              <w:t>4</w:t>
            </w:r>
          </w:p>
        </w:tc>
        <w:tc>
          <w:tcPr>
            <w:tcW w:w="616" w:type="dxa"/>
            <w:gridSpan w:val="2"/>
            <w:vAlign w:val="center"/>
          </w:tcPr>
          <w:p>
            <w:pPr>
              <w:widowControl w:val="0"/>
              <w:jc w:val="center"/>
            </w:pPr>
            <w:r>
              <w:t>14</w:t>
            </w:r>
          </w:p>
        </w:tc>
        <w:tc>
          <w:tcPr>
            <w:tcW w:w="616" w:type="dxa"/>
            <w:gridSpan w:val="2"/>
            <w:vAlign w:val="center"/>
          </w:tcPr>
          <w:p>
            <w:pPr>
              <w:widowControl w:val="0"/>
              <w:jc w:val="center"/>
            </w:pPr>
            <w:r>
              <w:t>24</w:t>
            </w:r>
          </w:p>
        </w:tc>
        <w:tc>
          <w:tcPr>
            <w:tcW w:w="617" w:type="dxa"/>
            <w:gridSpan w:val="2"/>
            <w:vAlign w:val="center"/>
          </w:tcPr>
          <w:p>
            <w:pPr>
              <w:widowControl w:val="0"/>
              <w:jc w:val="center"/>
            </w:pPr>
            <w:r>
              <w:t>25</w:t>
            </w:r>
          </w:p>
        </w:tc>
        <w:tc>
          <w:tcPr>
            <w:tcW w:w="617" w:type="dxa"/>
            <w:gridSpan w:val="2"/>
            <w:vAlign w:val="center"/>
          </w:tcPr>
          <w:p>
            <w:pPr>
              <w:widowControl w:val="0"/>
              <w:jc w:val="center"/>
            </w:pPr>
            <w:r>
              <w:t>23</w:t>
            </w:r>
          </w:p>
        </w:tc>
        <w:tc>
          <w:tcPr>
            <w:tcW w:w="617" w:type="dxa"/>
            <w:gridSpan w:val="2"/>
            <w:vAlign w:val="center"/>
          </w:tcPr>
          <w:p>
            <w:pPr>
              <w:widowControl w:val="0"/>
              <w:jc w:val="center"/>
            </w:pPr>
            <w:r>
              <w:t>32</w:t>
            </w:r>
          </w:p>
        </w:tc>
        <w:tc>
          <w:tcPr>
            <w:tcW w:w="618" w:type="dxa"/>
            <w:gridSpan w:val="2"/>
            <w:vAlign w:val="center"/>
          </w:tcPr>
          <w:p>
            <w:pPr>
              <w:widowControl w:val="0"/>
              <w:jc w:val="center"/>
            </w:pPr>
            <w:r>
              <w:t>28</w:t>
            </w:r>
          </w:p>
        </w:tc>
        <w:tc>
          <w:tcPr>
            <w:tcW w:w="617" w:type="dxa"/>
            <w:gridSpan w:val="2"/>
            <w:vAlign w:val="center"/>
          </w:tcPr>
          <w:p>
            <w:pPr>
              <w:widowControl w:val="0"/>
              <w:jc w:val="center"/>
            </w:pPr>
            <w:r>
              <w:t>30</w:t>
            </w:r>
          </w:p>
        </w:tc>
        <w:tc>
          <w:tcPr>
            <w:tcW w:w="617" w:type="dxa"/>
            <w:gridSpan w:val="2"/>
            <w:vAlign w:val="center"/>
          </w:tcPr>
          <w:p>
            <w:pPr>
              <w:widowControl w:val="0"/>
              <w:jc w:val="center"/>
            </w:pPr>
            <w:r>
              <w:t>27</w:t>
            </w:r>
          </w:p>
        </w:tc>
        <w:tc>
          <w:tcPr>
            <w:tcW w:w="618" w:type="dxa"/>
            <w:gridSpan w:val="2"/>
            <w:vAlign w:val="center"/>
          </w:tcPr>
          <w:p>
            <w:pPr>
              <w:widowControl w:val="0"/>
              <w:jc w:val="center"/>
            </w:pPr>
            <w:r>
              <w:t>36</w:t>
            </w:r>
          </w:p>
        </w:tc>
        <w:tc>
          <w:tcPr>
            <w:tcW w:w="617" w:type="dxa"/>
            <w:gridSpan w:val="2"/>
            <w:vAlign w:val="center"/>
          </w:tcPr>
          <w:p>
            <w:pPr>
              <w:widowControl w:val="0"/>
              <w:jc w:val="center"/>
            </w:pPr>
            <w:r>
              <w:t>32</w:t>
            </w:r>
          </w:p>
        </w:tc>
        <w:tc>
          <w:tcPr>
            <w:tcW w:w="617" w:type="dxa"/>
            <w:gridSpan w:val="2"/>
            <w:vAlign w:val="center"/>
          </w:tcPr>
          <w:p>
            <w:pPr>
              <w:widowControl w:val="0"/>
              <w:jc w:val="center"/>
            </w:pPr>
            <w:r>
              <w:t>38</w:t>
            </w:r>
          </w:p>
        </w:tc>
        <w:tc>
          <w:tcPr>
            <w:tcW w:w="618" w:type="dxa"/>
            <w:gridSpan w:val="2"/>
            <w:vAlign w:val="center"/>
          </w:tcPr>
          <w:p>
            <w:pPr>
              <w:widowControl w:val="0"/>
              <w:jc w:val="center"/>
            </w:pPr>
            <w:r>
              <w:t>31</w:t>
            </w:r>
          </w:p>
        </w:tc>
      </w:tr>
      <w:tr>
        <w:trPr>
          <w:gridAfter w:val="1"/>
          <w:wAfter w:w="6" w:type="dxa"/>
          <w:cantSplit/>
          <w:trHeight w:val="20"/>
        </w:trPr>
        <w:tc>
          <w:tcPr>
            <w:tcW w:w="902" w:type="dxa"/>
            <w:gridSpan w:val="2"/>
            <w:vAlign w:val="center"/>
          </w:tcPr>
          <w:p>
            <w:pPr>
              <w:widowControl w:val="0"/>
              <w:jc w:val="center"/>
            </w:pPr>
            <w:r>
              <w:t>6</w:t>
            </w:r>
          </w:p>
        </w:tc>
        <w:tc>
          <w:tcPr>
            <w:tcW w:w="616" w:type="dxa"/>
            <w:gridSpan w:val="2"/>
            <w:vAlign w:val="center"/>
          </w:tcPr>
          <w:p>
            <w:pPr>
              <w:widowControl w:val="0"/>
              <w:jc w:val="center"/>
            </w:pPr>
            <w:r>
              <w:t>18,5</w:t>
            </w:r>
          </w:p>
        </w:tc>
        <w:tc>
          <w:tcPr>
            <w:tcW w:w="616" w:type="dxa"/>
            <w:gridSpan w:val="2"/>
            <w:vAlign w:val="center"/>
          </w:tcPr>
          <w:p>
            <w:pPr>
              <w:widowControl w:val="0"/>
              <w:jc w:val="center"/>
            </w:pPr>
            <w:r>
              <w:t>31</w:t>
            </w:r>
          </w:p>
        </w:tc>
        <w:tc>
          <w:tcPr>
            <w:tcW w:w="617" w:type="dxa"/>
            <w:gridSpan w:val="2"/>
            <w:vAlign w:val="center"/>
          </w:tcPr>
          <w:p>
            <w:pPr>
              <w:widowControl w:val="0"/>
              <w:jc w:val="center"/>
            </w:pPr>
            <w:r>
              <w:t>32</w:t>
            </w:r>
          </w:p>
        </w:tc>
        <w:tc>
          <w:tcPr>
            <w:tcW w:w="617" w:type="dxa"/>
            <w:gridSpan w:val="2"/>
            <w:vAlign w:val="center"/>
          </w:tcPr>
          <w:p>
            <w:pPr>
              <w:widowControl w:val="0"/>
              <w:jc w:val="center"/>
            </w:pPr>
            <w:r>
              <w:t>29</w:t>
            </w:r>
          </w:p>
        </w:tc>
        <w:tc>
          <w:tcPr>
            <w:tcW w:w="617" w:type="dxa"/>
            <w:gridSpan w:val="2"/>
            <w:vAlign w:val="center"/>
          </w:tcPr>
          <w:p>
            <w:pPr>
              <w:widowControl w:val="0"/>
              <w:jc w:val="center"/>
            </w:pPr>
            <w:r>
              <w:t>41</w:t>
            </w:r>
          </w:p>
        </w:tc>
        <w:tc>
          <w:tcPr>
            <w:tcW w:w="618" w:type="dxa"/>
            <w:gridSpan w:val="2"/>
            <w:vAlign w:val="center"/>
          </w:tcPr>
          <w:p>
            <w:pPr>
              <w:widowControl w:val="0"/>
              <w:jc w:val="center"/>
            </w:pPr>
            <w:r>
              <w:t>36</w:t>
            </w:r>
          </w:p>
        </w:tc>
        <w:tc>
          <w:tcPr>
            <w:tcW w:w="617" w:type="dxa"/>
            <w:gridSpan w:val="2"/>
            <w:vAlign w:val="center"/>
          </w:tcPr>
          <w:p>
            <w:pPr>
              <w:widowControl w:val="0"/>
              <w:jc w:val="center"/>
            </w:pPr>
            <w:r>
              <w:t>38</w:t>
            </w:r>
          </w:p>
        </w:tc>
        <w:tc>
          <w:tcPr>
            <w:tcW w:w="617" w:type="dxa"/>
            <w:gridSpan w:val="2"/>
            <w:vAlign w:val="center"/>
          </w:tcPr>
          <w:p>
            <w:pPr>
              <w:widowControl w:val="0"/>
              <w:jc w:val="center"/>
            </w:pPr>
            <w:r>
              <w:t>34</w:t>
            </w:r>
          </w:p>
        </w:tc>
        <w:tc>
          <w:tcPr>
            <w:tcW w:w="618" w:type="dxa"/>
            <w:gridSpan w:val="2"/>
            <w:vAlign w:val="center"/>
          </w:tcPr>
          <w:p>
            <w:pPr>
              <w:widowControl w:val="0"/>
              <w:jc w:val="center"/>
            </w:pPr>
            <w:r>
              <w:t>46</w:t>
            </w:r>
          </w:p>
        </w:tc>
        <w:tc>
          <w:tcPr>
            <w:tcW w:w="617" w:type="dxa"/>
            <w:gridSpan w:val="2"/>
            <w:vAlign w:val="center"/>
          </w:tcPr>
          <w:p>
            <w:pPr>
              <w:widowControl w:val="0"/>
              <w:jc w:val="center"/>
            </w:pPr>
            <w:r>
              <w:t>41</w:t>
            </w:r>
          </w:p>
        </w:tc>
        <w:tc>
          <w:tcPr>
            <w:tcW w:w="617" w:type="dxa"/>
            <w:gridSpan w:val="2"/>
            <w:vAlign w:val="center"/>
          </w:tcPr>
          <w:p>
            <w:pPr>
              <w:widowControl w:val="0"/>
              <w:jc w:val="center"/>
            </w:pPr>
            <w:r>
              <w:t>47</w:t>
            </w:r>
          </w:p>
        </w:tc>
        <w:tc>
          <w:tcPr>
            <w:tcW w:w="618" w:type="dxa"/>
            <w:gridSpan w:val="2"/>
            <w:vAlign w:val="center"/>
          </w:tcPr>
          <w:p>
            <w:pPr>
              <w:widowControl w:val="0"/>
              <w:jc w:val="center"/>
            </w:pPr>
            <w:r>
              <w:t>39</w:t>
            </w:r>
          </w:p>
        </w:tc>
      </w:tr>
      <w:tr>
        <w:trPr>
          <w:gridAfter w:val="1"/>
          <w:wAfter w:w="6" w:type="dxa"/>
          <w:cantSplit/>
          <w:trHeight w:val="20"/>
        </w:trPr>
        <w:tc>
          <w:tcPr>
            <w:tcW w:w="902" w:type="dxa"/>
            <w:gridSpan w:val="2"/>
            <w:vAlign w:val="center"/>
          </w:tcPr>
          <w:p>
            <w:pPr>
              <w:widowControl w:val="0"/>
              <w:jc w:val="center"/>
            </w:pPr>
            <w:r>
              <w:t>10</w:t>
            </w:r>
          </w:p>
        </w:tc>
        <w:tc>
          <w:tcPr>
            <w:tcW w:w="616" w:type="dxa"/>
            <w:gridSpan w:val="2"/>
            <w:vAlign w:val="center"/>
          </w:tcPr>
          <w:p>
            <w:pPr>
              <w:widowControl w:val="0"/>
              <w:jc w:val="center"/>
            </w:pPr>
            <w:r>
              <w:t>25</w:t>
            </w:r>
          </w:p>
        </w:tc>
        <w:tc>
          <w:tcPr>
            <w:tcW w:w="616" w:type="dxa"/>
            <w:gridSpan w:val="2"/>
            <w:vAlign w:val="center"/>
          </w:tcPr>
          <w:p>
            <w:pPr>
              <w:widowControl w:val="0"/>
              <w:jc w:val="center"/>
            </w:pPr>
            <w:r>
              <w:t>42</w:t>
            </w:r>
          </w:p>
        </w:tc>
        <w:tc>
          <w:tcPr>
            <w:tcW w:w="617" w:type="dxa"/>
            <w:gridSpan w:val="2"/>
            <w:vAlign w:val="center"/>
          </w:tcPr>
          <w:p>
            <w:pPr>
              <w:widowControl w:val="0"/>
              <w:jc w:val="center"/>
            </w:pPr>
            <w:r>
              <w:t>43</w:t>
            </w:r>
          </w:p>
        </w:tc>
        <w:tc>
          <w:tcPr>
            <w:tcW w:w="617" w:type="dxa"/>
            <w:gridSpan w:val="2"/>
            <w:vAlign w:val="center"/>
          </w:tcPr>
          <w:p>
            <w:pPr>
              <w:widowControl w:val="0"/>
              <w:jc w:val="center"/>
            </w:pPr>
            <w:r>
              <w:t>39</w:t>
            </w:r>
          </w:p>
        </w:tc>
        <w:tc>
          <w:tcPr>
            <w:tcW w:w="617" w:type="dxa"/>
            <w:gridSpan w:val="2"/>
            <w:vAlign w:val="center"/>
          </w:tcPr>
          <w:p>
            <w:pPr>
              <w:widowControl w:val="0"/>
              <w:jc w:val="center"/>
            </w:pPr>
            <w:r>
              <w:t>57</w:t>
            </w:r>
          </w:p>
        </w:tc>
        <w:tc>
          <w:tcPr>
            <w:tcW w:w="618" w:type="dxa"/>
            <w:gridSpan w:val="2"/>
            <w:vAlign w:val="center"/>
          </w:tcPr>
          <w:p>
            <w:pPr>
              <w:widowControl w:val="0"/>
              <w:jc w:val="center"/>
            </w:pPr>
            <w:r>
              <w:t>50</w:t>
            </w:r>
          </w:p>
        </w:tc>
        <w:tc>
          <w:tcPr>
            <w:tcW w:w="617" w:type="dxa"/>
            <w:gridSpan w:val="2"/>
            <w:vAlign w:val="center"/>
          </w:tcPr>
          <w:p>
            <w:pPr>
              <w:widowControl w:val="0"/>
              <w:jc w:val="center"/>
            </w:pPr>
            <w:r>
              <w:t>52</w:t>
            </w:r>
          </w:p>
        </w:tc>
        <w:tc>
          <w:tcPr>
            <w:tcW w:w="617" w:type="dxa"/>
            <w:gridSpan w:val="2"/>
            <w:vAlign w:val="center"/>
          </w:tcPr>
          <w:p>
            <w:pPr>
              <w:widowControl w:val="0"/>
              <w:jc w:val="center"/>
            </w:pPr>
            <w:r>
              <w:t>46</w:t>
            </w:r>
          </w:p>
        </w:tc>
        <w:tc>
          <w:tcPr>
            <w:tcW w:w="618" w:type="dxa"/>
            <w:gridSpan w:val="2"/>
            <w:vAlign w:val="center"/>
          </w:tcPr>
          <w:p>
            <w:pPr>
              <w:widowControl w:val="0"/>
              <w:jc w:val="center"/>
            </w:pPr>
            <w:r>
              <w:t>63</w:t>
            </w:r>
          </w:p>
        </w:tc>
        <w:tc>
          <w:tcPr>
            <w:tcW w:w="617" w:type="dxa"/>
            <w:gridSpan w:val="2"/>
            <w:vAlign w:val="center"/>
          </w:tcPr>
          <w:p>
            <w:pPr>
              <w:widowControl w:val="0"/>
              <w:jc w:val="center"/>
            </w:pPr>
            <w:r>
              <w:t>57</w:t>
            </w:r>
          </w:p>
        </w:tc>
        <w:tc>
          <w:tcPr>
            <w:tcW w:w="617" w:type="dxa"/>
            <w:gridSpan w:val="2"/>
            <w:vAlign w:val="center"/>
          </w:tcPr>
          <w:p>
            <w:pPr>
              <w:widowControl w:val="0"/>
              <w:jc w:val="center"/>
            </w:pPr>
            <w:r>
              <w:t>63</w:t>
            </w:r>
          </w:p>
        </w:tc>
        <w:tc>
          <w:tcPr>
            <w:tcW w:w="618" w:type="dxa"/>
            <w:gridSpan w:val="2"/>
            <w:vAlign w:val="center"/>
          </w:tcPr>
          <w:p>
            <w:pPr>
              <w:widowControl w:val="0"/>
              <w:jc w:val="center"/>
            </w:pPr>
            <w:r>
              <w:t>52</w:t>
            </w:r>
          </w:p>
        </w:tc>
      </w:tr>
      <w:tr>
        <w:trPr>
          <w:gridAfter w:val="1"/>
          <w:wAfter w:w="6" w:type="dxa"/>
          <w:cantSplit/>
          <w:trHeight w:val="20"/>
        </w:trPr>
        <w:tc>
          <w:tcPr>
            <w:tcW w:w="902" w:type="dxa"/>
            <w:gridSpan w:val="2"/>
            <w:vAlign w:val="center"/>
          </w:tcPr>
          <w:p>
            <w:pPr>
              <w:widowControl w:val="0"/>
              <w:jc w:val="center"/>
            </w:pPr>
            <w:r>
              <w:t>16</w:t>
            </w:r>
          </w:p>
        </w:tc>
        <w:tc>
          <w:tcPr>
            <w:tcW w:w="616" w:type="dxa"/>
            <w:gridSpan w:val="2"/>
            <w:vAlign w:val="center"/>
          </w:tcPr>
          <w:p>
            <w:pPr>
              <w:widowControl w:val="0"/>
              <w:jc w:val="center"/>
            </w:pPr>
            <w:r>
              <w:t>32</w:t>
            </w:r>
          </w:p>
        </w:tc>
        <w:tc>
          <w:tcPr>
            <w:tcW w:w="616" w:type="dxa"/>
            <w:gridSpan w:val="2"/>
            <w:vAlign w:val="center"/>
          </w:tcPr>
          <w:p>
            <w:pPr>
              <w:widowControl w:val="0"/>
              <w:jc w:val="center"/>
            </w:pPr>
            <w:r>
              <w:t>56</w:t>
            </w:r>
          </w:p>
        </w:tc>
        <w:tc>
          <w:tcPr>
            <w:tcW w:w="617" w:type="dxa"/>
            <w:gridSpan w:val="2"/>
            <w:vAlign w:val="center"/>
          </w:tcPr>
          <w:p>
            <w:pPr>
              <w:widowControl w:val="0"/>
              <w:jc w:val="center"/>
            </w:pPr>
            <w:r>
              <w:t>57</w:t>
            </w:r>
          </w:p>
        </w:tc>
        <w:tc>
          <w:tcPr>
            <w:tcW w:w="617" w:type="dxa"/>
            <w:gridSpan w:val="2"/>
            <w:vAlign w:val="center"/>
          </w:tcPr>
          <w:p>
            <w:pPr>
              <w:widowControl w:val="0"/>
              <w:jc w:val="center"/>
            </w:pPr>
            <w:r>
              <w:t>52</w:t>
            </w:r>
          </w:p>
        </w:tc>
        <w:tc>
          <w:tcPr>
            <w:tcW w:w="617" w:type="dxa"/>
            <w:gridSpan w:val="2"/>
            <w:vAlign w:val="center"/>
          </w:tcPr>
          <w:p>
            <w:pPr>
              <w:widowControl w:val="0"/>
              <w:jc w:val="center"/>
            </w:pPr>
            <w:r>
              <w:t>76</w:t>
            </w:r>
          </w:p>
        </w:tc>
        <w:tc>
          <w:tcPr>
            <w:tcW w:w="618" w:type="dxa"/>
            <w:gridSpan w:val="2"/>
            <w:vAlign w:val="center"/>
          </w:tcPr>
          <w:p>
            <w:pPr>
              <w:widowControl w:val="0"/>
              <w:jc w:val="center"/>
            </w:pPr>
            <w:r>
              <w:t>68</w:t>
            </w:r>
          </w:p>
        </w:tc>
        <w:tc>
          <w:tcPr>
            <w:tcW w:w="617" w:type="dxa"/>
            <w:gridSpan w:val="2"/>
            <w:vAlign w:val="center"/>
          </w:tcPr>
          <w:p>
            <w:pPr>
              <w:widowControl w:val="0"/>
              <w:jc w:val="center"/>
            </w:pPr>
            <w:r>
              <w:t>69</w:t>
            </w:r>
          </w:p>
        </w:tc>
        <w:tc>
          <w:tcPr>
            <w:tcW w:w="617" w:type="dxa"/>
            <w:gridSpan w:val="2"/>
            <w:vAlign w:val="center"/>
          </w:tcPr>
          <w:p>
            <w:pPr>
              <w:widowControl w:val="0"/>
              <w:jc w:val="center"/>
            </w:pPr>
            <w:r>
              <w:t>62</w:t>
            </w:r>
          </w:p>
        </w:tc>
        <w:tc>
          <w:tcPr>
            <w:tcW w:w="618" w:type="dxa"/>
            <w:gridSpan w:val="2"/>
            <w:vAlign w:val="center"/>
          </w:tcPr>
          <w:p>
            <w:pPr>
              <w:widowControl w:val="0"/>
              <w:jc w:val="center"/>
            </w:pPr>
            <w:r>
              <w:t>85</w:t>
            </w:r>
          </w:p>
        </w:tc>
        <w:tc>
          <w:tcPr>
            <w:tcW w:w="617" w:type="dxa"/>
            <w:gridSpan w:val="2"/>
            <w:vAlign w:val="center"/>
          </w:tcPr>
          <w:p>
            <w:pPr>
              <w:widowControl w:val="0"/>
              <w:jc w:val="center"/>
            </w:pPr>
            <w:r>
              <w:t>76</w:t>
            </w:r>
          </w:p>
        </w:tc>
        <w:tc>
          <w:tcPr>
            <w:tcW w:w="617" w:type="dxa"/>
            <w:gridSpan w:val="2"/>
            <w:vAlign w:val="center"/>
          </w:tcPr>
          <w:p>
            <w:pPr>
              <w:widowControl w:val="0"/>
              <w:jc w:val="center"/>
            </w:pPr>
            <w:r>
              <w:t>81</w:t>
            </w:r>
          </w:p>
        </w:tc>
        <w:tc>
          <w:tcPr>
            <w:tcW w:w="618" w:type="dxa"/>
            <w:gridSpan w:val="2"/>
            <w:vAlign w:val="center"/>
          </w:tcPr>
          <w:p>
            <w:pPr>
              <w:widowControl w:val="0"/>
              <w:jc w:val="center"/>
            </w:pPr>
            <w:r>
              <w:t>67</w:t>
            </w:r>
          </w:p>
        </w:tc>
      </w:tr>
      <w:tr>
        <w:trPr>
          <w:gridAfter w:val="1"/>
          <w:wAfter w:w="6" w:type="dxa"/>
          <w:cantSplit/>
          <w:trHeight w:val="20"/>
        </w:trPr>
        <w:tc>
          <w:tcPr>
            <w:tcW w:w="902" w:type="dxa"/>
            <w:gridSpan w:val="2"/>
            <w:vAlign w:val="center"/>
          </w:tcPr>
          <w:p>
            <w:pPr>
              <w:widowControl w:val="0"/>
              <w:jc w:val="center"/>
            </w:pPr>
            <w:r>
              <w:t>25</w:t>
            </w:r>
          </w:p>
        </w:tc>
        <w:tc>
          <w:tcPr>
            <w:tcW w:w="616" w:type="dxa"/>
            <w:gridSpan w:val="2"/>
            <w:vAlign w:val="center"/>
          </w:tcPr>
          <w:p>
            <w:pPr>
              <w:widowControl w:val="0"/>
              <w:jc w:val="center"/>
            </w:pPr>
            <w:r>
              <w:t>43</w:t>
            </w:r>
          </w:p>
        </w:tc>
        <w:tc>
          <w:tcPr>
            <w:tcW w:w="616" w:type="dxa"/>
            <w:gridSpan w:val="2"/>
            <w:vAlign w:val="center"/>
          </w:tcPr>
          <w:p>
            <w:pPr>
              <w:widowControl w:val="0"/>
              <w:jc w:val="center"/>
            </w:pPr>
            <w:r>
              <w:t>73</w:t>
            </w:r>
          </w:p>
        </w:tc>
        <w:tc>
          <w:tcPr>
            <w:tcW w:w="617" w:type="dxa"/>
            <w:gridSpan w:val="2"/>
            <w:vAlign w:val="center"/>
          </w:tcPr>
          <w:p>
            <w:pPr>
              <w:widowControl w:val="0"/>
              <w:jc w:val="center"/>
            </w:pPr>
            <w:r>
              <w:t>75</w:t>
            </w:r>
          </w:p>
        </w:tc>
        <w:tc>
          <w:tcPr>
            <w:tcW w:w="617" w:type="dxa"/>
            <w:gridSpan w:val="2"/>
            <w:vAlign w:val="center"/>
          </w:tcPr>
          <w:p>
            <w:pPr>
              <w:widowControl w:val="0"/>
              <w:jc w:val="center"/>
            </w:pPr>
            <w:r>
              <w:t>68</w:t>
            </w:r>
          </w:p>
        </w:tc>
        <w:tc>
          <w:tcPr>
            <w:tcW w:w="617" w:type="dxa"/>
            <w:gridSpan w:val="2"/>
            <w:vAlign w:val="center"/>
          </w:tcPr>
          <w:p>
            <w:pPr>
              <w:widowControl w:val="0"/>
              <w:jc w:val="center"/>
            </w:pPr>
            <w:r>
              <w:t>101</w:t>
            </w:r>
          </w:p>
        </w:tc>
        <w:tc>
          <w:tcPr>
            <w:tcW w:w="618" w:type="dxa"/>
            <w:gridSpan w:val="2"/>
            <w:vAlign w:val="center"/>
          </w:tcPr>
          <w:p>
            <w:pPr>
              <w:widowControl w:val="0"/>
              <w:jc w:val="center"/>
            </w:pPr>
            <w:r>
              <w:t>89</w:t>
            </w:r>
          </w:p>
        </w:tc>
        <w:tc>
          <w:tcPr>
            <w:tcW w:w="617" w:type="dxa"/>
            <w:gridSpan w:val="2"/>
            <w:vAlign w:val="center"/>
          </w:tcPr>
          <w:p>
            <w:pPr>
              <w:widowControl w:val="0"/>
              <w:jc w:val="center"/>
            </w:pPr>
            <w:r>
              <w:t>90</w:t>
            </w:r>
          </w:p>
        </w:tc>
        <w:tc>
          <w:tcPr>
            <w:tcW w:w="617" w:type="dxa"/>
            <w:gridSpan w:val="2"/>
            <w:vAlign w:val="center"/>
          </w:tcPr>
          <w:p>
            <w:pPr>
              <w:widowControl w:val="0"/>
              <w:jc w:val="center"/>
            </w:pPr>
            <w:r>
              <w:t>80</w:t>
            </w:r>
          </w:p>
        </w:tc>
        <w:tc>
          <w:tcPr>
            <w:tcW w:w="618" w:type="dxa"/>
            <w:gridSpan w:val="2"/>
            <w:vAlign w:val="center"/>
          </w:tcPr>
          <w:p>
            <w:pPr>
              <w:widowControl w:val="0"/>
              <w:jc w:val="center"/>
            </w:pPr>
            <w:r>
              <w:t>112</w:t>
            </w:r>
          </w:p>
        </w:tc>
        <w:tc>
          <w:tcPr>
            <w:tcW w:w="617" w:type="dxa"/>
            <w:gridSpan w:val="2"/>
            <w:vAlign w:val="center"/>
          </w:tcPr>
          <w:p>
            <w:pPr>
              <w:widowControl w:val="0"/>
              <w:jc w:val="center"/>
            </w:pPr>
            <w:r>
              <w:t>96</w:t>
            </w:r>
          </w:p>
        </w:tc>
        <w:tc>
          <w:tcPr>
            <w:tcW w:w="617" w:type="dxa"/>
            <w:gridSpan w:val="2"/>
            <w:vAlign w:val="center"/>
          </w:tcPr>
          <w:p>
            <w:pPr>
              <w:widowControl w:val="0"/>
              <w:jc w:val="center"/>
            </w:pPr>
            <w:r>
              <w:t>104</w:t>
            </w:r>
          </w:p>
        </w:tc>
        <w:tc>
          <w:tcPr>
            <w:tcW w:w="618" w:type="dxa"/>
            <w:gridSpan w:val="2"/>
            <w:vAlign w:val="center"/>
          </w:tcPr>
          <w:p>
            <w:pPr>
              <w:widowControl w:val="0"/>
              <w:jc w:val="center"/>
            </w:pPr>
            <w:r>
              <w:t>86</w:t>
            </w:r>
          </w:p>
        </w:tc>
      </w:tr>
      <w:tr>
        <w:trPr>
          <w:gridAfter w:val="1"/>
          <w:wAfter w:w="6" w:type="dxa"/>
          <w:cantSplit/>
          <w:trHeight w:val="20"/>
        </w:trPr>
        <w:tc>
          <w:tcPr>
            <w:tcW w:w="902" w:type="dxa"/>
            <w:gridSpan w:val="2"/>
            <w:vAlign w:val="center"/>
          </w:tcPr>
          <w:p>
            <w:pPr>
              <w:widowControl w:val="0"/>
              <w:jc w:val="center"/>
            </w:pPr>
            <w:r>
              <w:t>35</w:t>
            </w:r>
          </w:p>
        </w:tc>
        <w:tc>
          <w:tcPr>
            <w:tcW w:w="616" w:type="dxa"/>
            <w:gridSpan w:val="2"/>
            <w:vAlign w:val="center"/>
          </w:tcPr>
          <w:p>
            <w:pPr>
              <w:widowControl w:val="0"/>
              <w:jc w:val="center"/>
            </w:pPr>
            <w:r>
              <w:t>57</w:t>
            </w:r>
          </w:p>
        </w:tc>
        <w:tc>
          <w:tcPr>
            <w:tcW w:w="616" w:type="dxa"/>
            <w:gridSpan w:val="2"/>
            <w:vAlign w:val="center"/>
          </w:tcPr>
          <w:p>
            <w:pPr>
              <w:widowControl w:val="0"/>
              <w:jc w:val="center"/>
            </w:pPr>
            <w:r>
              <w:t>89</w:t>
            </w:r>
          </w:p>
        </w:tc>
        <w:tc>
          <w:tcPr>
            <w:tcW w:w="617" w:type="dxa"/>
            <w:gridSpan w:val="2"/>
            <w:vAlign w:val="center"/>
          </w:tcPr>
          <w:p>
            <w:pPr>
              <w:widowControl w:val="0"/>
              <w:jc w:val="center"/>
            </w:pPr>
            <w:r>
              <w:t>92</w:t>
            </w:r>
          </w:p>
        </w:tc>
        <w:tc>
          <w:tcPr>
            <w:tcW w:w="617" w:type="dxa"/>
            <w:gridSpan w:val="2"/>
            <w:vAlign w:val="center"/>
          </w:tcPr>
          <w:p>
            <w:pPr>
              <w:widowControl w:val="0"/>
              <w:jc w:val="center"/>
            </w:pPr>
            <w:r>
              <w:t>83</w:t>
            </w:r>
          </w:p>
        </w:tc>
        <w:tc>
          <w:tcPr>
            <w:tcW w:w="617" w:type="dxa"/>
            <w:gridSpan w:val="2"/>
            <w:vAlign w:val="center"/>
          </w:tcPr>
          <w:p>
            <w:pPr>
              <w:widowControl w:val="0"/>
              <w:jc w:val="center"/>
            </w:pPr>
            <w:r>
              <w:t>125</w:t>
            </w:r>
          </w:p>
        </w:tc>
        <w:tc>
          <w:tcPr>
            <w:tcW w:w="618" w:type="dxa"/>
            <w:gridSpan w:val="2"/>
            <w:vAlign w:val="center"/>
          </w:tcPr>
          <w:p>
            <w:pPr>
              <w:widowControl w:val="0"/>
              <w:jc w:val="center"/>
            </w:pPr>
            <w:r>
              <w:t>110</w:t>
            </w:r>
          </w:p>
        </w:tc>
        <w:tc>
          <w:tcPr>
            <w:tcW w:w="617" w:type="dxa"/>
            <w:gridSpan w:val="2"/>
            <w:vAlign w:val="center"/>
          </w:tcPr>
          <w:p>
            <w:pPr>
              <w:widowControl w:val="0"/>
              <w:jc w:val="center"/>
            </w:pPr>
            <w:r>
              <w:t>111</w:t>
            </w:r>
          </w:p>
        </w:tc>
        <w:tc>
          <w:tcPr>
            <w:tcW w:w="617" w:type="dxa"/>
            <w:gridSpan w:val="2"/>
            <w:vAlign w:val="center"/>
          </w:tcPr>
          <w:p>
            <w:pPr>
              <w:widowControl w:val="0"/>
              <w:jc w:val="center"/>
            </w:pPr>
            <w:r>
              <w:t>99</w:t>
            </w:r>
          </w:p>
        </w:tc>
        <w:tc>
          <w:tcPr>
            <w:tcW w:w="618" w:type="dxa"/>
            <w:gridSpan w:val="2"/>
            <w:vAlign w:val="center"/>
          </w:tcPr>
          <w:p>
            <w:pPr>
              <w:widowControl w:val="0"/>
              <w:jc w:val="center"/>
            </w:pPr>
            <w:r>
              <w:t>138</w:t>
            </w:r>
          </w:p>
        </w:tc>
        <w:tc>
          <w:tcPr>
            <w:tcW w:w="617" w:type="dxa"/>
            <w:gridSpan w:val="2"/>
            <w:vAlign w:val="center"/>
          </w:tcPr>
          <w:p>
            <w:pPr>
              <w:widowControl w:val="0"/>
              <w:jc w:val="center"/>
            </w:pPr>
            <w:r>
              <w:t>119</w:t>
            </w:r>
          </w:p>
        </w:tc>
        <w:tc>
          <w:tcPr>
            <w:tcW w:w="617" w:type="dxa"/>
            <w:gridSpan w:val="2"/>
            <w:vAlign w:val="center"/>
          </w:tcPr>
          <w:p>
            <w:pPr>
              <w:widowControl w:val="0"/>
              <w:jc w:val="center"/>
            </w:pPr>
            <w:r>
              <w:t>125</w:t>
            </w:r>
          </w:p>
        </w:tc>
        <w:tc>
          <w:tcPr>
            <w:tcW w:w="618" w:type="dxa"/>
            <w:gridSpan w:val="2"/>
            <w:vAlign w:val="center"/>
          </w:tcPr>
          <w:p>
            <w:pPr>
              <w:widowControl w:val="0"/>
              <w:jc w:val="center"/>
            </w:pPr>
            <w:r>
              <w:t>103</w:t>
            </w:r>
          </w:p>
        </w:tc>
      </w:tr>
      <w:tr>
        <w:trPr>
          <w:gridAfter w:val="1"/>
          <w:wAfter w:w="6" w:type="dxa"/>
          <w:cantSplit/>
          <w:trHeight w:val="20"/>
        </w:trPr>
        <w:tc>
          <w:tcPr>
            <w:tcW w:w="902" w:type="dxa"/>
            <w:gridSpan w:val="2"/>
            <w:vAlign w:val="center"/>
          </w:tcPr>
          <w:p>
            <w:pPr>
              <w:widowControl w:val="0"/>
              <w:jc w:val="center"/>
            </w:pPr>
            <w:r>
              <w:t>50</w:t>
            </w:r>
          </w:p>
        </w:tc>
        <w:tc>
          <w:tcPr>
            <w:tcW w:w="616" w:type="dxa"/>
            <w:gridSpan w:val="2"/>
            <w:vAlign w:val="center"/>
          </w:tcPr>
          <w:p>
            <w:pPr>
              <w:widowControl w:val="0"/>
              <w:jc w:val="center"/>
            </w:pPr>
            <w:r>
              <w:t>75</w:t>
            </w:r>
          </w:p>
        </w:tc>
        <w:tc>
          <w:tcPr>
            <w:tcW w:w="616" w:type="dxa"/>
            <w:gridSpan w:val="2"/>
            <w:vAlign w:val="center"/>
          </w:tcPr>
          <w:p>
            <w:pPr>
              <w:widowControl w:val="0"/>
              <w:jc w:val="center"/>
            </w:pPr>
            <w:r>
              <w:t>108</w:t>
            </w:r>
          </w:p>
        </w:tc>
        <w:tc>
          <w:tcPr>
            <w:tcW w:w="617" w:type="dxa"/>
            <w:gridSpan w:val="2"/>
            <w:vAlign w:val="center"/>
          </w:tcPr>
          <w:p>
            <w:pPr>
              <w:widowControl w:val="0"/>
              <w:jc w:val="center"/>
            </w:pPr>
            <w:r>
              <w:t>110</w:t>
            </w:r>
          </w:p>
        </w:tc>
        <w:tc>
          <w:tcPr>
            <w:tcW w:w="617" w:type="dxa"/>
            <w:gridSpan w:val="2"/>
            <w:vAlign w:val="center"/>
          </w:tcPr>
          <w:p>
            <w:pPr>
              <w:widowControl w:val="0"/>
              <w:jc w:val="center"/>
            </w:pPr>
            <w:r>
              <w:t>99</w:t>
            </w:r>
          </w:p>
        </w:tc>
        <w:tc>
          <w:tcPr>
            <w:tcW w:w="617" w:type="dxa"/>
            <w:gridSpan w:val="2"/>
            <w:vAlign w:val="center"/>
          </w:tcPr>
          <w:p>
            <w:pPr>
              <w:widowControl w:val="0"/>
              <w:jc w:val="center"/>
            </w:pPr>
            <w:r>
              <w:t>151</w:t>
            </w:r>
          </w:p>
        </w:tc>
        <w:tc>
          <w:tcPr>
            <w:tcW w:w="618" w:type="dxa"/>
            <w:gridSpan w:val="2"/>
            <w:vAlign w:val="center"/>
          </w:tcPr>
          <w:p>
            <w:pPr>
              <w:widowControl w:val="0"/>
              <w:jc w:val="center"/>
            </w:pPr>
            <w:r>
              <w:t>134</w:t>
            </w:r>
          </w:p>
        </w:tc>
        <w:tc>
          <w:tcPr>
            <w:tcW w:w="617" w:type="dxa"/>
            <w:gridSpan w:val="2"/>
            <w:vAlign w:val="center"/>
          </w:tcPr>
          <w:p>
            <w:pPr>
              <w:widowControl w:val="0"/>
              <w:jc w:val="center"/>
            </w:pPr>
            <w:r>
              <w:t>133</w:t>
            </w:r>
          </w:p>
        </w:tc>
        <w:tc>
          <w:tcPr>
            <w:tcW w:w="617" w:type="dxa"/>
            <w:gridSpan w:val="2"/>
            <w:vAlign w:val="center"/>
          </w:tcPr>
          <w:p>
            <w:pPr>
              <w:widowControl w:val="0"/>
              <w:jc w:val="center"/>
            </w:pPr>
            <w:r>
              <w:t>118</w:t>
            </w:r>
          </w:p>
        </w:tc>
        <w:tc>
          <w:tcPr>
            <w:tcW w:w="618" w:type="dxa"/>
            <w:gridSpan w:val="2"/>
            <w:vAlign w:val="center"/>
          </w:tcPr>
          <w:p>
            <w:pPr>
              <w:widowControl w:val="0"/>
              <w:jc w:val="center"/>
            </w:pPr>
            <w:r>
              <w:t>168</w:t>
            </w:r>
          </w:p>
        </w:tc>
        <w:tc>
          <w:tcPr>
            <w:tcW w:w="617" w:type="dxa"/>
            <w:gridSpan w:val="2"/>
            <w:vAlign w:val="center"/>
          </w:tcPr>
          <w:p>
            <w:pPr>
              <w:widowControl w:val="0"/>
              <w:jc w:val="center"/>
            </w:pPr>
            <w:r>
              <w:t>144</w:t>
            </w:r>
          </w:p>
        </w:tc>
        <w:tc>
          <w:tcPr>
            <w:tcW w:w="617" w:type="dxa"/>
            <w:gridSpan w:val="2"/>
            <w:vAlign w:val="center"/>
          </w:tcPr>
          <w:p>
            <w:pPr>
              <w:widowControl w:val="0"/>
              <w:jc w:val="center"/>
            </w:pPr>
            <w:r>
              <w:t>148</w:t>
            </w:r>
          </w:p>
        </w:tc>
        <w:tc>
          <w:tcPr>
            <w:tcW w:w="618" w:type="dxa"/>
            <w:gridSpan w:val="2"/>
            <w:vAlign w:val="center"/>
          </w:tcPr>
          <w:p>
            <w:pPr>
              <w:widowControl w:val="0"/>
              <w:jc w:val="center"/>
            </w:pPr>
            <w:r>
              <w:t>122</w:t>
            </w:r>
          </w:p>
        </w:tc>
      </w:tr>
      <w:tr>
        <w:trPr>
          <w:gridAfter w:val="1"/>
          <w:wAfter w:w="6" w:type="dxa"/>
          <w:cantSplit/>
          <w:trHeight w:val="20"/>
        </w:trPr>
        <w:tc>
          <w:tcPr>
            <w:tcW w:w="902" w:type="dxa"/>
            <w:gridSpan w:val="2"/>
            <w:vAlign w:val="center"/>
          </w:tcPr>
          <w:p>
            <w:pPr>
              <w:widowControl w:val="0"/>
              <w:jc w:val="center"/>
            </w:pPr>
            <w:r>
              <w:t>70</w:t>
            </w:r>
          </w:p>
        </w:tc>
        <w:tc>
          <w:tcPr>
            <w:tcW w:w="616" w:type="dxa"/>
            <w:gridSpan w:val="2"/>
            <w:vAlign w:val="center"/>
          </w:tcPr>
          <w:p>
            <w:pPr>
              <w:widowControl w:val="0"/>
              <w:jc w:val="center"/>
            </w:pPr>
            <w:r>
              <w:t>92</w:t>
            </w:r>
          </w:p>
        </w:tc>
        <w:tc>
          <w:tcPr>
            <w:tcW w:w="616" w:type="dxa"/>
            <w:gridSpan w:val="2"/>
            <w:vAlign w:val="center"/>
          </w:tcPr>
          <w:p>
            <w:pPr>
              <w:widowControl w:val="0"/>
              <w:jc w:val="center"/>
            </w:pPr>
            <w:r>
              <w:t>136</w:t>
            </w:r>
          </w:p>
        </w:tc>
        <w:tc>
          <w:tcPr>
            <w:tcW w:w="617" w:type="dxa"/>
            <w:gridSpan w:val="2"/>
            <w:vAlign w:val="center"/>
          </w:tcPr>
          <w:p>
            <w:pPr>
              <w:widowControl w:val="0"/>
              <w:jc w:val="center"/>
            </w:pPr>
            <w:r>
              <w:t>139</w:t>
            </w:r>
          </w:p>
        </w:tc>
        <w:tc>
          <w:tcPr>
            <w:tcW w:w="617" w:type="dxa"/>
            <w:gridSpan w:val="2"/>
            <w:vAlign w:val="center"/>
          </w:tcPr>
          <w:p>
            <w:pPr>
              <w:widowControl w:val="0"/>
              <w:jc w:val="center"/>
            </w:pPr>
            <w:r>
              <w:t>125</w:t>
            </w:r>
          </w:p>
        </w:tc>
        <w:tc>
          <w:tcPr>
            <w:tcW w:w="617" w:type="dxa"/>
            <w:gridSpan w:val="2"/>
            <w:vAlign w:val="center"/>
          </w:tcPr>
          <w:p>
            <w:pPr>
              <w:widowControl w:val="0"/>
              <w:jc w:val="center"/>
            </w:pPr>
            <w:r>
              <w:t>192</w:t>
            </w:r>
          </w:p>
        </w:tc>
        <w:tc>
          <w:tcPr>
            <w:tcW w:w="618" w:type="dxa"/>
            <w:gridSpan w:val="2"/>
            <w:vAlign w:val="center"/>
          </w:tcPr>
          <w:p>
            <w:pPr>
              <w:widowControl w:val="0"/>
              <w:jc w:val="center"/>
            </w:pPr>
            <w:r>
              <w:t>171</w:t>
            </w:r>
          </w:p>
        </w:tc>
        <w:tc>
          <w:tcPr>
            <w:tcW w:w="617" w:type="dxa"/>
            <w:gridSpan w:val="2"/>
            <w:vAlign w:val="center"/>
          </w:tcPr>
          <w:p>
            <w:pPr>
              <w:widowControl w:val="0"/>
              <w:jc w:val="center"/>
            </w:pPr>
            <w:r>
              <w:t>168</w:t>
            </w:r>
          </w:p>
        </w:tc>
        <w:tc>
          <w:tcPr>
            <w:tcW w:w="617" w:type="dxa"/>
            <w:gridSpan w:val="2"/>
            <w:vAlign w:val="center"/>
          </w:tcPr>
          <w:p>
            <w:pPr>
              <w:widowControl w:val="0"/>
              <w:jc w:val="center"/>
            </w:pPr>
            <w:r>
              <w:t>149</w:t>
            </w:r>
          </w:p>
        </w:tc>
        <w:tc>
          <w:tcPr>
            <w:tcW w:w="618" w:type="dxa"/>
            <w:gridSpan w:val="2"/>
            <w:vAlign w:val="center"/>
          </w:tcPr>
          <w:p>
            <w:pPr>
              <w:widowControl w:val="0"/>
              <w:jc w:val="center"/>
            </w:pPr>
            <w:r>
              <w:t>213</w:t>
            </w:r>
          </w:p>
        </w:tc>
        <w:tc>
          <w:tcPr>
            <w:tcW w:w="617" w:type="dxa"/>
            <w:gridSpan w:val="2"/>
            <w:vAlign w:val="center"/>
          </w:tcPr>
          <w:p>
            <w:pPr>
              <w:widowControl w:val="0"/>
              <w:jc w:val="center"/>
            </w:pPr>
            <w:r>
              <w:t>184</w:t>
            </w:r>
          </w:p>
        </w:tc>
        <w:tc>
          <w:tcPr>
            <w:tcW w:w="617" w:type="dxa"/>
            <w:gridSpan w:val="2"/>
            <w:vAlign w:val="center"/>
          </w:tcPr>
          <w:p>
            <w:pPr>
              <w:widowControl w:val="0"/>
              <w:jc w:val="center"/>
            </w:pPr>
            <w:r>
              <w:t>183</w:t>
            </w:r>
          </w:p>
        </w:tc>
        <w:tc>
          <w:tcPr>
            <w:tcW w:w="618" w:type="dxa"/>
            <w:gridSpan w:val="2"/>
            <w:vAlign w:val="center"/>
          </w:tcPr>
          <w:p>
            <w:pPr>
              <w:widowControl w:val="0"/>
              <w:jc w:val="center"/>
            </w:pPr>
            <w:r>
              <w:t>151</w:t>
            </w:r>
          </w:p>
        </w:tc>
      </w:tr>
      <w:tr>
        <w:trPr>
          <w:gridAfter w:val="1"/>
          <w:wAfter w:w="6" w:type="dxa"/>
          <w:cantSplit/>
          <w:trHeight w:val="20"/>
        </w:trPr>
        <w:tc>
          <w:tcPr>
            <w:tcW w:w="902" w:type="dxa"/>
            <w:gridSpan w:val="2"/>
            <w:vAlign w:val="center"/>
          </w:tcPr>
          <w:p>
            <w:pPr>
              <w:widowControl w:val="0"/>
              <w:jc w:val="center"/>
            </w:pPr>
            <w:r>
              <w:t>95</w:t>
            </w:r>
          </w:p>
        </w:tc>
        <w:tc>
          <w:tcPr>
            <w:tcW w:w="616" w:type="dxa"/>
            <w:gridSpan w:val="2"/>
            <w:vAlign w:val="center"/>
          </w:tcPr>
          <w:p>
            <w:pPr>
              <w:widowControl w:val="0"/>
              <w:jc w:val="center"/>
            </w:pPr>
            <w:r>
              <w:t>110</w:t>
            </w:r>
          </w:p>
        </w:tc>
        <w:tc>
          <w:tcPr>
            <w:tcW w:w="616" w:type="dxa"/>
            <w:gridSpan w:val="2"/>
            <w:vAlign w:val="center"/>
          </w:tcPr>
          <w:p>
            <w:pPr>
              <w:widowControl w:val="0"/>
              <w:jc w:val="center"/>
            </w:pPr>
            <w:r>
              <w:t>164</w:t>
            </w:r>
          </w:p>
        </w:tc>
        <w:tc>
          <w:tcPr>
            <w:tcW w:w="617" w:type="dxa"/>
            <w:gridSpan w:val="2"/>
            <w:vAlign w:val="center"/>
          </w:tcPr>
          <w:p>
            <w:pPr>
              <w:widowControl w:val="0"/>
              <w:jc w:val="center"/>
            </w:pPr>
            <w:r>
              <w:t>167</w:t>
            </w:r>
          </w:p>
        </w:tc>
        <w:tc>
          <w:tcPr>
            <w:tcW w:w="617" w:type="dxa"/>
            <w:gridSpan w:val="2"/>
            <w:vAlign w:val="center"/>
          </w:tcPr>
          <w:p>
            <w:pPr>
              <w:widowControl w:val="0"/>
              <w:jc w:val="center"/>
            </w:pPr>
            <w:r>
              <w:t>150</w:t>
            </w:r>
          </w:p>
        </w:tc>
        <w:tc>
          <w:tcPr>
            <w:tcW w:w="617" w:type="dxa"/>
            <w:gridSpan w:val="2"/>
            <w:vAlign w:val="center"/>
          </w:tcPr>
          <w:p>
            <w:pPr>
              <w:widowControl w:val="0"/>
              <w:jc w:val="center"/>
            </w:pPr>
            <w:r>
              <w:t>232</w:t>
            </w:r>
          </w:p>
        </w:tc>
        <w:tc>
          <w:tcPr>
            <w:tcW w:w="618" w:type="dxa"/>
            <w:gridSpan w:val="2"/>
            <w:vAlign w:val="center"/>
          </w:tcPr>
          <w:p>
            <w:pPr>
              <w:widowControl w:val="0"/>
              <w:jc w:val="center"/>
            </w:pPr>
            <w:r>
              <w:t>207</w:t>
            </w:r>
          </w:p>
        </w:tc>
        <w:tc>
          <w:tcPr>
            <w:tcW w:w="617" w:type="dxa"/>
            <w:gridSpan w:val="2"/>
            <w:vAlign w:val="center"/>
          </w:tcPr>
          <w:p>
            <w:pPr>
              <w:widowControl w:val="0"/>
              <w:jc w:val="center"/>
            </w:pPr>
            <w:r>
              <w:t>201</w:t>
            </w:r>
          </w:p>
        </w:tc>
        <w:tc>
          <w:tcPr>
            <w:tcW w:w="617" w:type="dxa"/>
            <w:gridSpan w:val="2"/>
            <w:vAlign w:val="center"/>
          </w:tcPr>
          <w:p>
            <w:pPr>
              <w:widowControl w:val="0"/>
              <w:jc w:val="center"/>
            </w:pPr>
            <w:r>
              <w:t>179</w:t>
            </w:r>
          </w:p>
        </w:tc>
        <w:tc>
          <w:tcPr>
            <w:tcW w:w="618" w:type="dxa"/>
            <w:gridSpan w:val="2"/>
            <w:vAlign w:val="center"/>
          </w:tcPr>
          <w:p>
            <w:pPr>
              <w:widowControl w:val="0"/>
              <w:jc w:val="center"/>
            </w:pPr>
            <w:r>
              <w:t>258</w:t>
            </w:r>
          </w:p>
        </w:tc>
        <w:tc>
          <w:tcPr>
            <w:tcW w:w="617" w:type="dxa"/>
            <w:gridSpan w:val="2"/>
            <w:vAlign w:val="center"/>
          </w:tcPr>
          <w:p>
            <w:pPr>
              <w:widowControl w:val="0"/>
              <w:jc w:val="center"/>
            </w:pPr>
            <w:r>
              <w:t>223</w:t>
            </w:r>
          </w:p>
        </w:tc>
        <w:tc>
          <w:tcPr>
            <w:tcW w:w="617" w:type="dxa"/>
            <w:gridSpan w:val="2"/>
            <w:vAlign w:val="center"/>
          </w:tcPr>
          <w:p>
            <w:pPr>
              <w:widowControl w:val="0"/>
              <w:jc w:val="center"/>
            </w:pPr>
            <w:r>
              <w:t>216</w:t>
            </w:r>
          </w:p>
        </w:tc>
        <w:tc>
          <w:tcPr>
            <w:tcW w:w="618" w:type="dxa"/>
            <w:gridSpan w:val="2"/>
            <w:vAlign w:val="center"/>
          </w:tcPr>
          <w:p>
            <w:pPr>
              <w:widowControl w:val="0"/>
              <w:jc w:val="center"/>
            </w:pPr>
            <w:r>
              <w:t>179</w:t>
            </w:r>
          </w:p>
        </w:tc>
      </w:tr>
      <w:tr>
        <w:trPr>
          <w:gridAfter w:val="1"/>
          <w:wAfter w:w="6" w:type="dxa"/>
          <w:cantSplit/>
          <w:trHeight w:val="20"/>
        </w:trPr>
        <w:tc>
          <w:tcPr>
            <w:tcW w:w="902" w:type="dxa"/>
            <w:gridSpan w:val="2"/>
            <w:vAlign w:val="center"/>
          </w:tcPr>
          <w:p>
            <w:pPr>
              <w:widowControl w:val="0"/>
              <w:jc w:val="center"/>
            </w:pPr>
            <w:r>
              <w:t>120</w:t>
            </w:r>
          </w:p>
        </w:tc>
        <w:tc>
          <w:tcPr>
            <w:tcW w:w="616" w:type="dxa"/>
            <w:gridSpan w:val="2"/>
            <w:vAlign w:val="center"/>
          </w:tcPr>
          <w:p>
            <w:pPr>
              <w:widowControl w:val="0"/>
              <w:jc w:val="center"/>
            </w:pPr>
            <w:r>
              <w:t>139</w:t>
            </w:r>
          </w:p>
        </w:tc>
        <w:tc>
          <w:tcPr>
            <w:tcW w:w="616" w:type="dxa"/>
            <w:gridSpan w:val="2"/>
            <w:vAlign w:val="center"/>
          </w:tcPr>
          <w:p>
            <w:pPr>
              <w:widowControl w:val="0"/>
              <w:jc w:val="center"/>
            </w:pPr>
            <w:r>
              <w:t>188</w:t>
            </w:r>
          </w:p>
        </w:tc>
        <w:tc>
          <w:tcPr>
            <w:tcW w:w="617" w:type="dxa"/>
            <w:gridSpan w:val="2"/>
            <w:vAlign w:val="center"/>
          </w:tcPr>
          <w:p>
            <w:pPr>
              <w:widowControl w:val="0"/>
              <w:jc w:val="center"/>
            </w:pPr>
            <w:r>
              <w:t>192</w:t>
            </w:r>
          </w:p>
        </w:tc>
        <w:tc>
          <w:tcPr>
            <w:tcW w:w="617" w:type="dxa"/>
            <w:gridSpan w:val="2"/>
            <w:vAlign w:val="center"/>
          </w:tcPr>
          <w:p>
            <w:pPr>
              <w:widowControl w:val="0"/>
              <w:jc w:val="center"/>
            </w:pPr>
            <w:r>
              <w:t>172</w:t>
            </w:r>
          </w:p>
        </w:tc>
        <w:tc>
          <w:tcPr>
            <w:tcW w:w="617" w:type="dxa"/>
            <w:gridSpan w:val="2"/>
            <w:vAlign w:val="center"/>
          </w:tcPr>
          <w:p>
            <w:pPr>
              <w:widowControl w:val="0"/>
              <w:jc w:val="center"/>
            </w:pPr>
            <w:r>
              <w:t>269</w:t>
            </w:r>
          </w:p>
        </w:tc>
        <w:tc>
          <w:tcPr>
            <w:tcW w:w="618" w:type="dxa"/>
            <w:gridSpan w:val="2"/>
            <w:vAlign w:val="center"/>
          </w:tcPr>
          <w:p>
            <w:pPr>
              <w:widowControl w:val="0"/>
              <w:jc w:val="center"/>
            </w:pPr>
            <w:r>
              <w:t>239</w:t>
            </w:r>
          </w:p>
        </w:tc>
        <w:tc>
          <w:tcPr>
            <w:tcW w:w="617" w:type="dxa"/>
            <w:gridSpan w:val="2"/>
            <w:vAlign w:val="center"/>
          </w:tcPr>
          <w:p>
            <w:pPr>
              <w:widowControl w:val="0"/>
              <w:jc w:val="center"/>
            </w:pPr>
            <w:r>
              <w:t>232</w:t>
            </w:r>
          </w:p>
        </w:tc>
        <w:tc>
          <w:tcPr>
            <w:tcW w:w="617" w:type="dxa"/>
            <w:gridSpan w:val="2"/>
            <w:vAlign w:val="center"/>
          </w:tcPr>
          <w:p>
            <w:pPr>
              <w:widowControl w:val="0"/>
              <w:jc w:val="center"/>
            </w:pPr>
            <w:r>
              <w:t>206</w:t>
            </w:r>
          </w:p>
        </w:tc>
        <w:tc>
          <w:tcPr>
            <w:tcW w:w="618" w:type="dxa"/>
            <w:gridSpan w:val="2"/>
            <w:vAlign w:val="center"/>
          </w:tcPr>
          <w:p>
            <w:pPr>
              <w:widowControl w:val="0"/>
              <w:jc w:val="center"/>
            </w:pPr>
            <w:r>
              <w:t>299</w:t>
            </w:r>
          </w:p>
        </w:tc>
        <w:tc>
          <w:tcPr>
            <w:tcW w:w="617" w:type="dxa"/>
            <w:gridSpan w:val="2"/>
            <w:vAlign w:val="center"/>
          </w:tcPr>
          <w:p>
            <w:pPr>
              <w:widowControl w:val="0"/>
              <w:jc w:val="center"/>
            </w:pPr>
            <w:r>
              <w:t>259</w:t>
            </w:r>
          </w:p>
        </w:tc>
        <w:tc>
          <w:tcPr>
            <w:tcW w:w="617" w:type="dxa"/>
            <w:gridSpan w:val="2"/>
            <w:vAlign w:val="center"/>
          </w:tcPr>
          <w:p>
            <w:pPr>
              <w:widowControl w:val="0"/>
              <w:jc w:val="center"/>
            </w:pPr>
            <w:r>
              <w:t>246</w:t>
            </w:r>
          </w:p>
        </w:tc>
        <w:tc>
          <w:tcPr>
            <w:tcW w:w="618" w:type="dxa"/>
            <w:gridSpan w:val="2"/>
            <w:vAlign w:val="center"/>
          </w:tcPr>
          <w:p>
            <w:pPr>
              <w:widowControl w:val="0"/>
              <w:jc w:val="center"/>
            </w:pPr>
            <w:r>
              <w:t>203</w:t>
            </w:r>
          </w:p>
        </w:tc>
      </w:tr>
      <w:tr>
        <w:trPr>
          <w:gridAfter w:val="1"/>
          <w:wAfter w:w="6" w:type="dxa"/>
          <w:cantSplit/>
          <w:trHeight w:val="20"/>
        </w:trPr>
        <w:tc>
          <w:tcPr>
            <w:tcW w:w="902" w:type="dxa"/>
            <w:gridSpan w:val="2"/>
            <w:vAlign w:val="center"/>
          </w:tcPr>
          <w:p>
            <w:pPr>
              <w:widowControl w:val="0"/>
              <w:jc w:val="center"/>
            </w:pPr>
            <w:r>
              <w:t>150</w:t>
            </w:r>
          </w:p>
        </w:tc>
        <w:tc>
          <w:tcPr>
            <w:tcW w:w="616" w:type="dxa"/>
            <w:gridSpan w:val="2"/>
            <w:vAlign w:val="center"/>
          </w:tcPr>
          <w:p>
            <w:pPr>
              <w:widowControl w:val="0"/>
              <w:jc w:val="center"/>
            </w:pPr>
            <w:r>
              <w:t>167</w:t>
            </w:r>
          </w:p>
        </w:tc>
        <w:tc>
          <w:tcPr>
            <w:tcW w:w="616" w:type="dxa"/>
            <w:gridSpan w:val="2"/>
            <w:vAlign w:val="center"/>
          </w:tcPr>
          <w:p>
            <w:pPr>
              <w:widowControl w:val="0"/>
              <w:jc w:val="center"/>
            </w:pPr>
            <w:r>
              <w:t>216</w:t>
            </w:r>
          </w:p>
        </w:tc>
        <w:tc>
          <w:tcPr>
            <w:tcW w:w="617" w:type="dxa"/>
            <w:gridSpan w:val="2"/>
            <w:vAlign w:val="center"/>
          </w:tcPr>
          <w:p>
            <w:pPr>
              <w:widowControl w:val="0"/>
              <w:jc w:val="center"/>
            </w:pPr>
            <w:r>
              <w:t>219</w:t>
            </w:r>
          </w:p>
        </w:tc>
        <w:tc>
          <w:tcPr>
            <w:tcW w:w="617" w:type="dxa"/>
            <w:gridSpan w:val="2"/>
            <w:vAlign w:val="center"/>
          </w:tcPr>
          <w:p>
            <w:pPr>
              <w:widowControl w:val="0"/>
              <w:jc w:val="center"/>
            </w:pPr>
            <w:r>
              <w:t>196</w:t>
            </w:r>
          </w:p>
        </w:tc>
        <w:tc>
          <w:tcPr>
            <w:tcW w:w="617" w:type="dxa"/>
            <w:gridSpan w:val="2"/>
            <w:vAlign w:val="center"/>
          </w:tcPr>
          <w:p>
            <w:pPr>
              <w:widowControl w:val="0"/>
              <w:jc w:val="center"/>
            </w:pPr>
            <w:r>
              <w:t>–</w:t>
            </w:r>
          </w:p>
        </w:tc>
        <w:tc>
          <w:tcPr>
            <w:tcW w:w="618" w:type="dxa"/>
            <w:gridSpan w:val="2"/>
            <w:vAlign w:val="center"/>
          </w:tcPr>
          <w:p>
            <w:pPr>
              <w:widowControl w:val="0"/>
              <w:jc w:val="center"/>
            </w:pPr>
            <w:r>
              <w:t>–</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344</w:t>
            </w:r>
          </w:p>
        </w:tc>
        <w:tc>
          <w:tcPr>
            <w:tcW w:w="617" w:type="dxa"/>
            <w:gridSpan w:val="2"/>
            <w:vAlign w:val="center"/>
          </w:tcPr>
          <w:p>
            <w:pPr>
              <w:widowControl w:val="0"/>
              <w:jc w:val="center"/>
            </w:pPr>
            <w:r>
              <w:t>299</w:t>
            </w:r>
          </w:p>
        </w:tc>
        <w:tc>
          <w:tcPr>
            <w:tcW w:w="617" w:type="dxa"/>
            <w:gridSpan w:val="2"/>
            <w:vAlign w:val="center"/>
          </w:tcPr>
          <w:p>
            <w:pPr>
              <w:widowControl w:val="0"/>
              <w:jc w:val="center"/>
            </w:pPr>
            <w:r>
              <w:t>278</w:t>
            </w:r>
          </w:p>
        </w:tc>
        <w:tc>
          <w:tcPr>
            <w:tcW w:w="618" w:type="dxa"/>
            <w:gridSpan w:val="2"/>
            <w:vAlign w:val="center"/>
          </w:tcPr>
          <w:p>
            <w:pPr>
              <w:widowControl w:val="0"/>
              <w:jc w:val="center"/>
            </w:pPr>
            <w:r>
              <w:t>230</w:t>
            </w:r>
          </w:p>
        </w:tc>
      </w:tr>
      <w:tr>
        <w:trPr>
          <w:gridAfter w:val="1"/>
          <w:wAfter w:w="6" w:type="dxa"/>
          <w:cantSplit/>
          <w:trHeight w:val="20"/>
        </w:trPr>
        <w:tc>
          <w:tcPr>
            <w:tcW w:w="902" w:type="dxa"/>
            <w:gridSpan w:val="2"/>
            <w:vAlign w:val="center"/>
          </w:tcPr>
          <w:p>
            <w:pPr>
              <w:widowControl w:val="0"/>
              <w:jc w:val="center"/>
            </w:pPr>
            <w:r>
              <w:t>185</w:t>
            </w:r>
          </w:p>
        </w:tc>
        <w:tc>
          <w:tcPr>
            <w:tcW w:w="616" w:type="dxa"/>
            <w:gridSpan w:val="2"/>
            <w:vAlign w:val="center"/>
          </w:tcPr>
          <w:p>
            <w:pPr>
              <w:widowControl w:val="0"/>
              <w:jc w:val="center"/>
            </w:pPr>
            <w:r>
              <w:t>192</w:t>
            </w:r>
          </w:p>
        </w:tc>
        <w:tc>
          <w:tcPr>
            <w:tcW w:w="616" w:type="dxa"/>
            <w:gridSpan w:val="2"/>
            <w:vAlign w:val="center"/>
          </w:tcPr>
          <w:p>
            <w:pPr>
              <w:widowControl w:val="0"/>
              <w:jc w:val="center"/>
            </w:pPr>
            <w:r>
              <w:t>245</w:t>
            </w:r>
          </w:p>
        </w:tc>
        <w:tc>
          <w:tcPr>
            <w:tcW w:w="617" w:type="dxa"/>
            <w:gridSpan w:val="2"/>
            <w:vAlign w:val="center"/>
          </w:tcPr>
          <w:p>
            <w:pPr>
              <w:widowControl w:val="0"/>
              <w:jc w:val="center"/>
            </w:pPr>
            <w:r>
              <w:t>248</w:t>
            </w:r>
          </w:p>
        </w:tc>
        <w:tc>
          <w:tcPr>
            <w:tcW w:w="617" w:type="dxa"/>
            <w:gridSpan w:val="2"/>
            <w:vAlign w:val="center"/>
          </w:tcPr>
          <w:p>
            <w:pPr>
              <w:widowControl w:val="0"/>
              <w:jc w:val="center"/>
            </w:pPr>
            <w:r>
              <w:t>223</w:t>
            </w:r>
          </w:p>
        </w:tc>
        <w:tc>
          <w:tcPr>
            <w:tcW w:w="617" w:type="dxa"/>
            <w:gridSpan w:val="2"/>
            <w:vAlign w:val="center"/>
          </w:tcPr>
          <w:p>
            <w:pPr>
              <w:widowControl w:val="0"/>
              <w:jc w:val="center"/>
            </w:pPr>
            <w:r>
              <w:t>–</w:t>
            </w:r>
          </w:p>
        </w:tc>
        <w:tc>
          <w:tcPr>
            <w:tcW w:w="618" w:type="dxa"/>
            <w:gridSpan w:val="2"/>
            <w:vAlign w:val="center"/>
          </w:tcPr>
          <w:p>
            <w:pPr>
              <w:widowControl w:val="0"/>
              <w:jc w:val="center"/>
            </w:pPr>
            <w:r>
              <w:t>–</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392</w:t>
            </w:r>
          </w:p>
        </w:tc>
        <w:tc>
          <w:tcPr>
            <w:tcW w:w="617" w:type="dxa"/>
            <w:gridSpan w:val="2"/>
            <w:vAlign w:val="center"/>
          </w:tcPr>
          <w:p>
            <w:pPr>
              <w:widowControl w:val="0"/>
              <w:jc w:val="center"/>
            </w:pPr>
            <w:r>
              <w:t>341</w:t>
            </w:r>
          </w:p>
        </w:tc>
        <w:tc>
          <w:tcPr>
            <w:tcW w:w="617" w:type="dxa"/>
            <w:gridSpan w:val="2"/>
            <w:vAlign w:val="center"/>
          </w:tcPr>
          <w:p>
            <w:pPr>
              <w:widowControl w:val="0"/>
              <w:jc w:val="center"/>
            </w:pPr>
            <w:r>
              <w:t>312</w:t>
            </w:r>
          </w:p>
        </w:tc>
        <w:tc>
          <w:tcPr>
            <w:tcW w:w="618" w:type="dxa"/>
            <w:gridSpan w:val="2"/>
            <w:vAlign w:val="center"/>
          </w:tcPr>
          <w:p>
            <w:pPr>
              <w:widowControl w:val="0"/>
              <w:jc w:val="center"/>
            </w:pPr>
            <w:r>
              <w:t>258</w:t>
            </w:r>
          </w:p>
        </w:tc>
      </w:tr>
      <w:tr>
        <w:trPr>
          <w:gridAfter w:val="1"/>
          <w:wAfter w:w="6" w:type="dxa"/>
          <w:cantSplit/>
          <w:trHeight w:val="20"/>
        </w:trPr>
        <w:tc>
          <w:tcPr>
            <w:tcW w:w="902" w:type="dxa"/>
            <w:gridSpan w:val="2"/>
            <w:vAlign w:val="center"/>
          </w:tcPr>
          <w:p>
            <w:pPr>
              <w:widowControl w:val="0"/>
              <w:jc w:val="center"/>
            </w:pPr>
            <w:r>
              <w:t>240</w:t>
            </w:r>
          </w:p>
        </w:tc>
        <w:tc>
          <w:tcPr>
            <w:tcW w:w="616" w:type="dxa"/>
            <w:gridSpan w:val="2"/>
            <w:vAlign w:val="center"/>
          </w:tcPr>
          <w:p>
            <w:pPr>
              <w:widowControl w:val="0"/>
              <w:jc w:val="center"/>
            </w:pPr>
            <w:r>
              <w:t>219</w:t>
            </w:r>
          </w:p>
        </w:tc>
        <w:tc>
          <w:tcPr>
            <w:tcW w:w="616" w:type="dxa"/>
            <w:gridSpan w:val="2"/>
            <w:vAlign w:val="center"/>
          </w:tcPr>
          <w:p>
            <w:pPr>
              <w:widowControl w:val="0"/>
              <w:jc w:val="center"/>
            </w:pPr>
            <w:r>
              <w:t>286</w:t>
            </w:r>
          </w:p>
        </w:tc>
        <w:tc>
          <w:tcPr>
            <w:tcW w:w="617" w:type="dxa"/>
            <w:gridSpan w:val="2"/>
            <w:vAlign w:val="center"/>
          </w:tcPr>
          <w:p>
            <w:pPr>
              <w:widowControl w:val="0"/>
              <w:jc w:val="center"/>
            </w:pPr>
            <w:r>
              <w:t>291</w:t>
            </w:r>
          </w:p>
        </w:tc>
        <w:tc>
          <w:tcPr>
            <w:tcW w:w="617" w:type="dxa"/>
            <w:gridSpan w:val="2"/>
            <w:vAlign w:val="center"/>
          </w:tcPr>
          <w:p>
            <w:pPr>
              <w:widowControl w:val="0"/>
              <w:jc w:val="center"/>
            </w:pPr>
            <w:r>
              <w:t>261</w:t>
            </w:r>
          </w:p>
        </w:tc>
        <w:tc>
          <w:tcPr>
            <w:tcW w:w="617" w:type="dxa"/>
            <w:gridSpan w:val="2"/>
            <w:vAlign w:val="center"/>
          </w:tcPr>
          <w:p>
            <w:pPr>
              <w:widowControl w:val="0"/>
              <w:jc w:val="center"/>
            </w:pPr>
            <w:r>
              <w:t>–</w:t>
            </w:r>
          </w:p>
        </w:tc>
        <w:tc>
          <w:tcPr>
            <w:tcW w:w="618" w:type="dxa"/>
            <w:gridSpan w:val="2"/>
            <w:vAlign w:val="center"/>
          </w:tcPr>
          <w:p>
            <w:pPr>
              <w:widowControl w:val="0"/>
              <w:jc w:val="center"/>
            </w:pPr>
            <w:r>
              <w:t>–</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461</w:t>
            </w:r>
          </w:p>
        </w:tc>
        <w:tc>
          <w:tcPr>
            <w:tcW w:w="617" w:type="dxa"/>
            <w:gridSpan w:val="2"/>
            <w:vAlign w:val="center"/>
          </w:tcPr>
          <w:p>
            <w:pPr>
              <w:widowControl w:val="0"/>
              <w:jc w:val="center"/>
            </w:pPr>
            <w:r>
              <w:t>403</w:t>
            </w:r>
          </w:p>
        </w:tc>
        <w:tc>
          <w:tcPr>
            <w:tcW w:w="617" w:type="dxa"/>
            <w:gridSpan w:val="2"/>
            <w:vAlign w:val="center"/>
          </w:tcPr>
          <w:p>
            <w:pPr>
              <w:widowControl w:val="0"/>
              <w:jc w:val="center"/>
            </w:pPr>
            <w:r>
              <w:t>361</w:t>
            </w:r>
          </w:p>
        </w:tc>
        <w:tc>
          <w:tcPr>
            <w:tcW w:w="618" w:type="dxa"/>
            <w:gridSpan w:val="2"/>
            <w:vAlign w:val="center"/>
          </w:tcPr>
          <w:p>
            <w:pPr>
              <w:widowControl w:val="0"/>
              <w:jc w:val="center"/>
            </w:pPr>
            <w:r>
              <w:t>297</w:t>
            </w:r>
          </w:p>
        </w:tc>
      </w:tr>
      <w:tr>
        <w:trPr>
          <w:gridAfter w:val="1"/>
          <w:wAfter w:w="6" w:type="dxa"/>
          <w:cantSplit/>
          <w:trHeight w:val="20"/>
        </w:trPr>
        <w:tc>
          <w:tcPr>
            <w:tcW w:w="902" w:type="dxa"/>
            <w:gridSpan w:val="2"/>
            <w:vAlign w:val="center"/>
          </w:tcPr>
          <w:p>
            <w:pPr>
              <w:widowControl w:val="0"/>
              <w:jc w:val="center"/>
            </w:pPr>
            <w:r>
              <w:t>300</w:t>
            </w:r>
          </w:p>
        </w:tc>
        <w:tc>
          <w:tcPr>
            <w:tcW w:w="616" w:type="dxa"/>
            <w:gridSpan w:val="2"/>
            <w:vAlign w:val="center"/>
          </w:tcPr>
          <w:p>
            <w:pPr>
              <w:widowControl w:val="0"/>
              <w:jc w:val="center"/>
            </w:pPr>
            <w:r>
              <w:t>248</w:t>
            </w:r>
          </w:p>
        </w:tc>
        <w:tc>
          <w:tcPr>
            <w:tcW w:w="616" w:type="dxa"/>
            <w:gridSpan w:val="2"/>
            <w:vAlign w:val="center"/>
          </w:tcPr>
          <w:p>
            <w:pPr>
              <w:widowControl w:val="0"/>
              <w:jc w:val="center"/>
            </w:pPr>
            <w:r>
              <w:t>328</w:t>
            </w:r>
          </w:p>
        </w:tc>
        <w:tc>
          <w:tcPr>
            <w:tcW w:w="617" w:type="dxa"/>
            <w:gridSpan w:val="2"/>
            <w:vAlign w:val="center"/>
          </w:tcPr>
          <w:p>
            <w:pPr>
              <w:widowControl w:val="0"/>
              <w:jc w:val="center"/>
            </w:pPr>
            <w:r>
              <w:t>334</w:t>
            </w:r>
          </w:p>
        </w:tc>
        <w:tc>
          <w:tcPr>
            <w:tcW w:w="617" w:type="dxa"/>
            <w:gridSpan w:val="2"/>
            <w:vAlign w:val="center"/>
          </w:tcPr>
          <w:p>
            <w:pPr>
              <w:widowControl w:val="0"/>
              <w:jc w:val="center"/>
            </w:pPr>
            <w:r>
              <w:t>296</w:t>
            </w:r>
          </w:p>
        </w:tc>
        <w:tc>
          <w:tcPr>
            <w:tcW w:w="617" w:type="dxa"/>
            <w:gridSpan w:val="2"/>
            <w:vAlign w:val="center"/>
          </w:tcPr>
          <w:p>
            <w:pPr>
              <w:widowControl w:val="0"/>
              <w:jc w:val="center"/>
            </w:pPr>
            <w:r>
              <w:t>–</w:t>
            </w:r>
          </w:p>
        </w:tc>
        <w:tc>
          <w:tcPr>
            <w:tcW w:w="618" w:type="dxa"/>
            <w:gridSpan w:val="2"/>
            <w:vAlign w:val="center"/>
          </w:tcPr>
          <w:p>
            <w:pPr>
              <w:widowControl w:val="0"/>
              <w:jc w:val="center"/>
            </w:pPr>
            <w:r>
              <w:t>–</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530</w:t>
            </w:r>
          </w:p>
        </w:tc>
        <w:tc>
          <w:tcPr>
            <w:tcW w:w="617" w:type="dxa"/>
            <w:gridSpan w:val="2"/>
            <w:vAlign w:val="center"/>
          </w:tcPr>
          <w:p>
            <w:pPr>
              <w:widowControl w:val="0"/>
              <w:jc w:val="center"/>
            </w:pPr>
            <w:r>
              <w:t>464</w:t>
            </w:r>
          </w:p>
        </w:tc>
        <w:tc>
          <w:tcPr>
            <w:tcW w:w="617" w:type="dxa"/>
            <w:gridSpan w:val="2"/>
            <w:vAlign w:val="center"/>
          </w:tcPr>
          <w:p>
            <w:pPr>
              <w:widowControl w:val="0"/>
              <w:jc w:val="center"/>
            </w:pPr>
            <w:r>
              <w:t>408</w:t>
            </w:r>
          </w:p>
        </w:tc>
        <w:tc>
          <w:tcPr>
            <w:tcW w:w="618" w:type="dxa"/>
            <w:gridSpan w:val="2"/>
            <w:vAlign w:val="center"/>
          </w:tcPr>
          <w:p>
            <w:pPr>
              <w:widowControl w:val="0"/>
              <w:jc w:val="center"/>
            </w:pPr>
            <w:r>
              <w:t>336</w:t>
            </w:r>
          </w:p>
        </w:tc>
      </w:tr>
      <w:tr>
        <w:trPr>
          <w:gridAfter w:val="1"/>
          <w:wAfter w:w="6" w:type="dxa"/>
          <w:cantSplit/>
          <w:trHeight w:val="20"/>
        </w:trPr>
        <w:tc>
          <w:tcPr>
            <w:tcW w:w="8307" w:type="dxa"/>
            <w:gridSpan w:val="26"/>
            <w:vAlign w:val="center"/>
          </w:tcPr>
          <w:p>
            <w:pPr>
              <w:widowControl w:val="0"/>
              <w:jc w:val="center"/>
            </w:pPr>
            <w:r>
              <w:t>Aliumininių laidininkų leistinoji ilgalaikė srovė, A</w:t>
            </w:r>
          </w:p>
        </w:tc>
      </w:tr>
      <w:tr>
        <w:trPr>
          <w:gridAfter w:val="1"/>
          <w:wAfter w:w="6" w:type="dxa"/>
          <w:cantSplit/>
          <w:trHeight w:val="20"/>
        </w:trPr>
        <w:tc>
          <w:tcPr>
            <w:tcW w:w="902" w:type="dxa"/>
            <w:gridSpan w:val="2"/>
            <w:vAlign w:val="center"/>
          </w:tcPr>
          <w:p>
            <w:pPr>
              <w:widowControl w:val="0"/>
              <w:jc w:val="center"/>
            </w:pPr>
            <w:r>
              <w:t>2,5</w:t>
            </w:r>
          </w:p>
        </w:tc>
        <w:tc>
          <w:tcPr>
            <w:tcW w:w="616" w:type="dxa"/>
            <w:gridSpan w:val="2"/>
            <w:vAlign w:val="center"/>
          </w:tcPr>
          <w:p>
            <w:pPr>
              <w:widowControl w:val="0"/>
              <w:jc w:val="center"/>
            </w:pPr>
            <w:r>
              <w:t>15</w:t>
            </w:r>
          </w:p>
        </w:tc>
        <w:tc>
          <w:tcPr>
            <w:tcW w:w="616" w:type="dxa"/>
            <w:gridSpan w:val="2"/>
            <w:vAlign w:val="center"/>
          </w:tcPr>
          <w:p>
            <w:pPr>
              <w:widowControl w:val="0"/>
              <w:jc w:val="center"/>
            </w:pPr>
            <w:r>
              <w:t>–</w:t>
            </w:r>
          </w:p>
        </w:tc>
        <w:tc>
          <w:tcPr>
            <w:tcW w:w="617" w:type="dxa"/>
            <w:gridSpan w:val="2"/>
            <w:vAlign w:val="center"/>
          </w:tcPr>
          <w:p>
            <w:pPr>
              <w:widowControl w:val="0"/>
              <w:jc w:val="center"/>
            </w:pPr>
            <w:r>
              <w:t>14,5</w:t>
            </w:r>
          </w:p>
        </w:tc>
        <w:tc>
          <w:tcPr>
            <w:tcW w:w="617" w:type="dxa"/>
            <w:gridSpan w:val="2"/>
            <w:vAlign w:val="center"/>
          </w:tcPr>
          <w:p>
            <w:pPr>
              <w:widowControl w:val="0"/>
              <w:jc w:val="center"/>
            </w:pPr>
            <w:r>
              <w:t>–</w:t>
            </w:r>
          </w:p>
        </w:tc>
        <w:tc>
          <w:tcPr>
            <w:tcW w:w="617" w:type="dxa"/>
            <w:gridSpan w:val="2"/>
            <w:vAlign w:val="center"/>
          </w:tcPr>
          <w:p>
            <w:pPr>
              <w:widowControl w:val="0"/>
              <w:jc w:val="center"/>
            </w:pPr>
            <w:r>
              <w:t>18,5</w:t>
            </w:r>
          </w:p>
        </w:tc>
        <w:tc>
          <w:tcPr>
            <w:tcW w:w="618" w:type="dxa"/>
            <w:gridSpan w:val="2"/>
            <w:vAlign w:val="center"/>
          </w:tcPr>
          <w:p>
            <w:pPr>
              <w:widowControl w:val="0"/>
              <w:jc w:val="center"/>
            </w:pPr>
            <w:r>
              <w:t>–</w:t>
            </w:r>
          </w:p>
        </w:tc>
        <w:tc>
          <w:tcPr>
            <w:tcW w:w="617" w:type="dxa"/>
            <w:gridSpan w:val="2"/>
            <w:vAlign w:val="center"/>
          </w:tcPr>
          <w:p>
            <w:pPr>
              <w:widowControl w:val="0"/>
              <w:jc w:val="center"/>
            </w:pPr>
            <w:r>
              <w:t>17,5</w:t>
            </w:r>
          </w:p>
        </w:tc>
        <w:tc>
          <w:tcPr>
            <w:tcW w:w="617" w:type="dxa"/>
            <w:gridSpan w:val="2"/>
            <w:vAlign w:val="center"/>
          </w:tcPr>
          <w:p>
            <w:pPr>
              <w:widowControl w:val="0"/>
              <w:jc w:val="center"/>
            </w:pPr>
            <w:r>
              <w:t>–</w:t>
            </w:r>
          </w:p>
        </w:tc>
        <w:tc>
          <w:tcPr>
            <w:tcW w:w="618" w:type="dxa"/>
            <w:gridSpan w:val="2"/>
            <w:vAlign w:val="center"/>
          </w:tcPr>
          <w:p>
            <w:pPr>
              <w:widowControl w:val="0"/>
              <w:jc w:val="center"/>
            </w:pPr>
            <w:r>
              <w:t>21</w:t>
            </w:r>
          </w:p>
        </w:tc>
        <w:tc>
          <w:tcPr>
            <w:tcW w:w="617" w:type="dxa"/>
            <w:gridSpan w:val="2"/>
            <w:vAlign w:val="center"/>
          </w:tcPr>
          <w:p>
            <w:pPr>
              <w:widowControl w:val="0"/>
              <w:jc w:val="center"/>
            </w:pPr>
            <w:r>
              <w:t>–</w:t>
            </w:r>
          </w:p>
        </w:tc>
        <w:tc>
          <w:tcPr>
            <w:tcW w:w="617" w:type="dxa"/>
            <w:gridSpan w:val="2"/>
            <w:vAlign w:val="center"/>
          </w:tcPr>
          <w:p>
            <w:pPr>
              <w:widowControl w:val="0"/>
              <w:jc w:val="center"/>
            </w:pPr>
            <w:r>
              <w:t>22</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4</w:t>
            </w:r>
          </w:p>
        </w:tc>
        <w:tc>
          <w:tcPr>
            <w:tcW w:w="616" w:type="dxa"/>
            <w:gridSpan w:val="2"/>
            <w:vAlign w:val="center"/>
          </w:tcPr>
          <w:p>
            <w:pPr>
              <w:widowControl w:val="0"/>
              <w:jc w:val="center"/>
            </w:pPr>
            <w:r>
              <w:t>20</w:t>
            </w:r>
          </w:p>
        </w:tc>
        <w:tc>
          <w:tcPr>
            <w:tcW w:w="616" w:type="dxa"/>
            <w:gridSpan w:val="2"/>
            <w:vAlign w:val="center"/>
          </w:tcPr>
          <w:p>
            <w:pPr>
              <w:widowControl w:val="0"/>
              <w:jc w:val="center"/>
            </w:pPr>
            <w:r>
              <w:t>–</w:t>
            </w:r>
          </w:p>
        </w:tc>
        <w:tc>
          <w:tcPr>
            <w:tcW w:w="617" w:type="dxa"/>
            <w:gridSpan w:val="2"/>
            <w:vAlign w:val="center"/>
          </w:tcPr>
          <w:p>
            <w:pPr>
              <w:widowControl w:val="0"/>
              <w:jc w:val="center"/>
            </w:pPr>
            <w:r>
              <w:t>19,5</w:t>
            </w:r>
          </w:p>
        </w:tc>
        <w:tc>
          <w:tcPr>
            <w:tcW w:w="617" w:type="dxa"/>
            <w:gridSpan w:val="2"/>
            <w:vAlign w:val="center"/>
          </w:tcPr>
          <w:p>
            <w:pPr>
              <w:widowControl w:val="0"/>
              <w:jc w:val="center"/>
            </w:pPr>
            <w:r>
              <w:t>–</w:t>
            </w:r>
          </w:p>
        </w:tc>
        <w:tc>
          <w:tcPr>
            <w:tcW w:w="617" w:type="dxa"/>
            <w:gridSpan w:val="2"/>
            <w:vAlign w:val="center"/>
          </w:tcPr>
          <w:p>
            <w:pPr>
              <w:widowControl w:val="0"/>
              <w:jc w:val="center"/>
            </w:pPr>
            <w:r>
              <w:t>18,5</w:t>
            </w:r>
          </w:p>
        </w:tc>
        <w:tc>
          <w:tcPr>
            <w:tcW w:w="618" w:type="dxa"/>
            <w:gridSpan w:val="2"/>
            <w:vAlign w:val="center"/>
          </w:tcPr>
          <w:p>
            <w:pPr>
              <w:widowControl w:val="0"/>
              <w:jc w:val="center"/>
            </w:pPr>
            <w:r>
              <w:t>–</w:t>
            </w:r>
          </w:p>
        </w:tc>
        <w:tc>
          <w:tcPr>
            <w:tcW w:w="617" w:type="dxa"/>
            <w:gridSpan w:val="2"/>
            <w:vAlign w:val="center"/>
          </w:tcPr>
          <w:p>
            <w:pPr>
              <w:widowControl w:val="0"/>
              <w:jc w:val="center"/>
            </w:pPr>
            <w:r>
              <w:t>17,5</w:t>
            </w:r>
          </w:p>
        </w:tc>
        <w:tc>
          <w:tcPr>
            <w:tcW w:w="617" w:type="dxa"/>
            <w:gridSpan w:val="2"/>
            <w:vAlign w:val="center"/>
          </w:tcPr>
          <w:p>
            <w:pPr>
              <w:widowControl w:val="0"/>
              <w:jc w:val="center"/>
            </w:pPr>
            <w:r>
              <w:t>–</w:t>
            </w:r>
          </w:p>
        </w:tc>
        <w:tc>
          <w:tcPr>
            <w:tcW w:w="618" w:type="dxa"/>
            <w:gridSpan w:val="2"/>
            <w:vAlign w:val="center"/>
          </w:tcPr>
          <w:p>
            <w:pPr>
              <w:widowControl w:val="0"/>
              <w:jc w:val="center"/>
            </w:pPr>
            <w:r>
              <w:t>21</w:t>
            </w:r>
          </w:p>
        </w:tc>
        <w:tc>
          <w:tcPr>
            <w:tcW w:w="617" w:type="dxa"/>
            <w:gridSpan w:val="2"/>
            <w:vAlign w:val="center"/>
          </w:tcPr>
          <w:p>
            <w:pPr>
              <w:widowControl w:val="0"/>
              <w:jc w:val="center"/>
            </w:pPr>
            <w:r>
              <w:t>–</w:t>
            </w:r>
          </w:p>
        </w:tc>
        <w:tc>
          <w:tcPr>
            <w:tcW w:w="617" w:type="dxa"/>
            <w:gridSpan w:val="2"/>
            <w:vAlign w:val="center"/>
          </w:tcPr>
          <w:p>
            <w:pPr>
              <w:widowControl w:val="0"/>
              <w:jc w:val="center"/>
            </w:pPr>
            <w:r>
              <w:t>22</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6</w:t>
            </w:r>
          </w:p>
        </w:tc>
        <w:tc>
          <w:tcPr>
            <w:tcW w:w="616" w:type="dxa"/>
            <w:gridSpan w:val="2"/>
            <w:vAlign w:val="center"/>
          </w:tcPr>
          <w:p>
            <w:pPr>
              <w:widowControl w:val="0"/>
              <w:jc w:val="center"/>
            </w:pPr>
            <w:r>
              <w:t>26</w:t>
            </w:r>
          </w:p>
        </w:tc>
        <w:tc>
          <w:tcPr>
            <w:tcW w:w="616" w:type="dxa"/>
            <w:gridSpan w:val="2"/>
            <w:vAlign w:val="center"/>
          </w:tcPr>
          <w:p>
            <w:pPr>
              <w:widowControl w:val="0"/>
              <w:jc w:val="center"/>
            </w:pPr>
            <w:r>
              <w:t>–</w:t>
            </w:r>
          </w:p>
        </w:tc>
        <w:tc>
          <w:tcPr>
            <w:tcW w:w="617" w:type="dxa"/>
            <w:gridSpan w:val="2"/>
            <w:vAlign w:val="center"/>
          </w:tcPr>
          <w:p>
            <w:pPr>
              <w:widowControl w:val="0"/>
              <w:jc w:val="center"/>
            </w:pPr>
            <w:r>
              <w:t>25</w:t>
            </w:r>
          </w:p>
        </w:tc>
        <w:tc>
          <w:tcPr>
            <w:tcW w:w="617" w:type="dxa"/>
            <w:gridSpan w:val="2"/>
            <w:vAlign w:val="center"/>
          </w:tcPr>
          <w:p>
            <w:pPr>
              <w:widowControl w:val="0"/>
              <w:jc w:val="center"/>
            </w:pPr>
            <w:r>
              <w:t>–</w:t>
            </w:r>
          </w:p>
        </w:tc>
        <w:tc>
          <w:tcPr>
            <w:tcW w:w="617" w:type="dxa"/>
            <w:gridSpan w:val="2"/>
            <w:vAlign w:val="center"/>
          </w:tcPr>
          <w:p>
            <w:pPr>
              <w:widowControl w:val="0"/>
              <w:jc w:val="center"/>
            </w:pPr>
            <w:r>
              <w:t>32</w:t>
            </w:r>
          </w:p>
        </w:tc>
        <w:tc>
          <w:tcPr>
            <w:tcW w:w="618" w:type="dxa"/>
            <w:gridSpan w:val="2"/>
            <w:vAlign w:val="center"/>
          </w:tcPr>
          <w:p>
            <w:pPr>
              <w:widowControl w:val="0"/>
              <w:jc w:val="center"/>
            </w:pPr>
            <w:r>
              <w:t>–</w:t>
            </w:r>
          </w:p>
        </w:tc>
        <w:tc>
          <w:tcPr>
            <w:tcW w:w="617" w:type="dxa"/>
            <w:gridSpan w:val="2"/>
            <w:vAlign w:val="center"/>
          </w:tcPr>
          <w:p>
            <w:pPr>
              <w:widowControl w:val="0"/>
              <w:jc w:val="center"/>
            </w:pPr>
            <w:r>
              <w:t>30</w:t>
            </w:r>
          </w:p>
        </w:tc>
        <w:tc>
          <w:tcPr>
            <w:tcW w:w="617" w:type="dxa"/>
            <w:gridSpan w:val="2"/>
            <w:vAlign w:val="center"/>
          </w:tcPr>
          <w:p>
            <w:pPr>
              <w:widowControl w:val="0"/>
              <w:jc w:val="center"/>
            </w:pPr>
            <w:r>
              <w:t>–</w:t>
            </w:r>
          </w:p>
        </w:tc>
        <w:tc>
          <w:tcPr>
            <w:tcW w:w="618" w:type="dxa"/>
            <w:gridSpan w:val="2"/>
            <w:vAlign w:val="center"/>
          </w:tcPr>
          <w:p>
            <w:pPr>
              <w:widowControl w:val="0"/>
              <w:jc w:val="center"/>
            </w:pPr>
            <w:r>
              <w:t>36</w:t>
            </w:r>
          </w:p>
        </w:tc>
        <w:tc>
          <w:tcPr>
            <w:tcW w:w="617" w:type="dxa"/>
            <w:gridSpan w:val="2"/>
            <w:vAlign w:val="center"/>
          </w:tcPr>
          <w:p>
            <w:pPr>
              <w:widowControl w:val="0"/>
              <w:jc w:val="center"/>
            </w:pPr>
            <w:r>
              <w:t>–</w:t>
            </w:r>
          </w:p>
        </w:tc>
        <w:tc>
          <w:tcPr>
            <w:tcW w:w="617" w:type="dxa"/>
            <w:gridSpan w:val="2"/>
            <w:vAlign w:val="center"/>
          </w:tcPr>
          <w:p>
            <w:pPr>
              <w:widowControl w:val="0"/>
              <w:jc w:val="center"/>
            </w:pPr>
            <w:r>
              <w:t>36</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10</w:t>
            </w:r>
          </w:p>
        </w:tc>
        <w:tc>
          <w:tcPr>
            <w:tcW w:w="616" w:type="dxa"/>
            <w:gridSpan w:val="2"/>
            <w:vAlign w:val="center"/>
          </w:tcPr>
          <w:p>
            <w:pPr>
              <w:widowControl w:val="0"/>
              <w:jc w:val="center"/>
            </w:pPr>
            <w:r>
              <w:t>36</w:t>
            </w:r>
          </w:p>
        </w:tc>
        <w:tc>
          <w:tcPr>
            <w:tcW w:w="616" w:type="dxa"/>
            <w:gridSpan w:val="2"/>
            <w:vAlign w:val="center"/>
          </w:tcPr>
          <w:p>
            <w:pPr>
              <w:widowControl w:val="0"/>
              <w:jc w:val="center"/>
            </w:pPr>
            <w:r>
              <w:t>–</w:t>
            </w:r>
          </w:p>
        </w:tc>
        <w:tc>
          <w:tcPr>
            <w:tcW w:w="617" w:type="dxa"/>
            <w:gridSpan w:val="2"/>
            <w:vAlign w:val="center"/>
          </w:tcPr>
          <w:p>
            <w:pPr>
              <w:widowControl w:val="0"/>
              <w:jc w:val="center"/>
            </w:pPr>
            <w:r>
              <w:t>33</w:t>
            </w:r>
          </w:p>
        </w:tc>
        <w:tc>
          <w:tcPr>
            <w:tcW w:w="617" w:type="dxa"/>
            <w:gridSpan w:val="2"/>
            <w:vAlign w:val="center"/>
          </w:tcPr>
          <w:p>
            <w:pPr>
              <w:widowControl w:val="0"/>
              <w:jc w:val="center"/>
            </w:pPr>
            <w:r>
              <w:t>–</w:t>
            </w:r>
          </w:p>
        </w:tc>
        <w:tc>
          <w:tcPr>
            <w:tcW w:w="617" w:type="dxa"/>
            <w:gridSpan w:val="2"/>
            <w:vAlign w:val="center"/>
          </w:tcPr>
          <w:p>
            <w:pPr>
              <w:widowControl w:val="0"/>
              <w:jc w:val="center"/>
            </w:pPr>
            <w:r>
              <w:t>44</w:t>
            </w:r>
          </w:p>
        </w:tc>
        <w:tc>
          <w:tcPr>
            <w:tcW w:w="618" w:type="dxa"/>
            <w:gridSpan w:val="2"/>
            <w:vAlign w:val="center"/>
          </w:tcPr>
          <w:p>
            <w:pPr>
              <w:widowControl w:val="0"/>
              <w:jc w:val="center"/>
            </w:pPr>
            <w:r>
              <w:t>–</w:t>
            </w:r>
          </w:p>
        </w:tc>
        <w:tc>
          <w:tcPr>
            <w:tcW w:w="617" w:type="dxa"/>
            <w:gridSpan w:val="2"/>
            <w:vAlign w:val="center"/>
          </w:tcPr>
          <w:p>
            <w:pPr>
              <w:widowControl w:val="0"/>
              <w:jc w:val="center"/>
            </w:pPr>
            <w:r>
              <w:t>41</w:t>
            </w:r>
          </w:p>
        </w:tc>
        <w:tc>
          <w:tcPr>
            <w:tcW w:w="617" w:type="dxa"/>
            <w:gridSpan w:val="2"/>
            <w:vAlign w:val="center"/>
          </w:tcPr>
          <w:p>
            <w:pPr>
              <w:widowControl w:val="0"/>
              <w:jc w:val="center"/>
            </w:pPr>
            <w:r>
              <w:t>–</w:t>
            </w:r>
          </w:p>
        </w:tc>
        <w:tc>
          <w:tcPr>
            <w:tcW w:w="618" w:type="dxa"/>
            <w:gridSpan w:val="2"/>
            <w:vAlign w:val="center"/>
          </w:tcPr>
          <w:p>
            <w:pPr>
              <w:widowControl w:val="0"/>
              <w:jc w:val="center"/>
            </w:pPr>
            <w:r>
              <w:t>49</w:t>
            </w:r>
          </w:p>
        </w:tc>
        <w:tc>
          <w:tcPr>
            <w:tcW w:w="617" w:type="dxa"/>
            <w:gridSpan w:val="2"/>
            <w:vAlign w:val="center"/>
          </w:tcPr>
          <w:p>
            <w:pPr>
              <w:widowControl w:val="0"/>
              <w:jc w:val="center"/>
            </w:pPr>
            <w:r>
              <w:t>–</w:t>
            </w:r>
          </w:p>
        </w:tc>
        <w:tc>
          <w:tcPr>
            <w:tcW w:w="617" w:type="dxa"/>
            <w:gridSpan w:val="2"/>
            <w:vAlign w:val="center"/>
          </w:tcPr>
          <w:p>
            <w:pPr>
              <w:widowControl w:val="0"/>
              <w:jc w:val="center"/>
            </w:pPr>
            <w:r>
              <w:t>48</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16</w:t>
            </w:r>
          </w:p>
        </w:tc>
        <w:tc>
          <w:tcPr>
            <w:tcW w:w="616" w:type="dxa"/>
            <w:gridSpan w:val="2"/>
            <w:vAlign w:val="center"/>
          </w:tcPr>
          <w:p>
            <w:pPr>
              <w:widowControl w:val="0"/>
              <w:jc w:val="center"/>
            </w:pPr>
            <w:r>
              <w:t>48</w:t>
            </w:r>
          </w:p>
        </w:tc>
        <w:tc>
          <w:tcPr>
            <w:tcW w:w="616" w:type="dxa"/>
            <w:gridSpan w:val="2"/>
            <w:vAlign w:val="center"/>
          </w:tcPr>
          <w:p>
            <w:pPr>
              <w:widowControl w:val="0"/>
              <w:jc w:val="center"/>
            </w:pPr>
            <w:r>
              <w:t>–</w:t>
            </w:r>
          </w:p>
        </w:tc>
        <w:tc>
          <w:tcPr>
            <w:tcW w:w="617" w:type="dxa"/>
            <w:gridSpan w:val="2"/>
            <w:vAlign w:val="center"/>
          </w:tcPr>
          <w:p>
            <w:pPr>
              <w:widowControl w:val="0"/>
              <w:jc w:val="center"/>
            </w:pPr>
            <w:r>
              <w:t>44</w:t>
            </w:r>
          </w:p>
        </w:tc>
        <w:tc>
          <w:tcPr>
            <w:tcW w:w="617" w:type="dxa"/>
            <w:gridSpan w:val="2"/>
            <w:vAlign w:val="center"/>
          </w:tcPr>
          <w:p>
            <w:pPr>
              <w:widowControl w:val="0"/>
              <w:jc w:val="center"/>
            </w:pPr>
            <w:r>
              <w:t>–</w:t>
            </w:r>
          </w:p>
        </w:tc>
        <w:tc>
          <w:tcPr>
            <w:tcW w:w="617" w:type="dxa"/>
            <w:gridSpan w:val="2"/>
            <w:vAlign w:val="center"/>
          </w:tcPr>
          <w:p>
            <w:pPr>
              <w:widowControl w:val="0"/>
              <w:jc w:val="center"/>
            </w:pPr>
            <w:r>
              <w:t>60</w:t>
            </w:r>
          </w:p>
        </w:tc>
        <w:tc>
          <w:tcPr>
            <w:tcW w:w="618" w:type="dxa"/>
            <w:gridSpan w:val="2"/>
            <w:vAlign w:val="center"/>
          </w:tcPr>
          <w:p>
            <w:pPr>
              <w:widowControl w:val="0"/>
              <w:jc w:val="center"/>
            </w:pPr>
            <w:r>
              <w:t>–</w:t>
            </w:r>
          </w:p>
        </w:tc>
        <w:tc>
          <w:tcPr>
            <w:tcW w:w="617" w:type="dxa"/>
            <w:gridSpan w:val="2"/>
            <w:vAlign w:val="center"/>
          </w:tcPr>
          <w:p>
            <w:pPr>
              <w:widowControl w:val="0"/>
              <w:jc w:val="center"/>
            </w:pPr>
            <w:r>
              <w:t>54</w:t>
            </w:r>
          </w:p>
        </w:tc>
        <w:tc>
          <w:tcPr>
            <w:tcW w:w="617" w:type="dxa"/>
            <w:gridSpan w:val="2"/>
            <w:vAlign w:val="center"/>
          </w:tcPr>
          <w:p>
            <w:pPr>
              <w:widowControl w:val="0"/>
              <w:jc w:val="center"/>
            </w:pPr>
            <w:r>
              <w:t>–</w:t>
            </w:r>
          </w:p>
        </w:tc>
        <w:tc>
          <w:tcPr>
            <w:tcW w:w="618" w:type="dxa"/>
            <w:gridSpan w:val="2"/>
            <w:vAlign w:val="center"/>
          </w:tcPr>
          <w:p>
            <w:pPr>
              <w:widowControl w:val="0"/>
              <w:jc w:val="center"/>
            </w:pPr>
            <w:r>
              <w:t>66</w:t>
            </w:r>
          </w:p>
        </w:tc>
        <w:tc>
          <w:tcPr>
            <w:tcW w:w="617" w:type="dxa"/>
            <w:gridSpan w:val="2"/>
            <w:vAlign w:val="center"/>
          </w:tcPr>
          <w:p>
            <w:pPr>
              <w:widowControl w:val="0"/>
              <w:jc w:val="center"/>
            </w:pPr>
            <w:r>
              <w:t>–</w:t>
            </w:r>
          </w:p>
        </w:tc>
        <w:tc>
          <w:tcPr>
            <w:tcW w:w="617" w:type="dxa"/>
            <w:gridSpan w:val="2"/>
            <w:vAlign w:val="center"/>
          </w:tcPr>
          <w:p>
            <w:pPr>
              <w:widowControl w:val="0"/>
              <w:jc w:val="center"/>
            </w:pPr>
            <w:r>
              <w:t>62</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25</w:t>
            </w:r>
          </w:p>
        </w:tc>
        <w:tc>
          <w:tcPr>
            <w:tcW w:w="616" w:type="dxa"/>
            <w:gridSpan w:val="2"/>
            <w:vAlign w:val="center"/>
          </w:tcPr>
          <w:p>
            <w:pPr>
              <w:widowControl w:val="0"/>
              <w:jc w:val="center"/>
            </w:pPr>
            <w:r>
              <w:t>63</w:t>
            </w:r>
          </w:p>
        </w:tc>
        <w:tc>
          <w:tcPr>
            <w:tcW w:w="616" w:type="dxa"/>
            <w:gridSpan w:val="2"/>
            <w:vAlign w:val="center"/>
          </w:tcPr>
          <w:p>
            <w:pPr>
              <w:widowControl w:val="0"/>
              <w:jc w:val="center"/>
            </w:pPr>
            <w:r>
              <w:t>–</w:t>
            </w:r>
          </w:p>
        </w:tc>
        <w:tc>
          <w:tcPr>
            <w:tcW w:w="617" w:type="dxa"/>
            <w:gridSpan w:val="2"/>
            <w:vAlign w:val="center"/>
          </w:tcPr>
          <w:p>
            <w:pPr>
              <w:widowControl w:val="0"/>
              <w:jc w:val="center"/>
            </w:pPr>
            <w:r>
              <w:t>58</w:t>
            </w:r>
          </w:p>
        </w:tc>
        <w:tc>
          <w:tcPr>
            <w:tcW w:w="617" w:type="dxa"/>
            <w:gridSpan w:val="2"/>
            <w:vAlign w:val="center"/>
          </w:tcPr>
          <w:p>
            <w:pPr>
              <w:widowControl w:val="0"/>
              <w:jc w:val="center"/>
            </w:pPr>
            <w:r>
              <w:t>–</w:t>
            </w:r>
          </w:p>
        </w:tc>
        <w:tc>
          <w:tcPr>
            <w:tcW w:w="617" w:type="dxa"/>
            <w:gridSpan w:val="2"/>
            <w:vAlign w:val="center"/>
          </w:tcPr>
          <w:p>
            <w:pPr>
              <w:widowControl w:val="0"/>
              <w:jc w:val="center"/>
            </w:pPr>
            <w:r>
              <w:t>79</w:t>
            </w:r>
          </w:p>
        </w:tc>
        <w:tc>
          <w:tcPr>
            <w:tcW w:w="618" w:type="dxa"/>
            <w:gridSpan w:val="2"/>
            <w:vAlign w:val="center"/>
          </w:tcPr>
          <w:p>
            <w:pPr>
              <w:widowControl w:val="0"/>
              <w:jc w:val="center"/>
            </w:pPr>
            <w:r>
              <w:t>–</w:t>
            </w:r>
          </w:p>
        </w:tc>
        <w:tc>
          <w:tcPr>
            <w:tcW w:w="617" w:type="dxa"/>
            <w:gridSpan w:val="2"/>
            <w:vAlign w:val="center"/>
          </w:tcPr>
          <w:p>
            <w:pPr>
              <w:widowControl w:val="0"/>
              <w:jc w:val="center"/>
            </w:pPr>
            <w:r>
              <w:t>71</w:t>
            </w:r>
          </w:p>
        </w:tc>
        <w:tc>
          <w:tcPr>
            <w:tcW w:w="617" w:type="dxa"/>
            <w:gridSpan w:val="2"/>
            <w:vAlign w:val="center"/>
          </w:tcPr>
          <w:p>
            <w:pPr>
              <w:widowControl w:val="0"/>
              <w:jc w:val="center"/>
            </w:pPr>
            <w:r>
              <w:t>–</w:t>
            </w:r>
          </w:p>
        </w:tc>
        <w:tc>
          <w:tcPr>
            <w:tcW w:w="618" w:type="dxa"/>
            <w:gridSpan w:val="2"/>
            <w:vAlign w:val="center"/>
          </w:tcPr>
          <w:p>
            <w:pPr>
              <w:widowControl w:val="0"/>
              <w:jc w:val="center"/>
            </w:pPr>
            <w:r>
              <w:t>83</w:t>
            </w:r>
          </w:p>
        </w:tc>
        <w:tc>
          <w:tcPr>
            <w:tcW w:w="617" w:type="dxa"/>
            <w:gridSpan w:val="2"/>
            <w:vAlign w:val="center"/>
          </w:tcPr>
          <w:p>
            <w:pPr>
              <w:widowControl w:val="0"/>
              <w:jc w:val="center"/>
            </w:pPr>
            <w:r>
              <w:t>–</w:t>
            </w:r>
          </w:p>
        </w:tc>
        <w:tc>
          <w:tcPr>
            <w:tcW w:w="617" w:type="dxa"/>
            <w:gridSpan w:val="2"/>
            <w:vAlign w:val="center"/>
          </w:tcPr>
          <w:p>
            <w:pPr>
              <w:widowControl w:val="0"/>
              <w:jc w:val="center"/>
            </w:pPr>
            <w:r>
              <w:t>80</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35</w:t>
            </w:r>
          </w:p>
        </w:tc>
        <w:tc>
          <w:tcPr>
            <w:tcW w:w="616" w:type="dxa"/>
            <w:gridSpan w:val="2"/>
            <w:vAlign w:val="center"/>
          </w:tcPr>
          <w:p>
            <w:pPr>
              <w:widowControl w:val="0"/>
              <w:jc w:val="center"/>
            </w:pPr>
            <w:r>
              <w:t>77</w:t>
            </w:r>
          </w:p>
        </w:tc>
        <w:tc>
          <w:tcPr>
            <w:tcW w:w="616" w:type="dxa"/>
            <w:gridSpan w:val="2"/>
            <w:vAlign w:val="center"/>
          </w:tcPr>
          <w:p>
            <w:pPr>
              <w:widowControl w:val="0"/>
              <w:jc w:val="center"/>
            </w:pPr>
            <w:r>
              <w:t>–</w:t>
            </w:r>
          </w:p>
        </w:tc>
        <w:tc>
          <w:tcPr>
            <w:tcW w:w="617" w:type="dxa"/>
            <w:gridSpan w:val="2"/>
            <w:vAlign w:val="center"/>
          </w:tcPr>
          <w:p>
            <w:pPr>
              <w:widowControl w:val="0"/>
              <w:jc w:val="center"/>
            </w:pPr>
            <w:r>
              <w:t>71</w:t>
            </w:r>
          </w:p>
        </w:tc>
        <w:tc>
          <w:tcPr>
            <w:tcW w:w="617" w:type="dxa"/>
            <w:gridSpan w:val="2"/>
            <w:vAlign w:val="center"/>
          </w:tcPr>
          <w:p>
            <w:pPr>
              <w:widowControl w:val="0"/>
              <w:jc w:val="center"/>
            </w:pPr>
            <w:r>
              <w:t>–</w:t>
            </w:r>
          </w:p>
        </w:tc>
        <w:tc>
          <w:tcPr>
            <w:tcW w:w="617" w:type="dxa"/>
            <w:gridSpan w:val="2"/>
            <w:vAlign w:val="center"/>
          </w:tcPr>
          <w:p>
            <w:pPr>
              <w:widowControl w:val="0"/>
              <w:jc w:val="center"/>
            </w:pPr>
            <w:r>
              <w:t>97</w:t>
            </w:r>
          </w:p>
        </w:tc>
        <w:tc>
          <w:tcPr>
            <w:tcW w:w="618" w:type="dxa"/>
            <w:gridSpan w:val="2"/>
            <w:vAlign w:val="center"/>
          </w:tcPr>
          <w:p>
            <w:pPr>
              <w:widowControl w:val="0"/>
              <w:jc w:val="center"/>
            </w:pPr>
            <w:r>
              <w:t>–</w:t>
            </w:r>
          </w:p>
        </w:tc>
        <w:tc>
          <w:tcPr>
            <w:tcW w:w="617" w:type="dxa"/>
            <w:gridSpan w:val="2"/>
            <w:vAlign w:val="center"/>
          </w:tcPr>
          <w:p>
            <w:pPr>
              <w:widowControl w:val="0"/>
              <w:jc w:val="center"/>
            </w:pPr>
            <w:r>
              <w:t>86</w:t>
            </w:r>
          </w:p>
        </w:tc>
        <w:tc>
          <w:tcPr>
            <w:tcW w:w="617" w:type="dxa"/>
            <w:gridSpan w:val="2"/>
            <w:vAlign w:val="center"/>
          </w:tcPr>
          <w:p>
            <w:pPr>
              <w:widowControl w:val="0"/>
              <w:jc w:val="center"/>
            </w:pPr>
            <w:r>
              <w:t>–</w:t>
            </w:r>
          </w:p>
        </w:tc>
        <w:tc>
          <w:tcPr>
            <w:tcW w:w="618" w:type="dxa"/>
            <w:gridSpan w:val="2"/>
            <w:vAlign w:val="center"/>
          </w:tcPr>
          <w:p>
            <w:pPr>
              <w:widowControl w:val="0"/>
              <w:jc w:val="center"/>
            </w:pPr>
            <w:r>
              <w:t>103</w:t>
            </w:r>
          </w:p>
        </w:tc>
        <w:tc>
          <w:tcPr>
            <w:tcW w:w="617" w:type="dxa"/>
            <w:gridSpan w:val="2"/>
            <w:vAlign w:val="center"/>
          </w:tcPr>
          <w:p>
            <w:pPr>
              <w:widowControl w:val="0"/>
              <w:jc w:val="center"/>
            </w:pPr>
            <w:r>
              <w:t>–</w:t>
            </w:r>
          </w:p>
        </w:tc>
        <w:tc>
          <w:tcPr>
            <w:tcW w:w="617" w:type="dxa"/>
            <w:gridSpan w:val="2"/>
            <w:vAlign w:val="center"/>
          </w:tcPr>
          <w:p>
            <w:pPr>
              <w:widowControl w:val="0"/>
              <w:jc w:val="center"/>
            </w:pPr>
            <w:r>
              <w:t>96</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50</w:t>
            </w:r>
          </w:p>
        </w:tc>
        <w:tc>
          <w:tcPr>
            <w:tcW w:w="616" w:type="dxa"/>
            <w:gridSpan w:val="2"/>
            <w:vAlign w:val="center"/>
          </w:tcPr>
          <w:p>
            <w:pPr>
              <w:widowControl w:val="0"/>
              <w:jc w:val="center"/>
            </w:pPr>
            <w:r>
              <w:t>93</w:t>
            </w:r>
          </w:p>
        </w:tc>
        <w:tc>
          <w:tcPr>
            <w:tcW w:w="616" w:type="dxa"/>
            <w:gridSpan w:val="2"/>
            <w:vAlign w:val="center"/>
          </w:tcPr>
          <w:p>
            <w:pPr>
              <w:widowControl w:val="0"/>
              <w:jc w:val="center"/>
            </w:pPr>
            <w:r>
              <w:t>–</w:t>
            </w:r>
          </w:p>
        </w:tc>
        <w:tc>
          <w:tcPr>
            <w:tcW w:w="617" w:type="dxa"/>
            <w:gridSpan w:val="2"/>
            <w:vAlign w:val="center"/>
          </w:tcPr>
          <w:p>
            <w:pPr>
              <w:widowControl w:val="0"/>
              <w:jc w:val="center"/>
            </w:pPr>
            <w:r>
              <w:t>86</w:t>
            </w:r>
          </w:p>
        </w:tc>
        <w:tc>
          <w:tcPr>
            <w:tcW w:w="617" w:type="dxa"/>
            <w:gridSpan w:val="2"/>
            <w:vAlign w:val="center"/>
          </w:tcPr>
          <w:p>
            <w:pPr>
              <w:widowControl w:val="0"/>
              <w:jc w:val="center"/>
            </w:pPr>
            <w:r>
              <w:t>–</w:t>
            </w:r>
          </w:p>
        </w:tc>
        <w:tc>
          <w:tcPr>
            <w:tcW w:w="617" w:type="dxa"/>
            <w:gridSpan w:val="2"/>
            <w:vAlign w:val="center"/>
          </w:tcPr>
          <w:p>
            <w:pPr>
              <w:widowControl w:val="0"/>
              <w:jc w:val="center"/>
            </w:pPr>
            <w:r>
              <w:t>118</w:t>
            </w:r>
          </w:p>
        </w:tc>
        <w:tc>
          <w:tcPr>
            <w:tcW w:w="618" w:type="dxa"/>
            <w:gridSpan w:val="2"/>
            <w:vAlign w:val="center"/>
          </w:tcPr>
          <w:p>
            <w:pPr>
              <w:widowControl w:val="0"/>
              <w:jc w:val="center"/>
            </w:pPr>
            <w:r>
              <w:t>–</w:t>
            </w:r>
          </w:p>
        </w:tc>
        <w:tc>
          <w:tcPr>
            <w:tcW w:w="617" w:type="dxa"/>
            <w:gridSpan w:val="2"/>
            <w:vAlign w:val="center"/>
          </w:tcPr>
          <w:p>
            <w:pPr>
              <w:widowControl w:val="0"/>
              <w:jc w:val="center"/>
            </w:pPr>
            <w:r>
              <w:t>104</w:t>
            </w:r>
          </w:p>
        </w:tc>
        <w:tc>
          <w:tcPr>
            <w:tcW w:w="617" w:type="dxa"/>
            <w:gridSpan w:val="2"/>
            <w:vAlign w:val="center"/>
          </w:tcPr>
          <w:p>
            <w:pPr>
              <w:widowControl w:val="0"/>
              <w:jc w:val="center"/>
            </w:pPr>
            <w:r>
              <w:t>–</w:t>
            </w:r>
          </w:p>
        </w:tc>
        <w:tc>
          <w:tcPr>
            <w:tcW w:w="618" w:type="dxa"/>
            <w:gridSpan w:val="2"/>
            <w:vAlign w:val="center"/>
          </w:tcPr>
          <w:p>
            <w:pPr>
              <w:widowControl w:val="0"/>
              <w:jc w:val="center"/>
            </w:pPr>
            <w:r>
              <w:t>125</w:t>
            </w:r>
          </w:p>
        </w:tc>
        <w:tc>
          <w:tcPr>
            <w:tcW w:w="617" w:type="dxa"/>
            <w:gridSpan w:val="2"/>
            <w:vAlign w:val="center"/>
          </w:tcPr>
          <w:p>
            <w:pPr>
              <w:widowControl w:val="0"/>
              <w:jc w:val="center"/>
            </w:pPr>
            <w:r>
              <w:t>–</w:t>
            </w:r>
          </w:p>
        </w:tc>
        <w:tc>
          <w:tcPr>
            <w:tcW w:w="617" w:type="dxa"/>
            <w:gridSpan w:val="2"/>
            <w:vAlign w:val="center"/>
          </w:tcPr>
          <w:p>
            <w:pPr>
              <w:widowControl w:val="0"/>
              <w:jc w:val="center"/>
            </w:pPr>
            <w:r>
              <w:t>113</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70</w:t>
            </w:r>
          </w:p>
        </w:tc>
        <w:tc>
          <w:tcPr>
            <w:tcW w:w="616" w:type="dxa"/>
            <w:gridSpan w:val="2"/>
            <w:vAlign w:val="center"/>
          </w:tcPr>
          <w:p>
            <w:pPr>
              <w:widowControl w:val="0"/>
              <w:jc w:val="center"/>
            </w:pPr>
            <w:r>
              <w:t>118</w:t>
            </w:r>
          </w:p>
        </w:tc>
        <w:tc>
          <w:tcPr>
            <w:tcW w:w="616" w:type="dxa"/>
            <w:gridSpan w:val="2"/>
            <w:vAlign w:val="center"/>
          </w:tcPr>
          <w:p>
            <w:pPr>
              <w:widowControl w:val="0"/>
              <w:jc w:val="center"/>
            </w:pPr>
            <w:r>
              <w:t>–</w:t>
            </w:r>
          </w:p>
        </w:tc>
        <w:tc>
          <w:tcPr>
            <w:tcW w:w="617" w:type="dxa"/>
            <w:gridSpan w:val="2"/>
            <w:vAlign w:val="center"/>
          </w:tcPr>
          <w:p>
            <w:pPr>
              <w:widowControl w:val="0"/>
              <w:jc w:val="center"/>
            </w:pPr>
            <w:r>
              <w:t>108</w:t>
            </w:r>
          </w:p>
        </w:tc>
        <w:tc>
          <w:tcPr>
            <w:tcW w:w="617" w:type="dxa"/>
            <w:gridSpan w:val="2"/>
            <w:vAlign w:val="center"/>
          </w:tcPr>
          <w:p>
            <w:pPr>
              <w:widowControl w:val="0"/>
              <w:jc w:val="center"/>
            </w:pPr>
            <w:r>
              <w:t>–</w:t>
            </w:r>
          </w:p>
        </w:tc>
        <w:tc>
          <w:tcPr>
            <w:tcW w:w="617" w:type="dxa"/>
            <w:gridSpan w:val="2"/>
            <w:vAlign w:val="center"/>
          </w:tcPr>
          <w:p>
            <w:pPr>
              <w:widowControl w:val="0"/>
              <w:jc w:val="center"/>
            </w:pPr>
            <w:r>
              <w:t>150</w:t>
            </w:r>
          </w:p>
        </w:tc>
        <w:tc>
          <w:tcPr>
            <w:tcW w:w="618" w:type="dxa"/>
            <w:gridSpan w:val="2"/>
            <w:vAlign w:val="center"/>
          </w:tcPr>
          <w:p>
            <w:pPr>
              <w:widowControl w:val="0"/>
              <w:jc w:val="center"/>
            </w:pPr>
            <w:r>
              <w:t>–</w:t>
            </w:r>
          </w:p>
        </w:tc>
        <w:tc>
          <w:tcPr>
            <w:tcW w:w="617" w:type="dxa"/>
            <w:gridSpan w:val="2"/>
            <w:vAlign w:val="center"/>
          </w:tcPr>
          <w:p>
            <w:pPr>
              <w:widowControl w:val="0"/>
              <w:jc w:val="center"/>
            </w:pPr>
            <w:r>
              <w:t>131</w:t>
            </w:r>
          </w:p>
        </w:tc>
        <w:tc>
          <w:tcPr>
            <w:tcW w:w="617" w:type="dxa"/>
            <w:gridSpan w:val="2"/>
            <w:vAlign w:val="center"/>
          </w:tcPr>
          <w:p>
            <w:pPr>
              <w:widowControl w:val="0"/>
              <w:jc w:val="center"/>
            </w:pPr>
            <w:r>
              <w:t>–</w:t>
            </w:r>
          </w:p>
        </w:tc>
        <w:tc>
          <w:tcPr>
            <w:tcW w:w="618" w:type="dxa"/>
            <w:gridSpan w:val="2"/>
            <w:vAlign w:val="center"/>
          </w:tcPr>
          <w:p>
            <w:pPr>
              <w:widowControl w:val="0"/>
              <w:jc w:val="center"/>
            </w:pPr>
            <w:r>
              <w:t>160</w:t>
            </w:r>
          </w:p>
        </w:tc>
        <w:tc>
          <w:tcPr>
            <w:tcW w:w="617" w:type="dxa"/>
            <w:gridSpan w:val="2"/>
            <w:vAlign w:val="center"/>
          </w:tcPr>
          <w:p>
            <w:pPr>
              <w:widowControl w:val="0"/>
              <w:jc w:val="center"/>
            </w:pPr>
            <w:r>
              <w:t>–</w:t>
            </w:r>
          </w:p>
        </w:tc>
        <w:tc>
          <w:tcPr>
            <w:tcW w:w="617" w:type="dxa"/>
            <w:gridSpan w:val="2"/>
            <w:vAlign w:val="center"/>
          </w:tcPr>
          <w:p>
            <w:pPr>
              <w:widowControl w:val="0"/>
              <w:jc w:val="center"/>
            </w:pPr>
            <w:r>
              <w:t>140</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95</w:t>
            </w:r>
          </w:p>
        </w:tc>
        <w:tc>
          <w:tcPr>
            <w:tcW w:w="616" w:type="dxa"/>
            <w:gridSpan w:val="2"/>
            <w:vAlign w:val="center"/>
          </w:tcPr>
          <w:p>
            <w:pPr>
              <w:widowControl w:val="0"/>
              <w:jc w:val="center"/>
            </w:pPr>
            <w:r>
              <w:t>142</w:t>
            </w:r>
          </w:p>
        </w:tc>
        <w:tc>
          <w:tcPr>
            <w:tcW w:w="616" w:type="dxa"/>
            <w:gridSpan w:val="2"/>
            <w:vAlign w:val="center"/>
          </w:tcPr>
          <w:p>
            <w:pPr>
              <w:widowControl w:val="0"/>
              <w:jc w:val="center"/>
            </w:pPr>
            <w:r>
              <w:t>–</w:t>
            </w:r>
          </w:p>
        </w:tc>
        <w:tc>
          <w:tcPr>
            <w:tcW w:w="617" w:type="dxa"/>
            <w:gridSpan w:val="2"/>
            <w:vAlign w:val="center"/>
          </w:tcPr>
          <w:p>
            <w:pPr>
              <w:widowControl w:val="0"/>
              <w:jc w:val="center"/>
            </w:pPr>
            <w:r>
              <w:t>130</w:t>
            </w:r>
          </w:p>
        </w:tc>
        <w:tc>
          <w:tcPr>
            <w:tcW w:w="617" w:type="dxa"/>
            <w:gridSpan w:val="2"/>
            <w:vAlign w:val="center"/>
          </w:tcPr>
          <w:p>
            <w:pPr>
              <w:widowControl w:val="0"/>
              <w:jc w:val="center"/>
            </w:pPr>
            <w:r>
              <w:t>–</w:t>
            </w:r>
          </w:p>
        </w:tc>
        <w:tc>
          <w:tcPr>
            <w:tcW w:w="617" w:type="dxa"/>
            <w:gridSpan w:val="2"/>
            <w:vAlign w:val="center"/>
          </w:tcPr>
          <w:p>
            <w:pPr>
              <w:widowControl w:val="0"/>
              <w:jc w:val="center"/>
            </w:pPr>
            <w:r>
              <w:t>181</w:t>
            </w:r>
          </w:p>
        </w:tc>
        <w:tc>
          <w:tcPr>
            <w:tcW w:w="618" w:type="dxa"/>
            <w:gridSpan w:val="2"/>
            <w:vAlign w:val="center"/>
          </w:tcPr>
          <w:p>
            <w:pPr>
              <w:widowControl w:val="0"/>
              <w:jc w:val="center"/>
            </w:pPr>
            <w:r>
              <w:t>–</w:t>
            </w:r>
          </w:p>
        </w:tc>
        <w:tc>
          <w:tcPr>
            <w:tcW w:w="617" w:type="dxa"/>
            <w:gridSpan w:val="2"/>
            <w:vAlign w:val="center"/>
          </w:tcPr>
          <w:p>
            <w:pPr>
              <w:widowControl w:val="0"/>
              <w:jc w:val="center"/>
            </w:pPr>
            <w:r>
              <w:t>157</w:t>
            </w:r>
          </w:p>
        </w:tc>
        <w:tc>
          <w:tcPr>
            <w:tcW w:w="617" w:type="dxa"/>
            <w:gridSpan w:val="2"/>
            <w:vAlign w:val="center"/>
          </w:tcPr>
          <w:p>
            <w:pPr>
              <w:widowControl w:val="0"/>
              <w:jc w:val="center"/>
            </w:pPr>
            <w:r>
              <w:t>–</w:t>
            </w:r>
          </w:p>
        </w:tc>
        <w:tc>
          <w:tcPr>
            <w:tcW w:w="618" w:type="dxa"/>
            <w:gridSpan w:val="2"/>
            <w:vAlign w:val="center"/>
          </w:tcPr>
          <w:p>
            <w:pPr>
              <w:widowControl w:val="0"/>
              <w:jc w:val="center"/>
            </w:pPr>
            <w:r>
              <w:t>195</w:t>
            </w:r>
          </w:p>
        </w:tc>
        <w:tc>
          <w:tcPr>
            <w:tcW w:w="617" w:type="dxa"/>
            <w:gridSpan w:val="2"/>
            <w:vAlign w:val="center"/>
          </w:tcPr>
          <w:p>
            <w:pPr>
              <w:widowControl w:val="0"/>
              <w:jc w:val="center"/>
            </w:pPr>
            <w:r>
              <w:t>–</w:t>
            </w:r>
          </w:p>
        </w:tc>
        <w:tc>
          <w:tcPr>
            <w:tcW w:w="617" w:type="dxa"/>
            <w:gridSpan w:val="2"/>
            <w:vAlign w:val="center"/>
          </w:tcPr>
          <w:p>
            <w:pPr>
              <w:widowControl w:val="0"/>
              <w:jc w:val="center"/>
            </w:pPr>
            <w:r>
              <w:t>166</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120</w:t>
            </w:r>
          </w:p>
        </w:tc>
        <w:tc>
          <w:tcPr>
            <w:tcW w:w="616" w:type="dxa"/>
            <w:gridSpan w:val="2"/>
            <w:vAlign w:val="center"/>
          </w:tcPr>
          <w:p>
            <w:pPr>
              <w:widowControl w:val="0"/>
              <w:jc w:val="center"/>
            </w:pPr>
            <w:r>
              <w:t>164</w:t>
            </w:r>
          </w:p>
        </w:tc>
        <w:tc>
          <w:tcPr>
            <w:tcW w:w="616" w:type="dxa"/>
            <w:gridSpan w:val="2"/>
            <w:vAlign w:val="center"/>
          </w:tcPr>
          <w:p>
            <w:pPr>
              <w:widowControl w:val="0"/>
              <w:jc w:val="center"/>
            </w:pPr>
            <w:r>
              <w:t>–</w:t>
            </w:r>
          </w:p>
        </w:tc>
        <w:tc>
          <w:tcPr>
            <w:tcW w:w="617" w:type="dxa"/>
            <w:gridSpan w:val="2"/>
            <w:vAlign w:val="center"/>
          </w:tcPr>
          <w:p>
            <w:pPr>
              <w:widowControl w:val="0"/>
              <w:jc w:val="center"/>
            </w:pPr>
            <w:r>
              <w:t>150</w:t>
            </w:r>
          </w:p>
        </w:tc>
        <w:tc>
          <w:tcPr>
            <w:tcW w:w="617" w:type="dxa"/>
            <w:gridSpan w:val="2"/>
            <w:vAlign w:val="center"/>
          </w:tcPr>
          <w:p>
            <w:pPr>
              <w:widowControl w:val="0"/>
              <w:jc w:val="center"/>
            </w:pPr>
            <w:r>
              <w:t>–</w:t>
            </w:r>
          </w:p>
        </w:tc>
        <w:tc>
          <w:tcPr>
            <w:tcW w:w="617" w:type="dxa"/>
            <w:gridSpan w:val="2"/>
            <w:vAlign w:val="center"/>
          </w:tcPr>
          <w:p>
            <w:pPr>
              <w:widowControl w:val="0"/>
              <w:jc w:val="center"/>
            </w:pPr>
            <w:r>
              <w:t>210</w:t>
            </w:r>
          </w:p>
        </w:tc>
        <w:tc>
          <w:tcPr>
            <w:tcW w:w="618" w:type="dxa"/>
            <w:gridSpan w:val="2"/>
            <w:vAlign w:val="center"/>
          </w:tcPr>
          <w:p>
            <w:pPr>
              <w:widowControl w:val="0"/>
              <w:jc w:val="center"/>
            </w:pPr>
            <w:r>
              <w:t>–</w:t>
            </w:r>
          </w:p>
        </w:tc>
        <w:tc>
          <w:tcPr>
            <w:tcW w:w="617" w:type="dxa"/>
            <w:gridSpan w:val="2"/>
            <w:vAlign w:val="center"/>
          </w:tcPr>
          <w:p>
            <w:pPr>
              <w:widowControl w:val="0"/>
              <w:jc w:val="center"/>
            </w:pPr>
            <w:r>
              <w:t>181</w:t>
            </w:r>
          </w:p>
        </w:tc>
        <w:tc>
          <w:tcPr>
            <w:tcW w:w="617" w:type="dxa"/>
            <w:gridSpan w:val="2"/>
            <w:vAlign w:val="center"/>
          </w:tcPr>
          <w:p>
            <w:pPr>
              <w:widowControl w:val="0"/>
              <w:jc w:val="center"/>
            </w:pPr>
            <w:r>
              <w:t>–</w:t>
            </w:r>
          </w:p>
        </w:tc>
        <w:tc>
          <w:tcPr>
            <w:tcW w:w="618" w:type="dxa"/>
            <w:gridSpan w:val="2"/>
            <w:vAlign w:val="center"/>
          </w:tcPr>
          <w:p>
            <w:pPr>
              <w:widowControl w:val="0"/>
              <w:jc w:val="center"/>
            </w:pPr>
            <w:r>
              <w:t>226</w:t>
            </w:r>
          </w:p>
        </w:tc>
        <w:tc>
          <w:tcPr>
            <w:tcW w:w="617" w:type="dxa"/>
            <w:gridSpan w:val="2"/>
            <w:vAlign w:val="center"/>
          </w:tcPr>
          <w:p>
            <w:pPr>
              <w:widowControl w:val="0"/>
              <w:jc w:val="center"/>
            </w:pPr>
            <w:r>
              <w:t>–</w:t>
            </w:r>
          </w:p>
        </w:tc>
        <w:tc>
          <w:tcPr>
            <w:tcW w:w="617" w:type="dxa"/>
            <w:gridSpan w:val="2"/>
            <w:vAlign w:val="center"/>
          </w:tcPr>
          <w:p>
            <w:pPr>
              <w:widowControl w:val="0"/>
              <w:jc w:val="center"/>
            </w:pPr>
            <w:r>
              <w:t>189</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150</w:t>
            </w:r>
          </w:p>
        </w:tc>
        <w:tc>
          <w:tcPr>
            <w:tcW w:w="616" w:type="dxa"/>
            <w:gridSpan w:val="2"/>
            <w:vAlign w:val="center"/>
          </w:tcPr>
          <w:p>
            <w:pPr>
              <w:widowControl w:val="0"/>
              <w:jc w:val="center"/>
            </w:pPr>
            <w:r>
              <w:t>189</w:t>
            </w:r>
          </w:p>
        </w:tc>
        <w:tc>
          <w:tcPr>
            <w:tcW w:w="616" w:type="dxa"/>
            <w:gridSpan w:val="2"/>
            <w:vAlign w:val="center"/>
          </w:tcPr>
          <w:p>
            <w:pPr>
              <w:widowControl w:val="0"/>
              <w:jc w:val="center"/>
            </w:pPr>
            <w:r>
              <w:t>–</w:t>
            </w:r>
          </w:p>
        </w:tc>
        <w:tc>
          <w:tcPr>
            <w:tcW w:w="617" w:type="dxa"/>
            <w:gridSpan w:val="2"/>
            <w:vAlign w:val="center"/>
          </w:tcPr>
          <w:p>
            <w:pPr>
              <w:widowControl w:val="0"/>
              <w:jc w:val="center"/>
            </w:pPr>
            <w:r>
              <w:t>172</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261</w:t>
            </w:r>
          </w:p>
        </w:tc>
        <w:tc>
          <w:tcPr>
            <w:tcW w:w="617" w:type="dxa"/>
            <w:gridSpan w:val="2"/>
            <w:vAlign w:val="center"/>
          </w:tcPr>
          <w:p>
            <w:pPr>
              <w:widowControl w:val="0"/>
              <w:jc w:val="center"/>
            </w:pPr>
            <w:r>
              <w:t>–</w:t>
            </w:r>
          </w:p>
        </w:tc>
        <w:tc>
          <w:tcPr>
            <w:tcW w:w="617" w:type="dxa"/>
            <w:gridSpan w:val="2"/>
            <w:vAlign w:val="center"/>
          </w:tcPr>
          <w:p>
            <w:pPr>
              <w:widowControl w:val="0"/>
              <w:jc w:val="center"/>
            </w:pPr>
            <w:r>
              <w:t>213</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185</w:t>
            </w:r>
          </w:p>
        </w:tc>
        <w:tc>
          <w:tcPr>
            <w:tcW w:w="616" w:type="dxa"/>
            <w:gridSpan w:val="2"/>
            <w:vAlign w:val="center"/>
          </w:tcPr>
          <w:p>
            <w:pPr>
              <w:widowControl w:val="0"/>
              <w:jc w:val="center"/>
            </w:pPr>
            <w:r>
              <w:t>215</w:t>
            </w:r>
          </w:p>
        </w:tc>
        <w:tc>
          <w:tcPr>
            <w:tcW w:w="616" w:type="dxa"/>
            <w:gridSpan w:val="2"/>
            <w:vAlign w:val="center"/>
          </w:tcPr>
          <w:p>
            <w:pPr>
              <w:widowControl w:val="0"/>
              <w:jc w:val="center"/>
            </w:pPr>
            <w:r>
              <w:t>–</w:t>
            </w:r>
          </w:p>
        </w:tc>
        <w:tc>
          <w:tcPr>
            <w:tcW w:w="617" w:type="dxa"/>
            <w:gridSpan w:val="2"/>
            <w:vAlign w:val="center"/>
          </w:tcPr>
          <w:p>
            <w:pPr>
              <w:widowControl w:val="0"/>
              <w:jc w:val="center"/>
            </w:pPr>
            <w:r>
              <w:t>195</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298</w:t>
            </w:r>
          </w:p>
        </w:tc>
        <w:tc>
          <w:tcPr>
            <w:tcW w:w="617" w:type="dxa"/>
            <w:gridSpan w:val="2"/>
            <w:vAlign w:val="center"/>
          </w:tcPr>
          <w:p>
            <w:pPr>
              <w:widowControl w:val="0"/>
              <w:jc w:val="center"/>
            </w:pPr>
            <w:r>
              <w:t>–</w:t>
            </w:r>
          </w:p>
        </w:tc>
        <w:tc>
          <w:tcPr>
            <w:tcW w:w="617" w:type="dxa"/>
            <w:gridSpan w:val="2"/>
            <w:vAlign w:val="center"/>
          </w:tcPr>
          <w:p>
            <w:pPr>
              <w:widowControl w:val="0"/>
              <w:jc w:val="center"/>
            </w:pPr>
            <w:r>
              <w:t>240</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240</w:t>
            </w:r>
          </w:p>
        </w:tc>
        <w:tc>
          <w:tcPr>
            <w:tcW w:w="616" w:type="dxa"/>
            <w:gridSpan w:val="2"/>
            <w:vAlign w:val="center"/>
          </w:tcPr>
          <w:p>
            <w:pPr>
              <w:widowControl w:val="0"/>
              <w:jc w:val="center"/>
            </w:pPr>
            <w:r>
              <w:t>252</w:t>
            </w:r>
          </w:p>
        </w:tc>
        <w:tc>
          <w:tcPr>
            <w:tcW w:w="616" w:type="dxa"/>
            <w:gridSpan w:val="2"/>
            <w:vAlign w:val="center"/>
          </w:tcPr>
          <w:p>
            <w:pPr>
              <w:widowControl w:val="0"/>
              <w:jc w:val="center"/>
            </w:pPr>
            <w:r>
              <w:t>–</w:t>
            </w:r>
          </w:p>
        </w:tc>
        <w:tc>
          <w:tcPr>
            <w:tcW w:w="617" w:type="dxa"/>
            <w:gridSpan w:val="2"/>
            <w:vAlign w:val="center"/>
          </w:tcPr>
          <w:p>
            <w:pPr>
              <w:widowControl w:val="0"/>
              <w:jc w:val="center"/>
            </w:pPr>
            <w:r>
              <w:t>229</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352</w:t>
            </w:r>
          </w:p>
        </w:tc>
        <w:tc>
          <w:tcPr>
            <w:tcW w:w="617" w:type="dxa"/>
            <w:gridSpan w:val="2"/>
            <w:vAlign w:val="center"/>
          </w:tcPr>
          <w:p>
            <w:pPr>
              <w:widowControl w:val="0"/>
              <w:jc w:val="center"/>
            </w:pPr>
            <w:r>
              <w:t>–</w:t>
            </w:r>
          </w:p>
        </w:tc>
        <w:tc>
          <w:tcPr>
            <w:tcW w:w="617" w:type="dxa"/>
            <w:gridSpan w:val="2"/>
            <w:vAlign w:val="center"/>
          </w:tcPr>
          <w:p>
            <w:pPr>
              <w:widowControl w:val="0"/>
              <w:jc w:val="center"/>
            </w:pPr>
            <w:r>
              <w:t>277</w:t>
            </w:r>
          </w:p>
        </w:tc>
        <w:tc>
          <w:tcPr>
            <w:tcW w:w="618" w:type="dxa"/>
            <w:gridSpan w:val="2"/>
            <w:vAlign w:val="center"/>
          </w:tcPr>
          <w:p>
            <w:pPr>
              <w:widowControl w:val="0"/>
              <w:jc w:val="center"/>
            </w:pPr>
            <w:r>
              <w:t>–</w:t>
            </w:r>
          </w:p>
        </w:tc>
      </w:tr>
      <w:tr>
        <w:trPr>
          <w:gridAfter w:val="1"/>
          <w:wAfter w:w="6" w:type="dxa"/>
          <w:cantSplit/>
          <w:trHeight w:val="20"/>
        </w:trPr>
        <w:tc>
          <w:tcPr>
            <w:tcW w:w="902" w:type="dxa"/>
            <w:gridSpan w:val="2"/>
            <w:vAlign w:val="center"/>
          </w:tcPr>
          <w:p>
            <w:pPr>
              <w:widowControl w:val="0"/>
              <w:jc w:val="center"/>
            </w:pPr>
            <w:r>
              <w:t>300</w:t>
            </w:r>
          </w:p>
        </w:tc>
        <w:tc>
          <w:tcPr>
            <w:tcW w:w="616" w:type="dxa"/>
            <w:gridSpan w:val="2"/>
            <w:vAlign w:val="center"/>
          </w:tcPr>
          <w:p>
            <w:pPr>
              <w:widowControl w:val="0"/>
              <w:jc w:val="center"/>
            </w:pPr>
            <w:r>
              <w:t>289</w:t>
            </w:r>
          </w:p>
        </w:tc>
        <w:tc>
          <w:tcPr>
            <w:tcW w:w="616" w:type="dxa"/>
            <w:gridSpan w:val="2"/>
            <w:vAlign w:val="center"/>
          </w:tcPr>
          <w:p>
            <w:pPr>
              <w:widowControl w:val="0"/>
              <w:jc w:val="center"/>
            </w:pPr>
            <w:r>
              <w:t>–</w:t>
            </w:r>
          </w:p>
        </w:tc>
        <w:tc>
          <w:tcPr>
            <w:tcW w:w="617" w:type="dxa"/>
            <w:gridSpan w:val="2"/>
            <w:vAlign w:val="center"/>
          </w:tcPr>
          <w:p>
            <w:pPr>
              <w:widowControl w:val="0"/>
              <w:jc w:val="center"/>
            </w:pPr>
            <w:r>
              <w:t>263</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w:t>
            </w:r>
          </w:p>
        </w:tc>
        <w:tc>
          <w:tcPr>
            <w:tcW w:w="617" w:type="dxa"/>
            <w:gridSpan w:val="2"/>
            <w:vAlign w:val="center"/>
          </w:tcPr>
          <w:p>
            <w:pPr>
              <w:widowControl w:val="0"/>
              <w:jc w:val="center"/>
            </w:pPr>
            <w:r>
              <w:t>–</w:t>
            </w:r>
          </w:p>
        </w:tc>
        <w:tc>
          <w:tcPr>
            <w:tcW w:w="617" w:type="dxa"/>
            <w:gridSpan w:val="2"/>
            <w:vAlign w:val="center"/>
          </w:tcPr>
          <w:p>
            <w:pPr>
              <w:widowControl w:val="0"/>
              <w:jc w:val="center"/>
            </w:pPr>
            <w:r>
              <w:t>–</w:t>
            </w:r>
          </w:p>
        </w:tc>
        <w:tc>
          <w:tcPr>
            <w:tcW w:w="618" w:type="dxa"/>
            <w:gridSpan w:val="2"/>
            <w:vAlign w:val="center"/>
          </w:tcPr>
          <w:p>
            <w:pPr>
              <w:widowControl w:val="0"/>
              <w:jc w:val="center"/>
            </w:pPr>
            <w:r>
              <w:t>406</w:t>
            </w:r>
          </w:p>
        </w:tc>
        <w:tc>
          <w:tcPr>
            <w:tcW w:w="617" w:type="dxa"/>
            <w:gridSpan w:val="2"/>
            <w:vAlign w:val="center"/>
          </w:tcPr>
          <w:p>
            <w:pPr>
              <w:widowControl w:val="0"/>
              <w:jc w:val="center"/>
            </w:pPr>
            <w:r>
              <w:t>–</w:t>
            </w:r>
          </w:p>
        </w:tc>
        <w:tc>
          <w:tcPr>
            <w:tcW w:w="617" w:type="dxa"/>
            <w:gridSpan w:val="2"/>
            <w:vAlign w:val="center"/>
          </w:tcPr>
          <w:p>
            <w:pPr>
              <w:widowControl w:val="0"/>
              <w:jc w:val="center"/>
            </w:pPr>
            <w:r>
              <w:t>313</w:t>
            </w:r>
          </w:p>
        </w:tc>
        <w:tc>
          <w:tcPr>
            <w:tcW w:w="618" w:type="dxa"/>
            <w:gridSpan w:val="2"/>
            <w:vAlign w:val="center"/>
          </w:tcPr>
          <w:p>
            <w:pPr>
              <w:widowControl w:val="0"/>
              <w:jc w:val="center"/>
            </w:pPr>
            <w:r>
              <w:t>–</w:t>
            </w:r>
          </w:p>
        </w:tc>
      </w:tr>
    </w:tbl>
    <w:p>
      <w:pPr>
        <w:widowControl w:val="0"/>
        <w:ind w:firstLine="567"/>
        <w:jc w:val="both"/>
        <w:rPr>
          <w:b/>
        </w:rPr>
      </w:pPr>
    </w:p>
    <w:p>
      <w:pPr>
        <w:widowControl w:val="0"/>
        <w:ind w:firstLine="567"/>
        <w:jc w:val="both"/>
        <w:rPr>
          <w:b/>
        </w:rPr>
      </w:pPr>
      <w:r>
        <w:rPr>
          <w:b/>
        </w:rPr>
        <w:t>4 lentelė. Varinių ir aliumininių laidininkų XLPE arba EPR izoliacija leistinoji ilgalaikė srovė</w:t>
      </w:r>
    </w:p>
    <w:p>
      <w:pPr>
        <w:widowControl w:val="0"/>
        <w:ind w:firstLine="567"/>
        <w:jc w:val="both"/>
        <w:rPr>
          <w:b/>
          <w:bCs/>
        </w:rPr>
      </w:pPr>
    </w:p>
    <w:p>
      <w:pPr>
        <w:widowControl w:val="0"/>
        <w:ind w:firstLine="567"/>
        <w:jc w:val="both"/>
      </w:pPr>
      <w:r>
        <w:t xml:space="preserve">Temperatūra: laidininko +90 </w:t>
      </w:r>
      <w:r>
        <w:rPr>
          <w:vertAlign w:val="superscript"/>
        </w:rPr>
        <w:t>o</w:t>
      </w:r>
      <w:r>
        <w:t xml:space="preserve">C, oro +30 </w:t>
      </w:r>
      <w:r>
        <w:rPr>
          <w:vertAlign w:val="superscript"/>
        </w:rPr>
        <w:t>o</w:t>
      </w:r>
      <w:r>
        <w:t xml:space="preserve">C, žemės +20 </w:t>
      </w:r>
      <w:r>
        <w:rPr>
          <w:vertAlign w:val="superscript"/>
        </w:rPr>
        <w:t>o</w:t>
      </w:r>
      <w:r>
        <w:t>C.</w:t>
      </w:r>
    </w:p>
    <w:p>
      <w:pPr>
        <w:widowControl w:val="0"/>
        <w:ind w:firstLine="567"/>
        <w:jc w:val="both"/>
      </w:pPr>
      <w:r>
        <w:t>Taikoma A1, A2, B1, B2, C ir D instaliacijos būdams pagal 2 priedo 1 lentelę.</w:t>
      </w:r>
    </w:p>
    <w:p>
      <w:pPr>
        <w:widowControl w:val="0"/>
        <w:ind w:firstLine="567"/>
        <w:jc w:val="both"/>
        <w:rPr>
          <w:b/>
          <w:b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000" w:firstRow="0" w:lastRow="0" w:firstColumn="0" w:lastColumn="0" w:noHBand="0" w:noVBand="0"/>
      </w:tblPr>
      <w:tblGrid>
        <w:gridCol w:w="7"/>
        <w:gridCol w:w="959"/>
        <w:gridCol w:w="7"/>
        <w:gridCol w:w="654"/>
        <w:gridCol w:w="6"/>
        <w:gridCol w:w="15"/>
        <w:gridCol w:w="652"/>
        <w:gridCol w:w="41"/>
        <w:gridCol w:w="26"/>
        <w:gridCol w:w="6"/>
        <w:gridCol w:w="731"/>
        <w:gridCol w:w="6"/>
        <w:gridCol w:w="583"/>
        <w:gridCol w:w="6"/>
        <w:gridCol w:w="15"/>
        <w:gridCol w:w="611"/>
        <w:gridCol w:w="36"/>
        <w:gridCol w:w="575"/>
        <w:gridCol w:w="6"/>
        <w:gridCol w:w="605"/>
        <w:gridCol w:w="6"/>
        <w:gridCol w:w="605"/>
        <w:gridCol w:w="6"/>
        <w:gridCol w:w="702"/>
        <w:gridCol w:w="22"/>
        <w:gridCol w:w="41"/>
        <w:gridCol w:w="590"/>
        <w:gridCol w:w="15"/>
        <w:gridCol w:w="17"/>
        <w:gridCol w:w="620"/>
        <w:gridCol w:w="127"/>
        <w:gridCol w:w="17"/>
        <w:gridCol w:w="738"/>
        <w:gridCol w:w="17"/>
      </w:tblGrid>
      <w:tr>
        <w:trPr>
          <w:gridAfter w:val="1"/>
          <w:wAfter w:w="6" w:type="dxa"/>
          <w:trHeight w:val="20"/>
          <w:tblHeader/>
        </w:trPr>
        <w:tc>
          <w:tcPr>
            <w:tcW w:w="895" w:type="dxa"/>
            <w:gridSpan w:val="2"/>
            <w:vMerge w:val="restart"/>
            <w:vAlign w:val="center"/>
          </w:tcPr>
          <w:p>
            <w:pPr>
              <w:widowControl w:val="0"/>
              <w:jc w:val="center"/>
            </w:pPr>
            <w:r>
              <w:t>Laidininko skerspjūvis, mm</w:t>
            </w:r>
            <w:r>
              <w:rPr>
                <w:vertAlign w:val="superscript"/>
              </w:rPr>
              <w:t>2</w:t>
            </w:r>
          </w:p>
        </w:tc>
        <w:tc>
          <w:tcPr>
            <w:tcW w:w="7505" w:type="dxa"/>
            <w:gridSpan w:val="31"/>
            <w:vAlign w:val="center"/>
          </w:tcPr>
          <w:p>
            <w:pPr>
              <w:widowControl w:val="0"/>
              <w:jc w:val="center"/>
            </w:pPr>
            <w:r>
              <w:t>Instaliacijos būdas</w:t>
            </w:r>
          </w:p>
        </w:tc>
      </w:tr>
      <w:tr>
        <w:trPr>
          <w:gridAfter w:val="1"/>
          <w:wAfter w:w="6" w:type="dxa"/>
          <w:trHeight w:val="20"/>
          <w:tblHeader/>
        </w:trPr>
        <w:tc>
          <w:tcPr>
            <w:tcW w:w="895" w:type="dxa"/>
            <w:gridSpan w:val="2"/>
            <w:vMerge/>
            <w:vAlign w:val="center"/>
          </w:tcPr>
          <w:p>
            <w:pPr>
              <w:widowControl w:val="0"/>
              <w:jc w:val="center"/>
            </w:pPr>
          </w:p>
        </w:tc>
        <w:tc>
          <w:tcPr>
            <w:tcW w:w="1300" w:type="dxa"/>
            <w:gridSpan w:val="7"/>
            <w:vAlign w:val="center"/>
          </w:tcPr>
          <w:p>
            <w:pPr>
              <w:widowControl w:val="0"/>
              <w:jc w:val="center"/>
            </w:pPr>
            <w:r>
              <w:t>A1</w:t>
            </w:r>
          </w:p>
        </w:tc>
        <w:tc>
          <w:tcPr>
            <w:tcW w:w="1231" w:type="dxa"/>
            <w:gridSpan w:val="4"/>
            <w:vAlign w:val="center"/>
          </w:tcPr>
          <w:p>
            <w:pPr>
              <w:widowControl w:val="0"/>
              <w:jc w:val="center"/>
            </w:pPr>
            <w:r>
              <w:t>A2</w:t>
            </w:r>
          </w:p>
        </w:tc>
        <w:tc>
          <w:tcPr>
            <w:tcW w:w="1154" w:type="dxa"/>
            <w:gridSpan w:val="5"/>
            <w:vAlign w:val="center"/>
          </w:tcPr>
          <w:p>
            <w:pPr>
              <w:widowControl w:val="0"/>
              <w:jc w:val="center"/>
            </w:pPr>
            <w:r>
              <w:t>B1</w:t>
            </w:r>
          </w:p>
        </w:tc>
        <w:tc>
          <w:tcPr>
            <w:tcW w:w="1134" w:type="dxa"/>
            <w:gridSpan w:val="4"/>
            <w:vAlign w:val="center"/>
          </w:tcPr>
          <w:p>
            <w:pPr>
              <w:widowControl w:val="0"/>
              <w:jc w:val="center"/>
            </w:pPr>
            <w:r>
              <w:t>B2</w:t>
            </w:r>
          </w:p>
        </w:tc>
        <w:tc>
          <w:tcPr>
            <w:tcW w:w="1276" w:type="dxa"/>
            <w:gridSpan w:val="6"/>
            <w:vAlign w:val="center"/>
          </w:tcPr>
          <w:p>
            <w:pPr>
              <w:widowControl w:val="0"/>
              <w:jc w:val="center"/>
            </w:pPr>
            <w:r>
              <w:t>C</w:t>
            </w:r>
          </w:p>
        </w:tc>
        <w:tc>
          <w:tcPr>
            <w:tcW w:w="1410" w:type="dxa"/>
            <w:gridSpan w:val="5"/>
            <w:vAlign w:val="center"/>
          </w:tcPr>
          <w:p>
            <w:pPr>
              <w:widowControl w:val="0"/>
              <w:jc w:val="center"/>
            </w:pPr>
            <w:r>
              <w:t>D</w:t>
            </w:r>
          </w:p>
        </w:tc>
      </w:tr>
      <w:tr>
        <w:trPr>
          <w:gridAfter w:val="1"/>
          <w:wAfter w:w="6" w:type="dxa"/>
          <w:trHeight w:val="20"/>
          <w:tblHeader/>
        </w:trPr>
        <w:tc>
          <w:tcPr>
            <w:tcW w:w="895" w:type="dxa"/>
            <w:gridSpan w:val="2"/>
            <w:vMerge/>
            <w:vAlign w:val="center"/>
          </w:tcPr>
          <w:p>
            <w:pPr>
              <w:widowControl w:val="0"/>
              <w:jc w:val="center"/>
            </w:pPr>
          </w:p>
        </w:tc>
        <w:tc>
          <w:tcPr>
            <w:tcW w:w="1300" w:type="dxa"/>
            <w:gridSpan w:val="7"/>
            <w:vAlign w:val="center"/>
          </w:tcPr>
          <w:p>
            <w:pPr>
              <w:widowControl w:val="0"/>
              <w:jc w:val="center"/>
            </w:pPr>
            <w:r>
              <w:rPr>
                <w:lang w:eastAsia="lt-LT"/>
              </w:rPr>
              <w:drawing>
                <wp:inline distT="0" distB="0" distL="0" distR="0">
                  <wp:extent cx="466725" cy="361950"/>
                  <wp:effectExtent l="0" t="0" r="0" b="0"/>
                  <wp:docPr id="158" name="Picture 158"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pav"/>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p>
          <w:p>
            <w:pPr>
              <w:widowControl w:val="0"/>
              <w:jc w:val="center"/>
            </w:pPr>
            <w:r>
              <w:rPr>
                <w:vanish/>
              </w:rPr>
              <w:t>(ženklas)</w:t>
            </w:r>
          </w:p>
        </w:tc>
        <w:tc>
          <w:tcPr>
            <w:tcW w:w="1231" w:type="dxa"/>
            <w:gridSpan w:val="4"/>
            <w:vAlign w:val="center"/>
          </w:tcPr>
          <w:p>
            <w:pPr>
              <w:widowControl w:val="0"/>
              <w:jc w:val="center"/>
            </w:pPr>
            <w:r>
              <w:rPr>
                <w:lang w:eastAsia="lt-LT"/>
              </w:rPr>
              <w:drawing>
                <wp:inline distT="0" distB="0" distL="0" distR="0">
                  <wp:extent cx="466725" cy="333375"/>
                  <wp:effectExtent l="0" t="0" r="0" b="0"/>
                  <wp:docPr id="159" name="Picture 159" descr="2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2pav"/>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p>
          <w:p>
            <w:pPr>
              <w:widowControl w:val="0"/>
              <w:jc w:val="center"/>
            </w:pPr>
            <w:r>
              <w:rPr>
                <w:vanish/>
              </w:rPr>
              <w:t>(ženklas)</w:t>
            </w:r>
          </w:p>
        </w:tc>
        <w:tc>
          <w:tcPr>
            <w:tcW w:w="1154" w:type="dxa"/>
            <w:gridSpan w:val="5"/>
            <w:vAlign w:val="center"/>
          </w:tcPr>
          <w:p>
            <w:pPr>
              <w:widowControl w:val="0"/>
              <w:jc w:val="center"/>
            </w:pPr>
            <w:r>
              <w:rPr>
                <w:lang w:eastAsia="lt-LT"/>
              </w:rPr>
              <w:drawing>
                <wp:inline distT="0" distB="0" distL="0" distR="0">
                  <wp:extent cx="304800" cy="381000"/>
                  <wp:effectExtent l="0" t="0" r="0" b="0"/>
                  <wp:docPr id="160" name="Picture 160" descr="3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3pav"/>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p>
          <w:p>
            <w:pPr>
              <w:widowControl w:val="0"/>
              <w:jc w:val="center"/>
            </w:pPr>
            <w:r>
              <w:rPr>
                <w:vanish/>
              </w:rPr>
              <w:t>(ženklas)</w:t>
            </w:r>
          </w:p>
        </w:tc>
        <w:tc>
          <w:tcPr>
            <w:tcW w:w="1134" w:type="dxa"/>
            <w:gridSpan w:val="4"/>
            <w:vAlign w:val="center"/>
          </w:tcPr>
          <w:p>
            <w:pPr>
              <w:widowControl w:val="0"/>
              <w:jc w:val="center"/>
            </w:pPr>
            <w:r>
              <w:rPr>
                <w:lang w:eastAsia="lt-LT"/>
              </w:rPr>
              <w:drawing>
                <wp:inline distT="0" distB="0" distL="0" distR="0">
                  <wp:extent cx="314325" cy="409575"/>
                  <wp:effectExtent l="0" t="0" r="0" b="0"/>
                  <wp:docPr id="161" name="Picture 161"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4pav"/>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p>
          <w:p>
            <w:pPr>
              <w:widowControl w:val="0"/>
              <w:jc w:val="center"/>
            </w:pPr>
            <w:r>
              <w:rPr>
                <w:vanish/>
              </w:rPr>
              <w:t>(ženklas)</w:t>
            </w:r>
          </w:p>
        </w:tc>
        <w:tc>
          <w:tcPr>
            <w:tcW w:w="1276" w:type="dxa"/>
            <w:gridSpan w:val="6"/>
            <w:vAlign w:val="center"/>
          </w:tcPr>
          <w:p>
            <w:pPr>
              <w:widowControl w:val="0"/>
              <w:jc w:val="center"/>
            </w:pPr>
            <w:r>
              <w:rPr>
                <w:lang w:eastAsia="lt-LT"/>
              </w:rPr>
              <w:drawing>
                <wp:inline distT="0" distB="0" distL="0" distR="0">
                  <wp:extent cx="314325" cy="419100"/>
                  <wp:effectExtent l="0" t="0" r="0" b="0"/>
                  <wp:docPr id="162" name="Picture 162" descr="20_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20_1pav"/>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p>
          <w:p>
            <w:pPr>
              <w:widowControl w:val="0"/>
              <w:jc w:val="center"/>
            </w:pPr>
            <w:r>
              <w:rPr>
                <w:vanish/>
              </w:rPr>
              <w:t>(ženklas)</w:t>
            </w:r>
          </w:p>
        </w:tc>
        <w:tc>
          <w:tcPr>
            <w:tcW w:w="1410" w:type="dxa"/>
            <w:gridSpan w:val="5"/>
            <w:vAlign w:val="center"/>
          </w:tcPr>
          <w:p>
            <w:pPr>
              <w:widowControl w:val="0"/>
              <w:jc w:val="center"/>
            </w:pPr>
            <w:r>
              <w:rPr>
                <w:lang w:eastAsia="lt-LT"/>
              </w:rPr>
              <w:drawing>
                <wp:inline distT="0" distB="0" distL="0" distR="0">
                  <wp:extent cx="485775" cy="428625"/>
                  <wp:effectExtent l="0" t="0" r="0" b="0"/>
                  <wp:docPr id="163" name="Picture 163" descr="6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6pav"/>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p>
            <w:pPr>
              <w:widowControl w:val="0"/>
              <w:jc w:val="center"/>
            </w:pPr>
            <w:r>
              <w:rPr>
                <w:vanish/>
              </w:rPr>
              <w:t>(ženklas)</w:t>
            </w:r>
          </w:p>
        </w:tc>
      </w:tr>
      <w:tr>
        <w:tblPrEx>
          <w:tblCellMar>
            <w:left w:w="28" w:type="dxa"/>
            <w:right w:w="28" w:type="dxa"/>
          </w:tblCellMar>
        </w:tblPrEx>
        <w:trPr>
          <w:gridBefore w:val="1"/>
          <w:wBefore w:w="6" w:type="dxa"/>
          <w:trHeight w:val="20"/>
          <w:tblHeader/>
        </w:trPr>
        <w:tc>
          <w:tcPr>
            <w:tcW w:w="895" w:type="dxa"/>
            <w:gridSpan w:val="2"/>
            <w:vAlign w:val="center"/>
          </w:tcPr>
          <w:p>
            <w:pPr>
              <w:widowControl w:val="0"/>
              <w:jc w:val="center"/>
            </w:pPr>
          </w:p>
        </w:tc>
        <w:tc>
          <w:tcPr>
            <w:tcW w:w="613" w:type="dxa"/>
            <w:gridSpan w:val="2"/>
            <w:vAlign w:val="center"/>
          </w:tcPr>
          <w:p>
            <w:pPr>
              <w:widowControl w:val="0"/>
              <w:jc w:val="center"/>
              <w:rPr>
                <w:spacing w:val="-4"/>
              </w:rPr>
            </w:pPr>
            <w:r>
              <w:rPr>
                <w:spacing w:val="-4"/>
              </w:rPr>
              <w:t>2</w:t>
            </w:r>
          </w:p>
          <w:p>
            <w:pPr>
              <w:widowControl w:val="0"/>
              <w:jc w:val="center"/>
              <w:rPr>
                <w:spacing w:val="-4"/>
              </w:rPr>
            </w:pPr>
            <w:r>
              <w:rPr>
                <w:spacing w:val="-4"/>
              </w:rPr>
              <w:t>laid.</w:t>
            </w:r>
          </w:p>
        </w:tc>
        <w:tc>
          <w:tcPr>
            <w:tcW w:w="687" w:type="dxa"/>
            <w:gridSpan w:val="5"/>
            <w:vAlign w:val="center"/>
          </w:tcPr>
          <w:p>
            <w:pPr>
              <w:widowControl w:val="0"/>
              <w:jc w:val="center"/>
              <w:rPr>
                <w:spacing w:val="-4"/>
              </w:rPr>
            </w:pPr>
            <w:r>
              <w:rPr>
                <w:spacing w:val="-4"/>
              </w:rPr>
              <w:t>3</w:t>
            </w:r>
          </w:p>
          <w:p>
            <w:pPr>
              <w:widowControl w:val="0"/>
              <w:jc w:val="center"/>
              <w:rPr>
                <w:spacing w:val="-4"/>
              </w:rPr>
            </w:pPr>
            <w:r>
              <w:rPr>
                <w:spacing w:val="-4"/>
              </w:rPr>
              <w:t>laid.</w:t>
            </w:r>
          </w:p>
        </w:tc>
        <w:tc>
          <w:tcPr>
            <w:tcW w:w="684" w:type="dxa"/>
            <w:gridSpan w:val="2"/>
            <w:vAlign w:val="center"/>
          </w:tcPr>
          <w:p>
            <w:pPr>
              <w:widowControl w:val="0"/>
              <w:jc w:val="center"/>
              <w:rPr>
                <w:spacing w:val="-4"/>
              </w:rPr>
            </w:pPr>
            <w:r>
              <w:rPr>
                <w:spacing w:val="-4"/>
              </w:rPr>
              <w:t>2</w:t>
            </w:r>
          </w:p>
          <w:p>
            <w:pPr>
              <w:widowControl w:val="0"/>
              <w:jc w:val="center"/>
              <w:rPr>
                <w:spacing w:val="-4"/>
              </w:rPr>
            </w:pPr>
            <w:r>
              <w:rPr>
                <w:spacing w:val="-4"/>
              </w:rPr>
              <w:t>laid.</w:t>
            </w:r>
          </w:p>
        </w:tc>
        <w:tc>
          <w:tcPr>
            <w:tcW w:w="547" w:type="dxa"/>
            <w:gridSpan w:val="2"/>
            <w:vAlign w:val="center"/>
          </w:tcPr>
          <w:p>
            <w:pPr>
              <w:widowControl w:val="0"/>
              <w:jc w:val="center"/>
              <w:rPr>
                <w:spacing w:val="-4"/>
              </w:rPr>
            </w:pPr>
            <w:r>
              <w:rPr>
                <w:spacing w:val="-4"/>
              </w:rPr>
              <w:t>3</w:t>
            </w:r>
          </w:p>
          <w:p>
            <w:pPr>
              <w:widowControl w:val="0"/>
              <w:jc w:val="center"/>
              <w:rPr>
                <w:spacing w:val="-4"/>
              </w:rPr>
            </w:pPr>
            <w:r>
              <w:rPr>
                <w:spacing w:val="-4"/>
              </w:rPr>
              <w:t>laid.</w:t>
            </w:r>
          </w:p>
        </w:tc>
        <w:tc>
          <w:tcPr>
            <w:tcW w:w="614" w:type="dxa"/>
            <w:gridSpan w:val="3"/>
            <w:vAlign w:val="center"/>
          </w:tcPr>
          <w:p>
            <w:pPr>
              <w:widowControl w:val="0"/>
              <w:jc w:val="center"/>
              <w:rPr>
                <w:spacing w:val="-4"/>
              </w:rPr>
            </w:pPr>
            <w:r>
              <w:rPr>
                <w:spacing w:val="-4"/>
              </w:rPr>
              <w:t>2</w:t>
            </w:r>
          </w:p>
          <w:p>
            <w:pPr>
              <w:widowControl w:val="0"/>
              <w:jc w:val="center"/>
              <w:rPr>
                <w:spacing w:val="-4"/>
              </w:rPr>
            </w:pPr>
            <w:r>
              <w:rPr>
                <w:spacing w:val="-4"/>
              </w:rPr>
              <w:t>laid.</w:t>
            </w:r>
          </w:p>
        </w:tc>
        <w:tc>
          <w:tcPr>
            <w:tcW w:w="540" w:type="dxa"/>
            <w:gridSpan w:val="2"/>
            <w:vAlign w:val="center"/>
          </w:tcPr>
          <w:p>
            <w:pPr>
              <w:widowControl w:val="0"/>
              <w:jc w:val="center"/>
              <w:rPr>
                <w:spacing w:val="-4"/>
              </w:rPr>
            </w:pPr>
            <w:r>
              <w:rPr>
                <w:spacing w:val="-4"/>
              </w:rPr>
              <w:t>3</w:t>
            </w:r>
          </w:p>
          <w:p>
            <w:pPr>
              <w:widowControl w:val="0"/>
              <w:jc w:val="center"/>
              <w:rPr>
                <w:spacing w:val="-4"/>
              </w:rPr>
            </w:pPr>
            <w:r>
              <w:rPr>
                <w:spacing w:val="-4"/>
              </w:rPr>
              <w:t>laid.</w:t>
            </w:r>
          </w:p>
        </w:tc>
        <w:tc>
          <w:tcPr>
            <w:tcW w:w="567" w:type="dxa"/>
            <w:gridSpan w:val="2"/>
            <w:vAlign w:val="center"/>
          </w:tcPr>
          <w:p>
            <w:pPr>
              <w:widowControl w:val="0"/>
              <w:jc w:val="center"/>
              <w:rPr>
                <w:spacing w:val="-4"/>
              </w:rPr>
            </w:pPr>
            <w:r>
              <w:rPr>
                <w:spacing w:val="-4"/>
              </w:rPr>
              <w:t>2</w:t>
            </w:r>
          </w:p>
          <w:p>
            <w:pPr>
              <w:widowControl w:val="0"/>
              <w:jc w:val="center"/>
              <w:rPr>
                <w:spacing w:val="-4"/>
              </w:rPr>
            </w:pPr>
            <w:r>
              <w:rPr>
                <w:spacing w:val="-4"/>
              </w:rPr>
              <w:t>laid.</w:t>
            </w:r>
          </w:p>
        </w:tc>
        <w:tc>
          <w:tcPr>
            <w:tcW w:w="567" w:type="dxa"/>
            <w:gridSpan w:val="2"/>
            <w:vAlign w:val="center"/>
          </w:tcPr>
          <w:p>
            <w:pPr>
              <w:widowControl w:val="0"/>
              <w:jc w:val="center"/>
              <w:rPr>
                <w:spacing w:val="-4"/>
              </w:rPr>
            </w:pPr>
            <w:r>
              <w:rPr>
                <w:spacing w:val="-4"/>
              </w:rPr>
              <w:t>3</w:t>
            </w:r>
          </w:p>
          <w:p>
            <w:pPr>
              <w:widowControl w:val="0"/>
              <w:jc w:val="center"/>
              <w:rPr>
                <w:spacing w:val="-4"/>
              </w:rPr>
            </w:pPr>
            <w:r>
              <w:rPr>
                <w:spacing w:val="-4"/>
              </w:rPr>
              <w:t>laid.</w:t>
            </w:r>
          </w:p>
        </w:tc>
        <w:tc>
          <w:tcPr>
            <w:tcW w:w="709" w:type="dxa"/>
            <w:gridSpan w:val="3"/>
            <w:vAlign w:val="center"/>
          </w:tcPr>
          <w:p>
            <w:pPr>
              <w:widowControl w:val="0"/>
              <w:jc w:val="center"/>
              <w:rPr>
                <w:spacing w:val="-4"/>
              </w:rPr>
            </w:pPr>
            <w:r>
              <w:rPr>
                <w:spacing w:val="-4"/>
              </w:rPr>
              <w:t>2</w:t>
            </w:r>
          </w:p>
          <w:p>
            <w:pPr>
              <w:widowControl w:val="0"/>
              <w:jc w:val="center"/>
              <w:rPr>
                <w:spacing w:val="-4"/>
              </w:rPr>
            </w:pPr>
            <w:r>
              <w:rPr>
                <w:spacing w:val="-4"/>
              </w:rPr>
              <w:t>laid.</w:t>
            </w:r>
          </w:p>
        </w:tc>
        <w:tc>
          <w:tcPr>
            <w:tcW w:w="567" w:type="dxa"/>
            <w:gridSpan w:val="3"/>
            <w:vAlign w:val="center"/>
          </w:tcPr>
          <w:p>
            <w:pPr>
              <w:widowControl w:val="0"/>
              <w:jc w:val="center"/>
              <w:rPr>
                <w:spacing w:val="-4"/>
              </w:rPr>
            </w:pPr>
            <w:r>
              <w:rPr>
                <w:spacing w:val="-4"/>
              </w:rPr>
              <w:t>3</w:t>
            </w:r>
          </w:p>
          <w:p>
            <w:pPr>
              <w:widowControl w:val="0"/>
              <w:jc w:val="center"/>
              <w:rPr>
                <w:spacing w:val="-4"/>
              </w:rPr>
            </w:pPr>
            <w:r>
              <w:rPr>
                <w:spacing w:val="-4"/>
              </w:rPr>
              <w:t>laid.</w:t>
            </w:r>
          </w:p>
        </w:tc>
        <w:tc>
          <w:tcPr>
            <w:tcW w:w="709" w:type="dxa"/>
            <w:gridSpan w:val="3"/>
            <w:vAlign w:val="center"/>
          </w:tcPr>
          <w:p>
            <w:pPr>
              <w:widowControl w:val="0"/>
              <w:jc w:val="center"/>
              <w:rPr>
                <w:spacing w:val="-4"/>
              </w:rPr>
            </w:pPr>
            <w:r>
              <w:rPr>
                <w:spacing w:val="-4"/>
              </w:rPr>
              <w:t>2</w:t>
            </w:r>
          </w:p>
          <w:p>
            <w:pPr>
              <w:widowControl w:val="0"/>
              <w:jc w:val="center"/>
              <w:rPr>
                <w:spacing w:val="-4"/>
              </w:rPr>
            </w:pPr>
            <w:r>
              <w:rPr>
                <w:spacing w:val="-4"/>
              </w:rPr>
              <w:t>laid.</w:t>
            </w:r>
          </w:p>
        </w:tc>
        <w:tc>
          <w:tcPr>
            <w:tcW w:w="701" w:type="dxa"/>
            <w:gridSpan w:val="2"/>
            <w:vAlign w:val="center"/>
          </w:tcPr>
          <w:p>
            <w:pPr>
              <w:widowControl w:val="0"/>
              <w:jc w:val="center"/>
              <w:rPr>
                <w:spacing w:val="-4"/>
              </w:rPr>
            </w:pPr>
            <w:r>
              <w:rPr>
                <w:spacing w:val="-4"/>
              </w:rPr>
              <w:t>3</w:t>
            </w:r>
          </w:p>
          <w:p>
            <w:pPr>
              <w:widowControl w:val="0"/>
              <w:jc w:val="center"/>
              <w:rPr>
                <w:spacing w:val="-4"/>
              </w:rPr>
            </w:pPr>
            <w:r>
              <w:rPr>
                <w:spacing w:val="-4"/>
              </w:rPr>
              <w:t>laid.</w:t>
            </w:r>
          </w:p>
        </w:tc>
      </w:tr>
      <w:tr>
        <w:trPr>
          <w:gridAfter w:val="1"/>
          <w:wAfter w:w="6" w:type="dxa"/>
          <w:trHeight w:val="20"/>
        </w:trPr>
        <w:tc>
          <w:tcPr>
            <w:tcW w:w="8400" w:type="dxa"/>
            <w:gridSpan w:val="33"/>
            <w:vAlign w:val="center"/>
          </w:tcPr>
          <w:p>
            <w:pPr>
              <w:widowControl w:val="0"/>
              <w:jc w:val="center"/>
            </w:pPr>
            <w:r>
              <w:t>Varinių laidininkų leistinoji ilgalaikė srovė, A</w:t>
            </w:r>
          </w:p>
        </w:tc>
      </w:tr>
      <w:tr>
        <w:trPr>
          <w:gridAfter w:val="1"/>
          <w:wAfter w:w="6" w:type="dxa"/>
          <w:trHeight w:val="20"/>
        </w:trPr>
        <w:tc>
          <w:tcPr>
            <w:tcW w:w="895" w:type="dxa"/>
            <w:gridSpan w:val="2"/>
            <w:vAlign w:val="center"/>
          </w:tcPr>
          <w:p>
            <w:pPr>
              <w:widowControl w:val="0"/>
              <w:jc w:val="center"/>
            </w:pPr>
            <w:r>
              <w:t>1,5</w:t>
            </w:r>
          </w:p>
        </w:tc>
        <w:tc>
          <w:tcPr>
            <w:tcW w:w="613" w:type="dxa"/>
            <w:gridSpan w:val="2"/>
            <w:vAlign w:val="center"/>
          </w:tcPr>
          <w:p>
            <w:pPr>
              <w:widowControl w:val="0"/>
              <w:jc w:val="center"/>
            </w:pPr>
            <w:r>
              <w:t>19</w:t>
            </w:r>
          </w:p>
        </w:tc>
        <w:tc>
          <w:tcPr>
            <w:tcW w:w="663" w:type="dxa"/>
            <w:gridSpan w:val="4"/>
            <w:vAlign w:val="center"/>
          </w:tcPr>
          <w:p>
            <w:pPr>
              <w:widowControl w:val="0"/>
              <w:jc w:val="center"/>
            </w:pPr>
            <w:r>
              <w:t>17</w:t>
            </w:r>
          </w:p>
        </w:tc>
        <w:tc>
          <w:tcPr>
            <w:tcW w:w="708" w:type="dxa"/>
            <w:gridSpan w:val="3"/>
            <w:vAlign w:val="center"/>
          </w:tcPr>
          <w:p>
            <w:pPr>
              <w:widowControl w:val="0"/>
              <w:jc w:val="center"/>
            </w:pPr>
            <w:r>
              <w:t>18,5</w:t>
            </w:r>
          </w:p>
        </w:tc>
        <w:tc>
          <w:tcPr>
            <w:tcW w:w="567" w:type="dxa"/>
            <w:gridSpan w:val="4"/>
            <w:vAlign w:val="center"/>
          </w:tcPr>
          <w:p>
            <w:pPr>
              <w:widowControl w:val="0"/>
              <w:jc w:val="center"/>
            </w:pPr>
            <w:r>
              <w:t>16,5</w:t>
            </w:r>
          </w:p>
        </w:tc>
        <w:tc>
          <w:tcPr>
            <w:tcW w:w="567" w:type="dxa"/>
            <w:vAlign w:val="center"/>
          </w:tcPr>
          <w:p>
            <w:pPr>
              <w:widowControl w:val="0"/>
              <w:jc w:val="center"/>
            </w:pPr>
            <w:r>
              <w:t>23</w:t>
            </w:r>
          </w:p>
        </w:tc>
        <w:tc>
          <w:tcPr>
            <w:tcW w:w="567" w:type="dxa"/>
            <w:gridSpan w:val="2"/>
            <w:vAlign w:val="center"/>
          </w:tcPr>
          <w:p>
            <w:pPr>
              <w:widowControl w:val="0"/>
              <w:jc w:val="center"/>
            </w:pPr>
            <w:r>
              <w:t>20</w:t>
            </w:r>
          </w:p>
        </w:tc>
        <w:tc>
          <w:tcPr>
            <w:tcW w:w="567" w:type="dxa"/>
            <w:gridSpan w:val="2"/>
            <w:vAlign w:val="center"/>
          </w:tcPr>
          <w:p>
            <w:pPr>
              <w:widowControl w:val="0"/>
              <w:jc w:val="center"/>
            </w:pPr>
            <w:r>
              <w:t>22</w:t>
            </w:r>
          </w:p>
        </w:tc>
        <w:tc>
          <w:tcPr>
            <w:tcW w:w="567" w:type="dxa"/>
            <w:gridSpan w:val="2"/>
            <w:vAlign w:val="center"/>
          </w:tcPr>
          <w:p>
            <w:pPr>
              <w:widowControl w:val="0"/>
              <w:jc w:val="center"/>
            </w:pPr>
            <w:r>
              <w:t>19,5</w:t>
            </w:r>
          </w:p>
        </w:tc>
        <w:tc>
          <w:tcPr>
            <w:tcW w:w="677" w:type="dxa"/>
            <w:gridSpan w:val="3"/>
            <w:vAlign w:val="center"/>
          </w:tcPr>
          <w:p>
            <w:pPr>
              <w:widowControl w:val="0"/>
              <w:jc w:val="center"/>
            </w:pPr>
            <w:r>
              <w:t>24</w:t>
            </w:r>
          </w:p>
        </w:tc>
        <w:tc>
          <w:tcPr>
            <w:tcW w:w="615" w:type="dxa"/>
            <w:gridSpan w:val="4"/>
            <w:vAlign w:val="center"/>
          </w:tcPr>
          <w:p>
            <w:pPr>
              <w:widowControl w:val="0"/>
              <w:jc w:val="center"/>
            </w:pPr>
            <w:r>
              <w:t>22</w:t>
            </w:r>
          </w:p>
        </w:tc>
        <w:tc>
          <w:tcPr>
            <w:tcW w:w="693" w:type="dxa"/>
            <w:gridSpan w:val="2"/>
            <w:vAlign w:val="center"/>
          </w:tcPr>
          <w:p>
            <w:pPr>
              <w:widowControl w:val="0"/>
              <w:jc w:val="center"/>
            </w:pPr>
            <w:r>
              <w:t>26</w:t>
            </w:r>
          </w:p>
        </w:tc>
        <w:tc>
          <w:tcPr>
            <w:tcW w:w="701" w:type="dxa"/>
            <w:gridSpan w:val="2"/>
            <w:vAlign w:val="center"/>
          </w:tcPr>
          <w:p>
            <w:pPr>
              <w:widowControl w:val="0"/>
              <w:jc w:val="center"/>
            </w:pPr>
            <w:r>
              <w:t>22</w:t>
            </w:r>
          </w:p>
        </w:tc>
      </w:tr>
      <w:tr>
        <w:trPr>
          <w:gridAfter w:val="1"/>
          <w:wAfter w:w="6" w:type="dxa"/>
          <w:trHeight w:val="20"/>
        </w:trPr>
        <w:tc>
          <w:tcPr>
            <w:tcW w:w="895" w:type="dxa"/>
            <w:gridSpan w:val="2"/>
            <w:vAlign w:val="center"/>
          </w:tcPr>
          <w:p>
            <w:pPr>
              <w:widowControl w:val="0"/>
              <w:jc w:val="center"/>
            </w:pPr>
            <w:r>
              <w:t>2,5</w:t>
            </w:r>
          </w:p>
        </w:tc>
        <w:tc>
          <w:tcPr>
            <w:tcW w:w="613" w:type="dxa"/>
            <w:gridSpan w:val="2"/>
            <w:vAlign w:val="center"/>
          </w:tcPr>
          <w:p>
            <w:pPr>
              <w:widowControl w:val="0"/>
              <w:jc w:val="center"/>
            </w:pPr>
            <w:r>
              <w:t>26</w:t>
            </w:r>
          </w:p>
        </w:tc>
        <w:tc>
          <w:tcPr>
            <w:tcW w:w="663" w:type="dxa"/>
            <w:gridSpan w:val="4"/>
            <w:vAlign w:val="center"/>
          </w:tcPr>
          <w:p>
            <w:pPr>
              <w:widowControl w:val="0"/>
              <w:jc w:val="center"/>
            </w:pPr>
            <w:r>
              <w:t>23</w:t>
            </w:r>
          </w:p>
        </w:tc>
        <w:tc>
          <w:tcPr>
            <w:tcW w:w="708" w:type="dxa"/>
            <w:gridSpan w:val="3"/>
            <w:vAlign w:val="center"/>
          </w:tcPr>
          <w:p>
            <w:pPr>
              <w:widowControl w:val="0"/>
              <w:jc w:val="center"/>
            </w:pPr>
            <w:r>
              <w:t>25</w:t>
            </w:r>
          </w:p>
        </w:tc>
        <w:tc>
          <w:tcPr>
            <w:tcW w:w="567" w:type="dxa"/>
            <w:gridSpan w:val="4"/>
            <w:vAlign w:val="center"/>
          </w:tcPr>
          <w:p>
            <w:pPr>
              <w:widowControl w:val="0"/>
              <w:jc w:val="center"/>
            </w:pPr>
            <w:r>
              <w:t>22</w:t>
            </w:r>
          </w:p>
        </w:tc>
        <w:tc>
          <w:tcPr>
            <w:tcW w:w="567" w:type="dxa"/>
            <w:vAlign w:val="center"/>
          </w:tcPr>
          <w:p>
            <w:pPr>
              <w:widowControl w:val="0"/>
              <w:jc w:val="center"/>
            </w:pPr>
            <w:r>
              <w:t>31</w:t>
            </w:r>
          </w:p>
        </w:tc>
        <w:tc>
          <w:tcPr>
            <w:tcW w:w="567" w:type="dxa"/>
            <w:gridSpan w:val="2"/>
            <w:vAlign w:val="center"/>
          </w:tcPr>
          <w:p>
            <w:pPr>
              <w:widowControl w:val="0"/>
              <w:jc w:val="center"/>
            </w:pPr>
            <w:r>
              <w:t>28</w:t>
            </w:r>
          </w:p>
        </w:tc>
        <w:tc>
          <w:tcPr>
            <w:tcW w:w="567" w:type="dxa"/>
            <w:gridSpan w:val="2"/>
            <w:vAlign w:val="center"/>
          </w:tcPr>
          <w:p>
            <w:pPr>
              <w:widowControl w:val="0"/>
              <w:jc w:val="center"/>
            </w:pPr>
            <w:r>
              <w:t>30</w:t>
            </w:r>
          </w:p>
        </w:tc>
        <w:tc>
          <w:tcPr>
            <w:tcW w:w="567" w:type="dxa"/>
            <w:gridSpan w:val="2"/>
            <w:vAlign w:val="center"/>
          </w:tcPr>
          <w:p>
            <w:pPr>
              <w:widowControl w:val="0"/>
              <w:jc w:val="center"/>
            </w:pPr>
            <w:r>
              <w:t>26</w:t>
            </w:r>
          </w:p>
        </w:tc>
        <w:tc>
          <w:tcPr>
            <w:tcW w:w="677" w:type="dxa"/>
            <w:gridSpan w:val="3"/>
            <w:vAlign w:val="center"/>
          </w:tcPr>
          <w:p>
            <w:pPr>
              <w:widowControl w:val="0"/>
              <w:jc w:val="center"/>
            </w:pPr>
            <w:r>
              <w:t>33</w:t>
            </w:r>
          </w:p>
        </w:tc>
        <w:tc>
          <w:tcPr>
            <w:tcW w:w="615" w:type="dxa"/>
            <w:gridSpan w:val="4"/>
            <w:vAlign w:val="center"/>
          </w:tcPr>
          <w:p>
            <w:pPr>
              <w:widowControl w:val="0"/>
              <w:jc w:val="center"/>
            </w:pPr>
            <w:r>
              <w:t>30</w:t>
            </w:r>
          </w:p>
        </w:tc>
        <w:tc>
          <w:tcPr>
            <w:tcW w:w="693" w:type="dxa"/>
            <w:gridSpan w:val="2"/>
            <w:vAlign w:val="center"/>
          </w:tcPr>
          <w:p>
            <w:pPr>
              <w:widowControl w:val="0"/>
              <w:jc w:val="center"/>
            </w:pPr>
            <w:r>
              <w:t>34</w:t>
            </w:r>
          </w:p>
        </w:tc>
        <w:tc>
          <w:tcPr>
            <w:tcW w:w="701" w:type="dxa"/>
            <w:gridSpan w:val="2"/>
            <w:vAlign w:val="center"/>
          </w:tcPr>
          <w:p>
            <w:pPr>
              <w:widowControl w:val="0"/>
              <w:jc w:val="center"/>
            </w:pPr>
            <w:r>
              <w:t>29</w:t>
            </w:r>
          </w:p>
        </w:tc>
      </w:tr>
      <w:tr>
        <w:trPr>
          <w:gridAfter w:val="1"/>
          <w:wAfter w:w="6" w:type="dxa"/>
          <w:trHeight w:val="20"/>
        </w:trPr>
        <w:tc>
          <w:tcPr>
            <w:tcW w:w="895" w:type="dxa"/>
            <w:gridSpan w:val="2"/>
            <w:vAlign w:val="center"/>
          </w:tcPr>
          <w:p>
            <w:pPr>
              <w:widowControl w:val="0"/>
              <w:jc w:val="center"/>
            </w:pPr>
            <w:r>
              <w:t>4</w:t>
            </w:r>
          </w:p>
        </w:tc>
        <w:tc>
          <w:tcPr>
            <w:tcW w:w="613" w:type="dxa"/>
            <w:gridSpan w:val="2"/>
            <w:vAlign w:val="center"/>
          </w:tcPr>
          <w:p>
            <w:pPr>
              <w:widowControl w:val="0"/>
              <w:jc w:val="center"/>
            </w:pPr>
            <w:r>
              <w:t>35</w:t>
            </w:r>
          </w:p>
        </w:tc>
        <w:tc>
          <w:tcPr>
            <w:tcW w:w="663" w:type="dxa"/>
            <w:gridSpan w:val="4"/>
            <w:vAlign w:val="center"/>
          </w:tcPr>
          <w:p>
            <w:pPr>
              <w:widowControl w:val="0"/>
              <w:jc w:val="center"/>
            </w:pPr>
            <w:r>
              <w:t>31</w:t>
            </w:r>
          </w:p>
        </w:tc>
        <w:tc>
          <w:tcPr>
            <w:tcW w:w="708" w:type="dxa"/>
            <w:gridSpan w:val="3"/>
            <w:vAlign w:val="center"/>
          </w:tcPr>
          <w:p>
            <w:pPr>
              <w:widowControl w:val="0"/>
              <w:jc w:val="center"/>
            </w:pPr>
            <w:r>
              <w:t>33</w:t>
            </w:r>
          </w:p>
        </w:tc>
        <w:tc>
          <w:tcPr>
            <w:tcW w:w="567" w:type="dxa"/>
            <w:gridSpan w:val="4"/>
            <w:vAlign w:val="center"/>
          </w:tcPr>
          <w:p>
            <w:pPr>
              <w:widowControl w:val="0"/>
              <w:jc w:val="center"/>
            </w:pPr>
            <w:r>
              <w:t>30</w:t>
            </w:r>
          </w:p>
        </w:tc>
        <w:tc>
          <w:tcPr>
            <w:tcW w:w="567" w:type="dxa"/>
            <w:vAlign w:val="center"/>
          </w:tcPr>
          <w:p>
            <w:pPr>
              <w:widowControl w:val="0"/>
              <w:jc w:val="center"/>
            </w:pPr>
            <w:r>
              <w:t>42</w:t>
            </w:r>
          </w:p>
        </w:tc>
        <w:tc>
          <w:tcPr>
            <w:tcW w:w="567" w:type="dxa"/>
            <w:gridSpan w:val="2"/>
            <w:vAlign w:val="center"/>
          </w:tcPr>
          <w:p>
            <w:pPr>
              <w:widowControl w:val="0"/>
              <w:jc w:val="center"/>
            </w:pPr>
            <w:r>
              <w:t>37</w:t>
            </w:r>
          </w:p>
        </w:tc>
        <w:tc>
          <w:tcPr>
            <w:tcW w:w="567" w:type="dxa"/>
            <w:gridSpan w:val="2"/>
            <w:vAlign w:val="center"/>
          </w:tcPr>
          <w:p>
            <w:pPr>
              <w:widowControl w:val="0"/>
              <w:jc w:val="center"/>
            </w:pPr>
            <w:r>
              <w:t>40</w:t>
            </w:r>
          </w:p>
        </w:tc>
        <w:tc>
          <w:tcPr>
            <w:tcW w:w="567" w:type="dxa"/>
            <w:gridSpan w:val="2"/>
            <w:vAlign w:val="center"/>
          </w:tcPr>
          <w:p>
            <w:pPr>
              <w:widowControl w:val="0"/>
              <w:jc w:val="center"/>
            </w:pPr>
            <w:r>
              <w:t>35</w:t>
            </w:r>
          </w:p>
        </w:tc>
        <w:tc>
          <w:tcPr>
            <w:tcW w:w="677" w:type="dxa"/>
            <w:gridSpan w:val="3"/>
            <w:vAlign w:val="center"/>
          </w:tcPr>
          <w:p>
            <w:pPr>
              <w:widowControl w:val="0"/>
              <w:jc w:val="center"/>
            </w:pPr>
            <w:r>
              <w:t>45</w:t>
            </w:r>
          </w:p>
        </w:tc>
        <w:tc>
          <w:tcPr>
            <w:tcW w:w="615" w:type="dxa"/>
            <w:gridSpan w:val="4"/>
            <w:vAlign w:val="center"/>
          </w:tcPr>
          <w:p>
            <w:pPr>
              <w:widowControl w:val="0"/>
              <w:jc w:val="center"/>
            </w:pPr>
            <w:r>
              <w:t>40</w:t>
            </w:r>
          </w:p>
        </w:tc>
        <w:tc>
          <w:tcPr>
            <w:tcW w:w="693" w:type="dxa"/>
            <w:gridSpan w:val="2"/>
            <w:vAlign w:val="center"/>
          </w:tcPr>
          <w:p>
            <w:pPr>
              <w:widowControl w:val="0"/>
              <w:jc w:val="center"/>
            </w:pPr>
            <w:r>
              <w:t>44</w:t>
            </w:r>
          </w:p>
        </w:tc>
        <w:tc>
          <w:tcPr>
            <w:tcW w:w="701" w:type="dxa"/>
            <w:gridSpan w:val="2"/>
            <w:vAlign w:val="center"/>
          </w:tcPr>
          <w:p>
            <w:pPr>
              <w:widowControl w:val="0"/>
              <w:jc w:val="center"/>
            </w:pPr>
            <w:r>
              <w:t>37</w:t>
            </w:r>
          </w:p>
        </w:tc>
      </w:tr>
      <w:tr>
        <w:trPr>
          <w:gridAfter w:val="1"/>
          <w:wAfter w:w="6" w:type="dxa"/>
          <w:trHeight w:val="20"/>
        </w:trPr>
        <w:tc>
          <w:tcPr>
            <w:tcW w:w="895" w:type="dxa"/>
            <w:gridSpan w:val="2"/>
            <w:vAlign w:val="center"/>
          </w:tcPr>
          <w:p>
            <w:pPr>
              <w:widowControl w:val="0"/>
              <w:jc w:val="center"/>
            </w:pPr>
            <w:r>
              <w:t>6</w:t>
            </w:r>
          </w:p>
        </w:tc>
        <w:tc>
          <w:tcPr>
            <w:tcW w:w="613" w:type="dxa"/>
            <w:gridSpan w:val="2"/>
            <w:vAlign w:val="center"/>
          </w:tcPr>
          <w:p>
            <w:pPr>
              <w:widowControl w:val="0"/>
              <w:jc w:val="center"/>
            </w:pPr>
            <w:r>
              <w:t>45</w:t>
            </w:r>
          </w:p>
        </w:tc>
        <w:tc>
          <w:tcPr>
            <w:tcW w:w="663" w:type="dxa"/>
            <w:gridSpan w:val="4"/>
            <w:vAlign w:val="center"/>
          </w:tcPr>
          <w:p>
            <w:pPr>
              <w:widowControl w:val="0"/>
              <w:jc w:val="center"/>
            </w:pPr>
            <w:r>
              <w:t>40</w:t>
            </w:r>
          </w:p>
        </w:tc>
        <w:tc>
          <w:tcPr>
            <w:tcW w:w="708" w:type="dxa"/>
            <w:gridSpan w:val="3"/>
            <w:vAlign w:val="center"/>
          </w:tcPr>
          <w:p>
            <w:pPr>
              <w:widowControl w:val="0"/>
              <w:jc w:val="center"/>
            </w:pPr>
            <w:r>
              <w:t>42</w:t>
            </w:r>
          </w:p>
        </w:tc>
        <w:tc>
          <w:tcPr>
            <w:tcW w:w="567" w:type="dxa"/>
            <w:gridSpan w:val="4"/>
            <w:vAlign w:val="center"/>
          </w:tcPr>
          <w:p>
            <w:pPr>
              <w:widowControl w:val="0"/>
              <w:jc w:val="center"/>
            </w:pPr>
            <w:r>
              <w:t>38</w:t>
            </w:r>
          </w:p>
        </w:tc>
        <w:tc>
          <w:tcPr>
            <w:tcW w:w="567" w:type="dxa"/>
            <w:vAlign w:val="center"/>
          </w:tcPr>
          <w:p>
            <w:pPr>
              <w:widowControl w:val="0"/>
              <w:jc w:val="center"/>
            </w:pPr>
            <w:r>
              <w:t>54</w:t>
            </w:r>
          </w:p>
        </w:tc>
        <w:tc>
          <w:tcPr>
            <w:tcW w:w="567" w:type="dxa"/>
            <w:gridSpan w:val="2"/>
            <w:vAlign w:val="center"/>
          </w:tcPr>
          <w:p>
            <w:pPr>
              <w:widowControl w:val="0"/>
              <w:jc w:val="center"/>
            </w:pPr>
            <w:r>
              <w:t>48</w:t>
            </w:r>
          </w:p>
        </w:tc>
        <w:tc>
          <w:tcPr>
            <w:tcW w:w="567" w:type="dxa"/>
            <w:gridSpan w:val="2"/>
            <w:vAlign w:val="center"/>
          </w:tcPr>
          <w:p>
            <w:pPr>
              <w:widowControl w:val="0"/>
              <w:jc w:val="center"/>
            </w:pPr>
            <w:r>
              <w:t>51</w:t>
            </w:r>
          </w:p>
        </w:tc>
        <w:tc>
          <w:tcPr>
            <w:tcW w:w="567" w:type="dxa"/>
            <w:gridSpan w:val="2"/>
            <w:vAlign w:val="center"/>
          </w:tcPr>
          <w:p>
            <w:pPr>
              <w:widowControl w:val="0"/>
              <w:jc w:val="center"/>
            </w:pPr>
            <w:r>
              <w:t>44</w:t>
            </w:r>
          </w:p>
        </w:tc>
        <w:tc>
          <w:tcPr>
            <w:tcW w:w="677" w:type="dxa"/>
            <w:gridSpan w:val="3"/>
            <w:vAlign w:val="center"/>
          </w:tcPr>
          <w:p>
            <w:pPr>
              <w:widowControl w:val="0"/>
              <w:jc w:val="center"/>
            </w:pPr>
            <w:r>
              <w:t>58</w:t>
            </w:r>
          </w:p>
        </w:tc>
        <w:tc>
          <w:tcPr>
            <w:tcW w:w="615" w:type="dxa"/>
            <w:gridSpan w:val="4"/>
            <w:vAlign w:val="center"/>
          </w:tcPr>
          <w:p>
            <w:pPr>
              <w:widowControl w:val="0"/>
              <w:jc w:val="center"/>
            </w:pPr>
            <w:r>
              <w:t>52</w:t>
            </w:r>
          </w:p>
        </w:tc>
        <w:tc>
          <w:tcPr>
            <w:tcW w:w="693" w:type="dxa"/>
            <w:gridSpan w:val="2"/>
            <w:vAlign w:val="center"/>
          </w:tcPr>
          <w:p>
            <w:pPr>
              <w:widowControl w:val="0"/>
              <w:jc w:val="center"/>
            </w:pPr>
            <w:r>
              <w:t>56</w:t>
            </w:r>
          </w:p>
        </w:tc>
        <w:tc>
          <w:tcPr>
            <w:tcW w:w="701" w:type="dxa"/>
            <w:gridSpan w:val="2"/>
            <w:vAlign w:val="center"/>
          </w:tcPr>
          <w:p>
            <w:pPr>
              <w:widowControl w:val="0"/>
              <w:jc w:val="center"/>
            </w:pPr>
            <w:r>
              <w:t>46</w:t>
            </w:r>
          </w:p>
        </w:tc>
      </w:tr>
      <w:tr>
        <w:trPr>
          <w:gridAfter w:val="1"/>
          <w:wAfter w:w="6" w:type="dxa"/>
          <w:trHeight w:val="20"/>
        </w:trPr>
        <w:tc>
          <w:tcPr>
            <w:tcW w:w="895" w:type="dxa"/>
            <w:gridSpan w:val="2"/>
            <w:vAlign w:val="center"/>
          </w:tcPr>
          <w:p>
            <w:pPr>
              <w:widowControl w:val="0"/>
              <w:jc w:val="center"/>
            </w:pPr>
            <w:r>
              <w:t>10</w:t>
            </w:r>
          </w:p>
        </w:tc>
        <w:tc>
          <w:tcPr>
            <w:tcW w:w="613" w:type="dxa"/>
            <w:gridSpan w:val="2"/>
            <w:vAlign w:val="center"/>
          </w:tcPr>
          <w:p>
            <w:pPr>
              <w:widowControl w:val="0"/>
              <w:jc w:val="center"/>
            </w:pPr>
            <w:r>
              <w:t>61</w:t>
            </w:r>
          </w:p>
        </w:tc>
        <w:tc>
          <w:tcPr>
            <w:tcW w:w="663" w:type="dxa"/>
            <w:gridSpan w:val="4"/>
            <w:vAlign w:val="center"/>
          </w:tcPr>
          <w:p>
            <w:pPr>
              <w:widowControl w:val="0"/>
              <w:jc w:val="center"/>
            </w:pPr>
            <w:r>
              <w:t>54</w:t>
            </w:r>
          </w:p>
        </w:tc>
        <w:tc>
          <w:tcPr>
            <w:tcW w:w="708" w:type="dxa"/>
            <w:gridSpan w:val="3"/>
            <w:vAlign w:val="center"/>
          </w:tcPr>
          <w:p>
            <w:pPr>
              <w:widowControl w:val="0"/>
              <w:jc w:val="center"/>
            </w:pPr>
            <w:r>
              <w:t>57</w:t>
            </w:r>
          </w:p>
        </w:tc>
        <w:tc>
          <w:tcPr>
            <w:tcW w:w="567" w:type="dxa"/>
            <w:gridSpan w:val="4"/>
            <w:vAlign w:val="center"/>
          </w:tcPr>
          <w:p>
            <w:pPr>
              <w:widowControl w:val="0"/>
              <w:jc w:val="center"/>
            </w:pPr>
            <w:r>
              <w:t>51</w:t>
            </w:r>
          </w:p>
        </w:tc>
        <w:tc>
          <w:tcPr>
            <w:tcW w:w="567" w:type="dxa"/>
            <w:vAlign w:val="center"/>
          </w:tcPr>
          <w:p>
            <w:pPr>
              <w:widowControl w:val="0"/>
              <w:jc w:val="center"/>
            </w:pPr>
            <w:r>
              <w:t>75</w:t>
            </w:r>
          </w:p>
        </w:tc>
        <w:tc>
          <w:tcPr>
            <w:tcW w:w="567" w:type="dxa"/>
            <w:gridSpan w:val="2"/>
            <w:vAlign w:val="center"/>
          </w:tcPr>
          <w:p>
            <w:pPr>
              <w:widowControl w:val="0"/>
              <w:jc w:val="center"/>
            </w:pPr>
            <w:r>
              <w:t>66</w:t>
            </w:r>
          </w:p>
        </w:tc>
        <w:tc>
          <w:tcPr>
            <w:tcW w:w="567" w:type="dxa"/>
            <w:gridSpan w:val="2"/>
            <w:vAlign w:val="center"/>
          </w:tcPr>
          <w:p>
            <w:pPr>
              <w:widowControl w:val="0"/>
              <w:jc w:val="center"/>
            </w:pPr>
            <w:r>
              <w:t>69</w:t>
            </w:r>
          </w:p>
        </w:tc>
        <w:tc>
          <w:tcPr>
            <w:tcW w:w="567" w:type="dxa"/>
            <w:gridSpan w:val="2"/>
            <w:vAlign w:val="center"/>
          </w:tcPr>
          <w:p>
            <w:pPr>
              <w:widowControl w:val="0"/>
              <w:jc w:val="center"/>
            </w:pPr>
            <w:r>
              <w:t>60</w:t>
            </w:r>
          </w:p>
        </w:tc>
        <w:tc>
          <w:tcPr>
            <w:tcW w:w="677" w:type="dxa"/>
            <w:gridSpan w:val="3"/>
            <w:vAlign w:val="center"/>
          </w:tcPr>
          <w:p>
            <w:pPr>
              <w:widowControl w:val="0"/>
              <w:jc w:val="center"/>
            </w:pPr>
            <w:r>
              <w:t>80</w:t>
            </w:r>
          </w:p>
        </w:tc>
        <w:tc>
          <w:tcPr>
            <w:tcW w:w="615" w:type="dxa"/>
            <w:gridSpan w:val="4"/>
            <w:vAlign w:val="center"/>
          </w:tcPr>
          <w:p>
            <w:pPr>
              <w:widowControl w:val="0"/>
              <w:jc w:val="center"/>
            </w:pPr>
            <w:r>
              <w:t>71</w:t>
            </w:r>
          </w:p>
        </w:tc>
        <w:tc>
          <w:tcPr>
            <w:tcW w:w="693" w:type="dxa"/>
            <w:gridSpan w:val="2"/>
            <w:vAlign w:val="center"/>
          </w:tcPr>
          <w:p>
            <w:pPr>
              <w:widowControl w:val="0"/>
              <w:jc w:val="center"/>
            </w:pPr>
            <w:r>
              <w:t>73</w:t>
            </w:r>
          </w:p>
        </w:tc>
        <w:tc>
          <w:tcPr>
            <w:tcW w:w="701" w:type="dxa"/>
            <w:gridSpan w:val="2"/>
            <w:vAlign w:val="center"/>
          </w:tcPr>
          <w:p>
            <w:pPr>
              <w:widowControl w:val="0"/>
              <w:jc w:val="center"/>
            </w:pPr>
            <w:r>
              <w:t>61</w:t>
            </w:r>
          </w:p>
        </w:tc>
      </w:tr>
      <w:tr>
        <w:trPr>
          <w:gridAfter w:val="1"/>
          <w:wAfter w:w="6" w:type="dxa"/>
          <w:trHeight w:val="20"/>
        </w:trPr>
        <w:tc>
          <w:tcPr>
            <w:tcW w:w="895" w:type="dxa"/>
            <w:gridSpan w:val="2"/>
            <w:vAlign w:val="center"/>
          </w:tcPr>
          <w:p>
            <w:pPr>
              <w:widowControl w:val="0"/>
              <w:jc w:val="center"/>
            </w:pPr>
            <w:r>
              <w:t>16</w:t>
            </w:r>
          </w:p>
        </w:tc>
        <w:tc>
          <w:tcPr>
            <w:tcW w:w="613" w:type="dxa"/>
            <w:gridSpan w:val="2"/>
            <w:vAlign w:val="center"/>
          </w:tcPr>
          <w:p>
            <w:pPr>
              <w:widowControl w:val="0"/>
              <w:jc w:val="center"/>
            </w:pPr>
            <w:r>
              <w:t>81</w:t>
            </w:r>
          </w:p>
        </w:tc>
        <w:tc>
          <w:tcPr>
            <w:tcW w:w="663" w:type="dxa"/>
            <w:gridSpan w:val="4"/>
            <w:vAlign w:val="center"/>
          </w:tcPr>
          <w:p>
            <w:pPr>
              <w:widowControl w:val="0"/>
              <w:jc w:val="center"/>
            </w:pPr>
            <w:r>
              <w:t>73</w:t>
            </w:r>
          </w:p>
        </w:tc>
        <w:tc>
          <w:tcPr>
            <w:tcW w:w="708" w:type="dxa"/>
            <w:gridSpan w:val="3"/>
            <w:vAlign w:val="center"/>
          </w:tcPr>
          <w:p>
            <w:pPr>
              <w:widowControl w:val="0"/>
              <w:jc w:val="center"/>
            </w:pPr>
            <w:r>
              <w:t>76</w:t>
            </w:r>
          </w:p>
        </w:tc>
        <w:tc>
          <w:tcPr>
            <w:tcW w:w="567" w:type="dxa"/>
            <w:gridSpan w:val="4"/>
            <w:vAlign w:val="center"/>
          </w:tcPr>
          <w:p>
            <w:pPr>
              <w:widowControl w:val="0"/>
              <w:jc w:val="center"/>
            </w:pPr>
            <w:r>
              <w:t>68</w:t>
            </w:r>
          </w:p>
        </w:tc>
        <w:tc>
          <w:tcPr>
            <w:tcW w:w="567" w:type="dxa"/>
            <w:vAlign w:val="center"/>
          </w:tcPr>
          <w:p>
            <w:pPr>
              <w:widowControl w:val="0"/>
              <w:jc w:val="center"/>
            </w:pPr>
            <w:r>
              <w:t>100</w:t>
            </w:r>
          </w:p>
        </w:tc>
        <w:tc>
          <w:tcPr>
            <w:tcW w:w="567" w:type="dxa"/>
            <w:gridSpan w:val="2"/>
            <w:vAlign w:val="center"/>
          </w:tcPr>
          <w:p>
            <w:pPr>
              <w:widowControl w:val="0"/>
              <w:jc w:val="center"/>
            </w:pPr>
            <w:r>
              <w:t>88</w:t>
            </w:r>
          </w:p>
        </w:tc>
        <w:tc>
          <w:tcPr>
            <w:tcW w:w="567" w:type="dxa"/>
            <w:gridSpan w:val="2"/>
            <w:vAlign w:val="center"/>
          </w:tcPr>
          <w:p>
            <w:pPr>
              <w:widowControl w:val="0"/>
              <w:jc w:val="center"/>
            </w:pPr>
            <w:r>
              <w:t>91</w:t>
            </w:r>
          </w:p>
        </w:tc>
        <w:tc>
          <w:tcPr>
            <w:tcW w:w="567" w:type="dxa"/>
            <w:gridSpan w:val="2"/>
            <w:vAlign w:val="center"/>
          </w:tcPr>
          <w:p>
            <w:pPr>
              <w:widowControl w:val="0"/>
              <w:jc w:val="center"/>
            </w:pPr>
            <w:r>
              <w:t>80</w:t>
            </w:r>
          </w:p>
        </w:tc>
        <w:tc>
          <w:tcPr>
            <w:tcW w:w="677" w:type="dxa"/>
            <w:gridSpan w:val="3"/>
            <w:vAlign w:val="center"/>
          </w:tcPr>
          <w:p>
            <w:pPr>
              <w:widowControl w:val="0"/>
              <w:jc w:val="center"/>
            </w:pPr>
            <w:r>
              <w:t>107</w:t>
            </w:r>
          </w:p>
        </w:tc>
        <w:tc>
          <w:tcPr>
            <w:tcW w:w="615" w:type="dxa"/>
            <w:gridSpan w:val="4"/>
            <w:vAlign w:val="center"/>
          </w:tcPr>
          <w:p>
            <w:pPr>
              <w:widowControl w:val="0"/>
              <w:jc w:val="center"/>
            </w:pPr>
            <w:r>
              <w:t>96</w:t>
            </w:r>
          </w:p>
        </w:tc>
        <w:tc>
          <w:tcPr>
            <w:tcW w:w="693" w:type="dxa"/>
            <w:gridSpan w:val="2"/>
            <w:vAlign w:val="center"/>
          </w:tcPr>
          <w:p>
            <w:pPr>
              <w:widowControl w:val="0"/>
              <w:jc w:val="center"/>
            </w:pPr>
            <w:r>
              <w:t>95</w:t>
            </w:r>
          </w:p>
        </w:tc>
        <w:tc>
          <w:tcPr>
            <w:tcW w:w="701" w:type="dxa"/>
            <w:gridSpan w:val="2"/>
            <w:vAlign w:val="center"/>
          </w:tcPr>
          <w:p>
            <w:pPr>
              <w:widowControl w:val="0"/>
              <w:jc w:val="center"/>
            </w:pPr>
            <w:r>
              <w:t>79</w:t>
            </w:r>
          </w:p>
        </w:tc>
      </w:tr>
      <w:tr>
        <w:trPr>
          <w:gridAfter w:val="1"/>
          <w:wAfter w:w="6" w:type="dxa"/>
          <w:trHeight w:val="20"/>
        </w:trPr>
        <w:tc>
          <w:tcPr>
            <w:tcW w:w="895" w:type="dxa"/>
            <w:gridSpan w:val="2"/>
            <w:vAlign w:val="center"/>
          </w:tcPr>
          <w:p>
            <w:pPr>
              <w:widowControl w:val="0"/>
              <w:jc w:val="center"/>
            </w:pPr>
            <w:r>
              <w:t>25</w:t>
            </w:r>
          </w:p>
        </w:tc>
        <w:tc>
          <w:tcPr>
            <w:tcW w:w="613" w:type="dxa"/>
            <w:gridSpan w:val="2"/>
            <w:vAlign w:val="center"/>
          </w:tcPr>
          <w:p>
            <w:pPr>
              <w:widowControl w:val="0"/>
              <w:jc w:val="center"/>
            </w:pPr>
            <w:r>
              <w:t>106</w:t>
            </w:r>
          </w:p>
        </w:tc>
        <w:tc>
          <w:tcPr>
            <w:tcW w:w="663" w:type="dxa"/>
            <w:gridSpan w:val="4"/>
            <w:vAlign w:val="center"/>
          </w:tcPr>
          <w:p>
            <w:pPr>
              <w:widowControl w:val="0"/>
              <w:jc w:val="center"/>
            </w:pPr>
            <w:r>
              <w:t>95</w:t>
            </w:r>
          </w:p>
        </w:tc>
        <w:tc>
          <w:tcPr>
            <w:tcW w:w="708" w:type="dxa"/>
            <w:gridSpan w:val="3"/>
            <w:vAlign w:val="center"/>
          </w:tcPr>
          <w:p>
            <w:pPr>
              <w:widowControl w:val="0"/>
              <w:jc w:val="center"/>
            </w:pPr>
            <w:r>
              <w:t>99</w:t>
            </w:r>
          </w:p>
        </w:tc>
        <w:tc>
          <w:tcPr>
            <w:tcW w:w="567" w:type="dxa"/>
            <w:gridSpan w:val="4"/>
            <w:vAlign w:val="center"/>
          </w:tcPr>
          <w:p>
            <w:pPr>
              <w:widowControl w:val="0"/>
              <w:jc w:val="center"/>
            </w:pPr>
            <w:r>
              <w:t>89</w:t>
            </w:r>
          </w:p>
        </w:tc>
        <w:tc>
          <w:tcPr>
            <w:tcW w:w="567" w:type="dxa"/>
            <w:vAlign w:val="center"/>
          </w:tcPr>
          <w:p>
            <w:pPr>
              <w:widowControl w:val="0"/>
              <w:jc w:val="center"/>
            </w:pPr>
            <w:r>
              <w:t>132</w:t>
            </w:r>
          </w:p>
        </w:tc>
        <w:tc>
          <w:tcPr>
            <w:tcW w:w="567" w:type="dxa"/>
            <w:gridSpan w:val="2"/>
            <w:vAlign w:val="center"/>
          </w:tcPr>
          <w:p>
            <w:pPr>
              <w:widowControl w:val="0"/>
              <w:jc w:val="center"/>
            </w:pPr>
            <w:r>
              <w:t>117</w:t>
            </w:r>
          </w:p>
        </w:tc>
        <w:tc>
          <w:tcPr>
            <w:tcW w:w="567" w:type="dxa"/>
            <w:gridSpan w:val="2"/>
            <w:vAlign w:val="center"/>
          </w:tcPr>
          <w:p>
            <w:pPr>
              <w:widowControl w:val="0"/>
              <w:jc w:val="center"/>
            </w:pPr>
            <w:r>
              <w:t>119</w:t>
            </w:r>
          </w:p>
        </w:tc>
        <w:tc>
          <w:tcPr>
            <w:tcW w:w="567" w:type="dxa"/>
            <w:gridSpan w:val="2"/>
            <w:vAlign w:val="center"/>
          </w:tcPr>
          <w:p>
            <w:pPr>
              <w:widowControl w:val="0"/>
              <w:jc w:val="center"/>
            </w:pPr>
            <w:r>
              <w:t>105</w:t>
            </w:r>
          </w:p>
        </w:tc>
        <w:tc>
          <w:tcPr>
            <w:tcW w:w="677" w:type="dxa"/>
            <w:gridSpan w:val="3"/>
            <w:vAlign w:val="center"/>
          </w:tcPr>
          <w:p>
            <w:pPr>
              <w:widowControl w:val="0"/>
              <w:jc w:val="center"/>
            </w:pPr>
            <w:r>
              <w:t>138</w:t>
            </w:r>
          </w:p>
        </w:tc>
        <w:tc>
          <w:tcPr>
            <w:tcW w:w="615" w:type="dxa"/>
            <w:gridSpan w:val="4"/>
            <w:vAlign w:val="center"/>
          </w:tcPr>
          <w:p>
            <w:pPr>
              <w:widowControl w:val="0"/>
              <w:jc w:val="center"/>
            </w:pPr>
            <w:r>
              <w:t>119</w:t>
            </w:r>
          </w:p>
        </w:tc>
        <w:tc>
          <w:tcPr>
            <w:tcW w:w="693" w:type="dxa"/>
            <w:gridSpan w:val="2"/>
            <w:vAlign w:val="center"/>
          </w:tcPr>
          <w:p>
            <w:pPr>
              <w:widowControl w:val="0"/>
              <w:jc w:val="center"/>
            </w:pPr>
            <w:r>
              <w:t>121</w:t>
            </w:r>
          </w:p>
        </w:tc>
        <w:tc>
          <w:tcPr>
            <w:tcW w:w="701" w:type="dxa"/>
            <w:gridSpan w:val="2"/>
            <w:vAlign w:val="center"/>
          </w:tcPr>
          <w:p>
            <w:pPr>
              <w:widowControl w:val="0"/>
              <w:jc w:val="center"/>
            </w:pPr>
            <w:r>
              <w:t>101</w:t>
            </w:r>
          </w:p>
        </w:tc>
      </w:tr>
      <w:tr>
        <w:trPr>
          <w:gridAfter w:val="1"/>
          <w:wAfter w:w="6" w:type="dxa"/>
          <w:trHeight w:val="20"/>
        </w:trPr>
        <w:tc>
          <w:tcPr>
            <w:tcW w:w="895" w:type="dxa"/>
            <w:gridSpan w:val="2"/>
            <w:vAlign w:val="center"/>
          </w:tcPr>
          <w:p>
            <w:pPr>
              <w:widowControl w:val="0"/>
              <w:jc w:val="center"/>
            </w:pPr>
            <w:r>
              <w:t>35</w:t>
            </w:r>
          </w:p>
        </w:tc>
        <w:tc>
          <w:tcPr>
            <w:tcW w:w="613" w:type="dxa"/>
            <w:gridSpan w:val="2"/>
            <w:vAlign w:val="center"/>
          </w:tcPr>
          <w:p>
            <w:pPr>
              <w:widowControl w:val="0"/>
              <w:jc w:val="center"/>
            </w:pPr>
            <w:r>
              <w:t>131</w:t>
            </w:r>
          </w:p>
        </w:tc>
        <w:tc>
          <w:tcPr>
            <w:tcW w:w="663" w:type="dxa"/>
            <w:gridSpan w:val="4"/>
            <w:vAlign w:val="center"/>
          </w:tcPr>
          <w:p>
            <w:pPr>
              <w:widowControl w:val="0"/>
              <w:jc w:val="center"/>
            </w:pPr>
            <w:r>
              <w:t>117</w:t>
            </w:r>
          </w:p>
        </w:tc>
        <w:tc>
          <w:tcPr>
            <w:tcW w:w="708" w:type="dxa"/>
            <w:gridSpan w:val="3"/>
            <w:vAlign w:val="center"/>
          </w:tcPr>
          <w:p>
            <w:pPr>
              <w:widowControl w:val="0"/>
              <w:jc w:val="center"/>
            </w:pPr>
            <w:r>
              <w:t>121</w:t>
            </w:r>
          </w:p>
        </w:tc>
        <w:tc>
          <w:tcPr>
            <w:tcW w:w="567" w:type="dxa"/>
            <w:gridSpan w:val="4"/>
            <w:vAlign w:val="center"/>
          </w:tcPr>
          <w:p>
            <w:pPr>
              <w:widowControl w:val="0"/>
              <w:jc w:val="center"/>
            </w:pPr>
            <w:r>
              <w:t>109</w:t>
            </w:r>
          </w:p>
        </w:tc>
        <w:tc>
          <w:tcPr>
            <w:tcW w:w="567" w:type="dxa"/>
            <w:vAlign w:val="center"/>
          </w:tcPr>
          <w:p>
            <w:pPr>
              <w:widowControl w:val="0"/>
              <w:jc w:val="center"/>
            </w:pPr>
            <w:r>
              <w:t>164</w:t>
            </w:r>
          </w:p>
        </w:tc>
        <w:tc>
          <w:tcPr>
            <w:tcW w:w="567" w:type="dxa"/>
            <w:gridSpan w:val="2"/>
            <w:vAlign w:val="center"/>
          </w:tcPr>
          <w:p>
            <w:pPr>
              <w:widowControl w:val="0"/>
              <w:jc w:val="center"/>
            </w:pPr>
            <w:r>
              <w:t>144</w:t>
            </w:r>
          </w:p>
        </w:tc>
        <w:tc>
          <w:tcPr>
            <w:tcW w:w="567" w:type="dxa"/>
            <w:gridSpan w:val="2"/>
            <w:vAlign w:val="center"/>
          </w:tcPr>
          <w:p>
            <w:pPr>
              <w:widowControl w:val="0"/>
              <w:jc w:val="center"/>
            </w:pPr>
            <w:r>
              <w:t>146</w:t>
            </w:r>
          </w:p>
        </w:tc>
        <w:tc>
          <w:tcPr>
            <w:tcW w:w="567" w:type="dxa"/>
            <w:gridSpan w:val="2"/>
            <w:vAlign w:val="center"/>
          </w:tcPr>
          <w:p>
            <w:pPr>
              <w:widowControl w:val="0"/>
              <w:jc w:val="center"/>
            </w:pPr>
            <w:r>
              <w:t>128</w:t>
            </w:r>
          </w:p>
        </w:tc>
        <w:tc>
          <w:tcPr>
            <w:tcW w:w="677" w:type="dxa"/>
            <w:gridSpan w:val="3"/>
            <w:vAlign w:val="center"/>
          </w:tcPr>
          <w:p>
            <w:pPr>
              <w:widowControl w:val="0"/>
              <w:jc w:val="center"/>
            </w:pPr>
            <w:r>
              <w:t>171</w:t>
            </w:r>
          </w:p>
        </w:tc>
        <w:tc>
          <w:tcPr>
            <w:tcW w:w="615" w:type="dxa"/>
            <w:gridSpan w:val="4"/>
            <w:vAlign w:val="center"/>
          </w:tcPr>
          <w:p>
            <w:pPr>
              <w:widowControl w:val="0"/>
              <w:jc w:val="center"/>
            </w:pPr>
            <w:r>
              <w:t>147</w:t>
            </w:r>
          </w:p>
        </w:tc>
        <w:tc>
          <w:tcPr>
            <w:tcW w:w="693" w:type="dxa"/>
            <w:gridSpan w:val="2"/>
            <w:vAlign w:val="center"/>
          </w:tcPr>
          <w:p>
            <w:pPr>
              <w:widowControl w:val="0"/>
              <w:jc w:val="center"/>
            </w:pPr>
            <w:r>
              <w:t>146</w:t>
            </w:r>
          </w:p>
        </w:tc>
        <w:tc>
          <w:tcPr>
            <w:tcW w:w="701" w:type="dxa"/>
            <w:gridSpan w:val="2"/>
            <w:vAlign w:val="center"/>
          </w:tcPr>
          <w:p>
            <w:pPr>
              <w:widowControl w:val="0"/>
              <w:jc w:val="center"/>
            </w:pPr>
            <w:r>
              <w:t>122</w:t>
            </w:r>
          </w:p>
        </w:tc>
      </w:tr>
      <w:tr>
        <w:trPr>
          <w:gridAfter w:val="1"/>
          <w:wAfter w:w="6" w:type="dxa"/>
          <w:trHeight w:val="20"/>
        </w:trPr>
        <w:tc>
          <w:tcPr>
            <w:tcW w:w="895" w:type="dxa"/>
            <w:gridSpan w:val="2"/>
            <w:vAlign w:val="center"/>
          </w:tcPr>
          <w:p>
            <w:pPr>
              <w:widowControl w:val="0"/>
              <w:jc w:val="center"/>
            </w:pPr>
            <w:r>
              <w:t>50</w:t>
            </w:r>
          </w:p>
        </w:tc>
        <w:tc>
          <w:tcPr>
            <w:tcW w:w="613" w:type="dxa"/>
            <w:gridSpan w:val="2"/>
            <w:vAlign w:val="center"/>
          </w:tcPr>
          <w:p>
            <w:pPr>
              <w:widowControl w:val="0"/>
              <w:jc w:val="center"/>
            </w:pPr>
            <w:r>
              <w:t>158</w:t>
            </w:r>
          </w:p>
        </w:tc>
        <w:tc>
          <w:tcPr>
            <w:tcW w:w="663" w:type="dxa"/>
            <w:gridSpan w:val="4"/>
            <w:vAlign w:val="center"/>
          </w:tcPr>
          <w:p>
            <w:pPr>
              <w:widowControl w:val="0"/>
              <w:jc w:val="center"/>
            </w:pPr>
            <w:r>
              <w:t>141</w:t>
            </w:r>
          </w:p>
        </w:tc>
        <w:tc>
          <w:tcPr>
            <w:tcW w:w="708" w:type="dxa"/>
            <w:gridSpan w:val="3"/>
            <w:vAlign w:val="center"/>
          </w:tcPr>
          <w:p>
            <w:pPr>
              <w:widowControl w:val="0"/>
              <w:jc w:val="center"/>
            </w:pPr>
            <w:r>
              <w:t>145</w:t>
            </w:r>
          </w:p>
        </w:tc>
        <w:tc>
          <w:tcPr>
            <w:tcW w:w="567" w:type="dxa"/>
            <w:gridSpan w:val="4"/>
            <w:vAlign w:val="center"/>
          </w:tcPr>
          <w:p>
            <w:pPr>
              <w:widowControl w:val="0"/>
              <w:jc w:val="center"/>
            </w:pPr>
            <w:r>
              <w:t>130</w:t>
            </w:r>
          </w:p>
        </w:tc>
        <w:tc>
          <w:tcPr>
            <w:tcW w:w="567" w:type="dxa"/>
            <w:vAlign w:val="center"/>
          </w:tcPr>
          <w:p>
            <w:pPr>
              <w:widowControl w:val="0"/>
              <w:jc w:val="center"/>
            </w:pPr>
            <w:r>
              <w:t>198</w:t>
            </w:r>
          </w:p>
        </w:tc>
        <w:tc>
          <w:tcPr>
            <w:tcW w:w="567" w:type="dxa"/>
            <w:gridSpan w:val="2"/>
            <w:vAlign w:val="center"/>
          </w:tcPr>
          <w:p>
            <w:pPr>
              <w:widowControl w:val="0"/>
              <w:jc w:val="center"/>
            </w:pPr>
            <w:r>
              <w:t>175</w:t>
            </w:r>
          </w:p>
        </w:tc>
        <w:tc>
          <w:tcPr>
            <w:tcW w:w="567" w:type="dxa"/>
            <w:gridSpan w:val="2"/>
            <w:vAlign w:val="center"/>
          </w:tcPr>
          <w:p>
            <w:pPr>
              <w:widowControl w:val="0"/>
              <w:jc w:val="center"/>
            </w:pPr>
            <w:r>
              <w:t>175</w:t>
            </w:r>
          </w:p>
        </w:tc>
        <w:tc>
          <w:tcPr>
            <w:tcW w:w="567" w:type="dxa"/>
            <w:gridSpan w:val="2"/>
            <w:vAlign w:val="center"/>
          </w:tcPr>
          <w:p>
            <w:pPr>
              <w:widowControl w:val="0"/>
              <w:jc w:val="center"/>
            </w:pPr>
            <w:r>
              <w:t>154</w:t>
            </w:r>
          </w:p>
        </w:tc>
        <w:tc>
          <w:tcPr>
            <w:tcW w:w="677" w:type="dxa"/>
            <w:gridSpan w:val="3"/>
            <w:vAlign w:val="center"/>
          </w:tcPr>
          <w:p>
            <w:pPr>
              <w:widowControl w:val="0"/>
              <w:jc w:val="center"/>
            </w:pPr>
            <w:r>
              <w:t>209</w:t>
            </w:r>
          </w:p>
        </w:tc>
        <w:tc>
          <w:tcPr>
            <w:tcW w:w="615" w:type="dxa"/>
            <w:gridSpan w:val="4"/>
            <w:vAlign w:val="center"/>
          </w:tcPr>
          <w:p>
            <w:pPr>
              <w:widowControl w:val="0"/>
              <w:jc w:val="center"/>
            </w:pPr>
            <w:r>
              <w:t>179</w:t>
            </w:r>
          </w:p>
        </w:tc>
        <w:tc>
          <w:tcPr>
            <w:tcW w:w="693" w:type="dxa"/>
            <w:gridSpan w:val="2"/>
            <w:vAlign w:val="center"/>
          </w:tcPr>
          <w:p>
            <w:pPr>
              <w:widowControl w:val="0"/>
              <w:jc w:val="center"/>
            </w:pPr>
            <w:r>
              <w:t>173</w:t>
            </w:r>
          </w:p>
        </w:tc>
        <w:tc>
          <w:tcPr>
            <w:tcW w:w="701" w:type="dxa"/>
            <w:gridSpan w:val="2"/>
            <w:vAlign w:val="center"/>
          </w:tcPr>
          <w:p>
            <w:pPr>
              <w:widowControl w:val="0"/>
              <w:jc w:val="center"/>
            </w:pPr>
            <w:r>
              <w:t>144</w:t>
            </w:r>
          </w:p>
        </w:tc>
      </w:tr>
      <w:tr>
        <w:trPr>
          <w:gridAfter w:val="1"/>
          <w:wAfter w:w="6" w:type="dxa"/>
          <w:trHeight w:val="20"/>
        </w:trPr>
        <w:tc>
          <w:tcPr>
            <w:tcW w:w="895" w:type="dxa"/>
            <w:gridSpan w:val="2"/>
            <w:vAlign w:val="center"/>
          </w:tcPr>
          <w:p>
            <w:pPr>
              <w:widowControl w:val="0"/>
              <w:jc w:val="center"/>
            </w:pPr>
            <w:r>
              <w:t>70</w:t>
            </w:r>
          </w:p>
        </w:tc>
        <w:tc>
          <w:tcPr>
            <w:tcW w:w="613" w:type="dxa"/>
            <w:gridSpan w:val="2"/>
            <w:vAlign w:val="center"/>
          </w:tcPr>
          <w:p>
            <w:pPr>
              <w:widowControl w:val="0"/>
              <w:jc w:val="center"/>
            </w:pPr>
            <w:r>
              <w:t>200</w:t>
            </w:r>
          </w:p>
        </w:tc>
        <w:tc>
          <w:tcPr>
            <w:tcW w:w="663" w:type="dxa"/>
            <w:gridSpan w:val="4"/>
            <w:vAlign w:val="center"/>
          </w:tcPr>
          <w:p>
            <w:pPr>
              <w:widowControl w:val="0"/>
              <w:jc w:val="center"/>
            </w:pPr>
            <w:r>
              <w:t>179</w:t>
            </w:r>
          </w:p>
        </w:tc>
        <w:tc>
          <w:tcPr>
            <w:tcW w:w="708" w:type="dxa"/>
            <w:gridSpan w:val="3"/>
            <w:vAlign w:val="center"/>
          </w:tcPr>
          <w:p>
            <w:pPr>
              <w:widowControl w:val="0"/>
              <w:jc w:val="center"/>
            </w:pPr>
            <w:r>
              <w:t>183</w:t>
            </w:r>
          </w:p>
        </w:tc>
        <w:tc>
          <w:tcPr>
            <w:tcW w:w="567" w:type="dxa"/>
            <w:gridSpan w:val="4"/>
            <w:vAlign w:val="center"/>
          </w:tcPr>
          <w:p>
            <w:pPr>
              <w:widowControl w:val="0"/>
              <w:jc w:val="center"/>
            </w:pPr>
            <w:r>
              <w:t>164</w:t>
            </w:r>
          </w:p>
        </w:tc>
        <w:tc>
          <w:tcPr>
            <w:tcW w:w="567" w:type="dxa"/>
            <w:vAlign w:val="center"/>
          </w:tcPr>
          <w:p>
            <w:pPr>
              <w:widowControl w:val="0"/>
              <w:jc w:val="center"/>
            </w:pPr>
            <w:r>
              <w:t>253</w:t>
            </w:r>
          </w:p>
        </w:tc>
        <w:tc>
          <w:tcPr>
            <w:tcW w:w="567" w:type="dxa"/>
            <w:gridSpan w:val="2"/>
            <w:vAlign w:val="center"/>
          </w:tcPr>
          <w:p>
            <w:pPr>
              <w:widowControl w:val="0"/>
              <w:jc w:val="center"/>
            </w:pPr>
            <w:r>
              <w:t>222</w:t>
            </w:r>
          </w:p>
        </w:tc>
        <w:tc>
          <w:tcPr>
            <w:tcW w:w="567" w:type="dxa"/>
            <w:gridSpan w:val="2"/>
            <w:vAlign w:val="center"/>
          </w:tcPr>
          <w:p>
            <w:pPr>
              <w:widowControl w:val="0"/>
              <w:jc w:val="center"/>
            </w:pPr>
            <w:r>
              <w:t>221</w:t>
            </w:r>
          </w:p>
        </w:tc>
        <w:tc>
          <w:tcPr>
            <w:tcW w:w="567" w:type="dxa"/>
            <w:gridSpan w:val="2"/>
            <w:vAlign w:val="center"/>
          </w:tcPr>
          <w:p>
            <w:pPr>
              <w:widowControl w:val="0"/>
              <w:jc w:val="center"/>
            </w:pPr>
            <w:r>
              <w:t>194</w:t>
            </w:r>
          </w:p>
        </w:tc>
        <w:tc>
          <w:tcPr>
            <w:tcW w:w="677" w:type="dxa"/>
            <w:gridSpan w:val="3"/>
            <w:vAlign w:val="center"/>
          </w:tcPr>
          <w:p>
            <w:pPr>
              <w:widowControl w:val="0"/>
              <w:jc w:val="center"/>
            </w:pPr>
            <w:r>
              <w:t>269</w:t>
            </w:r>
          </w:p>
        </w:tc>
        <w:tc>
          <w:tcPr>
            <w:tcW w:w="615" w:type="dxa"/>
            <w:gridSpan w:val="4"/>
            <w:vAlign w:val="center"/>
          </w:tcPr>
          <w:p>
            <w:pPr>
              <w:widowControl w:val="0"/>
              <w:jc w:val="center"/>
            </w:pPr>
            <w:r>
              <w:t>229</w:t>
            </w:r>
          </w:p>
        </w:tc>
        <w:tc>
          <w:tcPr>
            <w:tcW w:w="693" w:type="dxa"/>
            <w:gridSpan w:val="2"/>
            <w:vAlign w:val="center"/>
          </w:tcPr>
          <w:p>
            <w:pPr>
              <w:widowControl w:val="0"/>
              <w:jc w:val="center"/>
            </w:pPr>
            <w:r>
              <w:t>213</w:t>
            </w:r>
          </w:p>
        </w:tc>
        <w:tc>
          <w:tcPr>
            <w:tcW w:w="701" w:type="dxa"/>
            <w:gridSpan w:val="2"/>
            <w:vAlign w:val="center"/>
          </w:tcPr>
          <w:p>
            <w:pPr>
              <w:widowControl w:val="0"/>
              <w:jc w:val="center"/>
            </w:pPr>
            <w:r>
              <w:t>178</w:t>
            </w:r>
          </w:p>
        </w:tc>
      </w:tr>
      <w:tr>
        <w:trPr>
          <w:gridAfter w:val="1"/>
          <w:wAfter w:w="6" w:type="dxa"/>
          <w:trHeight w:val="20"/>
        </w:trPr>
        <w:tc>
          <w:tcPr>
            <w:tcW w:w="895" w:type="dxa"/>
            <w:gridSpan w:val="2"/>
            <w:vAlign w:val="center"/>
          </w:tcPr>
          <w:p>
            <w:pPr>
              <w:widowControl w:val="0"/>
              <w:jc w:val="center"/>
            </w:pPr>
            <w:r>
              <w:t>95</w:t>
            </w:r>
          </w:p>
        </w:tc>
        <w:tc>
          <w:tcPr>
            <w:tcW w:w="613" w:type="dxa"/>
            <w:gridSpan w:val="2"/>
            <w:vAlign w:val="center"/>
          </w:tcPr>
          <w:p>
            <w:pPr>
              <w:widowControl w:val="0"/>
              <w:jc w:val="center"/>
            </w:pPr>
            <w:r>
              <w:t>241</w:t>
            </w:r>
          </w:p>
        </w:tc>
        <w:tc>
          <w:tcPr>
            <w:tcW w:w="663" w:type="dxa"/>
            <w:gridSpan w:val="4"/>
            <w:vAlign w:val="center"/>
          </w:tcPr>
          <w:p>
            <w:pPr>
              <w:widowControl w:val="0"/>
              <w:jc w:val="center"/>
            </w:pPr>
            <w:r>
              <w:t>216</w:t>
            </w:r>
          </w:p>
        </w:tc>
        <w:tc>
          <w:tcPr>
            <w:tcW w:w="708" w:type="dxa"/>
            <w:gridSpan w:val="3"/>
            <w:vAlign w:val="center"/>
          </w:tcPr>
          <w:p>
            <w:pPr>
              <w:widowControl w:val="0"/>
              <w:jc w:val="center"/>
            </w:pPr>
            <w:r>
              <w:t>220</w:t>
            </w:r>
          </w:p>
        </w:tc>
        <w:tc>
          <w:tcPr>
            <w:tcW w:w="567" w:type="dxa"/>
            <w:gridSpan w:val="4"/>
            <w:vAlign w:val="center"/>
          </w:tcPr>
          <w:p>
            <w:pPr>
              <w:widowControl w:val="0"/>
              <w:jc w:val="center"/>
            </w:pPr>
            <w:r>
              <w:t>197</w:t>
            </w:r>
          </w:p>
        </w:tc>
        <w:tc>
          <w:tcPr>
            <w:tcW w:w="567" w:type="dxa"/>
            <w:vAlign w:val="center"/>
          </w:tcPr>
          <w:p>
            <w:pPr>
              <w:widowControl w:val="0"/>
              <w:jc w:val="center"/>
            </w:pPr>
            <w:r>
              <w:t>306</w:t>
            </w:r>
          </w:p>
        </w:tc>
        <w:tc>
          <w:tcPr>
            <w:tcW w:w="567" w:type="dxa"/>
            <w:gridSpan w:val="2"/>
            <w:vAlign w:val="center"/>
          </w:tcPr>
          <w:p>
            <w:pPr>
              <w:widowControl w:val="0"/>
              <w:jc w:val="center"/>
            </w:pPr>
            <w:r>
              <w:t>269</w:t>
            </w:r>
          </w:p>
        </w:tc>
        <w:tc>
          <w:tcPr>
            <w:tcW w:w="567" w:type="dxa"/>
            <w:gridSpan w:val="2"/>
            <w:vAlign w:val="center"/>
          </w:tcPr>
          <w:p>
            <w:pPr>
              <w:widowControl w:val="0"/>
              <w:jc w:val="center"/>
            </w:pPr>
            <w:r>
              <w:t>265</w:t>
            </w:r>
          </w:p>
        </w:tc>
        <w:tc>
          <w:tcPr>
            <w:tcW w:w="567" w:type="dxa"/>
            <w:gridSpan w:val="2"/>
            <w:vAlign w:val="center"/>
          </w:tcPr>
          <w:p>
            <w:pPr>
              <w:widowControl w:val="0"/>
              <w:jc w:val="center"/>
            </w:pPr>
            <w:r>
              <w:t>233</w:t>
            </w:r>
          </w:p>
        </w:tc>
        <w:tc>
          <w:tcPr>
            <w:tcW w:w="677" w:type="dxa"/>
            <w:gridSpan w:val="3"/>
            <w:vAlign w:val="center"/>
          </w:tcPr>
          <w:p>
            <w:pPr>
              <w:widowControl w:val="0"/>
              <w:jc w:val="center"/>
            </w:pPr>
            <w:r>
              <w:t>328</w:t>
            </w:r>
          </w:p>
        </w:tc>
        <w:tc>
          <w:tcPr>
            <w:tcW w:w="615" w:type="dxa"/>
            <w:gridSpan w:val="4"/>
            <w:vAlign w:val="center"/>
          </w:tcPr>
          <w:p>
            <w:pPr>
              <w:widowControl w:val="0"/>
              <w:jc w:val="center"/>
            </w:pPr>
            <w:r>
              <w:t>278</w:t>
            </w:r>
          </w:p>
        </w:tc>
        <w:tc>
          <w:tcPr>
            <w:tcW w:w="693" w:type="dxa"/>
            <w:gridSpan w:val="2"/>
            <w:vAlign w:val="center"/>
          </w:tcPr>
          <w:p>
            <w:pPr>
              <w:widowControl w:val="0"/>
              <w:jc w:val="center"/>
            </w:pPr>
            <w:r>
              <w:t>252</w:t>
            </w:r>
          </w:p>
        </w:tc>
        <w:tc>
          <w:tcPr>
            <w:tcW w:w="701" w:type="dxa"/>
            <w:gridSpan w:val="2"/>
            <w:vAlign w:val="center"/>
          </w:tcPr>
          <w:p>
            <w:pPr>
              <w:widowControl w:val="0"/>
              <w:jc w:val="center"/>
            </w:pPr>
            <w:r>
              <w:t>211</w:t>
            </w:r>
          </w:p>
        </w:tc>
      </w:tr>
      <w:tr>
        <w:trPr>
          <w:gridAfter w:val="1"/>
          <w:wAfter w:w="6" w:type="dxa"/>
          <w:trHeight w:val="20"/>
        </w:trPr>
        <w:tc>
          <w:tcPr>
            <w:tcW w:w="895" w:type="dxa"/>
            <w:gridSpan w:val="2"/>
            <w:vAlign w:val="center"/>
          </w:tcPr>
          <w:p>
            <w:pPr>
              <w:widowControl w:val="0"/>
              <w:jc w:val="center"/>
            </w:pPr>
            <w:r>
              <w:t>120</w:t>
            </w:r>
          </w:p>
        </w:tc>
        <w:tc>
          <w:tcPr>
            <w:tcW w:w="613" w:type="dxa"/>
            <w:gridSpan w:val="2"/>
            <w:vAlign w:val="center"/>
          </w:tcPr>
          <w:p>
            <w:pPr>
              <w:widowControl w:val="0"/>
              <w:jc w:val="center"/>
            </w:pPr>
            <w:r>
              <w:t>278</w:t>
            </w:r>
          </w:p>
        </w:tc>
        <w:tc>
          <w:tcPr>
            <w:tcW w:w="663" w:type="dxa"/>
            <w:gridSpan w:val="4"/>
            <w:vAlign w:val="center"/>
          </w:tcPr>
          <w:p>
            <w:pPr>
              <w:widowControl w:val="0"/>
              <w:jc w:val="center"/>
            </w:pPr>
            <w:r>
              <w:t>249</w:t>
            </w:r>
          </w:p>
        </w:tc>
        <w:tc>
          <w:tcPr>
            <w:tcW w:w="708" w:type="dxa"/>
            <w:gridSpan w:val="3"/>
            <w:vAlign w:val="center"/>
          </w:tcPr>
          <w:p>
            <w:pPr>
              <w:widowControl w:val="0"/>
              <w:jc w:val="center"/>
            </w:pPr>
            <w:r>
              <w:t>253</w:t>
            </w:r>
          </w:p>
        </w:tc>
        <w:tc>
          <w:tcPr>
            <w:tcW w:w="567" w:type="dxa"/>
            <w:gridSpan w:val="4"/>
            <w:vAlign w:val="center"/>
          </w:tcPr>
          <w:p>
            <w:pPr>
              <w:widowControl w:val="0"/>
              <w:jc w:val="center"/>
            </w:pPr>
            <w:r>
              <w:t>227</w:t>
            </w:r>
          </w:p>
        </w:tc>
        <w:tc>
          <w:tcPr>
            <w:tcW w:w="567" w:type="dxa"/>
            <w:vAlign w:val="center"/>
          </w:tcPr>
          <w:p>
            <w:pPr>
              <w:widowControl w:val="0"/>
              <w:jc w:val="center"/>
            </w:pPr>
            <w:r>
              <w:t>354</w:t>
            </w:r>
          </w:p>
        </w:tc>
        <w:tc>
          <w:tcPr>
            <w:tcW w:w="567" w:type="dxa"/>
            <w:gridSpan w:val="2"/>
            <w:vAlign w:val="center"/>
          </w:tcPr>
          <w:p>
            <w:pPr>
              <w:widowControl w:val="0"/>
              <w:jc w:val="center"/>
            </w:pPr>
            <w:r>
              <w:t>312</w:t>
            </w:r>
          </w:p>
        </w:tc>
        <w:tc>
          <w:tcPr>
            <w:tcW w:w="567" w:type="dxa"/>
            <w:gridSpan w:val="2"/>
            <w:vAlign w:val="center"/>
          </w:tcPr>
          <w:p>
            <w:pPr>
              <w:widowControl w:val="0"/>
              <w:jc w:val="center"/>
            </w:pPr>
            <w:r>
              <w:t>305</w:t>
            </w:r>
          </w:p>
        </w:tc>
        <w:tc>
          <w:tcPr>
            <w:tcW w:w="567" w:type="dxa"/>
            <w:gridSpan w:val="2"/>
            <w:vAlign w:val="center"/>
          </w:tcPr>
          <w:p>
            <w:pPr>
              <w:widowControl w:val="0"/>
              <w:jc w:val="center"/>
            </w:pPr>
            <w:r>
              <w:t>268</w:t>
            </w:r>
          </w:p>
        </w:tc>
        <w:tc>
          <w:tcPr>
            <w:tcW w:w="677" w:type="dxa"/>
            <w:gridSpan w:val="3"/>
            <w:vAlign w:val="center"/>
          </w:tcPr>
          <w:p>
            <w:pPr>
              <w:widowControl w:val="0"/>
              <w:jc w:val="center"/>
            </w:pPr>
            <w:r>
              <w:t>382</w:t>
            </w:r>
          </w:p>
        </w:tc>
        <w:tc>
          <w:tcPr>
            <w:tcW w:w="615" w:type="dxa"/>
            <w:gridSpan w:val="4"/>
            <w:vAlign w:val="center"/>
          </w:tcPr>
          <w:p>
            <w:pPr>
              <w:widowControl w:val="0"/>
              <w:jc w:val="center"/>
            </w:pPr>
            <w:r>
              <w:t>322</w:t>
            </w:r>
          </w:p>
        </w:tc>
        <w:tc>
          <w:tcPr>
            <w:tcW w:w="693" w:type="dxa"/>
            <w:gridSpan w:val="2"/>
            <w:vAlign w:val="center"/>
          </w:tcPr>
          <w:p>
            <w:pPr>
              <w:widowControl w:val="0"/>
              <w:jc w:val="center"/>
            </w:pPr>
            <w:r>
              <w:t>287</w:t>
            </w:r>
          </w:p>
        </w:tc>
        <w:tc>
          <w:tcPr>
            <w:tcW w:w="701" w:type="dxa"/>
            <w:gridSpan w:val="2"/>
            <w:vAlign w:val="center"/>
          </w:tcPr>
          <w:p>
            <w:pPr>
              <w:widowControl w:val="0"/>
              <w:jc w:val="center"/>
            </w:pPr>
            <w:r>
              <w:t>240</w:t>
            </w:r>
          </w:p>
        </w:tc>
      </w:tr>
      <w:tr>
        <w:trPr>
          <w:gridAfter w:val="1"/>
          <w:wAfter w:w="6" w:type="dxa"/>
          <w:trHeight w:val="20"/>
        </w:trPr>
        <w:tc>
          <w:tcPr>
            <w:tcW w:w="895" w:type="dxa"/>
            <w:gridSpan w:val="2"/>
            <w:vAlign w:val="center"/>
          </w:tcPr>
          <w:p>
            <w:pPr>
              <w:widowControl w:val="0"/>
              <w:jc w:val="center"/>
            </w:pPr>
            <w:r>
              <w:t>150</w:t>
            </w:r>
          </w:p>
        </w:tc>
        <w:tc>
          <w:tcPr>
            <w:tcW w:w="613" w:type="dxa"/>
            <w:gridSpan w:val="2"/>
            <w:vAlign w:val="center"/>
          </w:tcPr>
          <w:p>
            <w:pPr>
              <w:widowControl w:val="0"/>
              <w:jc w:val="center"/>
            </w:pPr>
            <w:r>
              <w:t>318</w:t>
            </w:r>
          </w:p>
        </w:tc>
        <w:tc>
          <w:tcPr>
            <w:tcW w:w="663" w:type="dxa"/>
            <w:gridSpan w:val="4"/>
            <w:vAlign w:val="center"/>
          </w:tcPr>
          <w:p>
            <w:pPr>
              <w:widowControl w:val="0"/>
              <w:jc w:val="center"/>
            </w:pPr>
            <w:r>
              <w:t>285</w:t>
            </w:r>
          </w:p>
        </w:tc>
        <w:tc>
          <w:tcPr>
            <w:tcW w:w="708" w:type="dxa"/>
            <w:gridSpan w:val="3"/>
            <w:vAlign w:val="center"/>
          </w:tcPr>
          <w:p>
            <w:pPr>
              <w:widowControl w:val="0"/>
              <w:jc w:val="center"/>
            </w:pPr>
            <w:r>
              <w:t>290</w:t>
            </w:r>
          </w:p>
        </w:tc>
        <w:tc>
          <w:tcPr>
            <w:tcW w:w="567" w:type="dxa"/>
            <w:gridSpan w:val="4"/>
            <w:vAlign w:val="center"/>
          </w:tcPr>
          <w:p>
            <w:pPr>
              <w:widowControl w:val="0"/>
              <w:jc w:val="center"/>
            </w:pPr>
            <w:r>
              <w:t>259</w:t>
            </w:r>
          </w:p>
        </w:tc>
        <w:tc>
          <w:tcPr>
            <w:tcW w:w="567" w:type="dxa"/>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677" w:type="dxa"/>
            <w:gridSpan w:val="3"/>
            <w:vAlign w:val="center"/>
          </w:tcPr>
          <w:p>
            <w:pPr>
              <w:widowControl w:val="0"/>
              <w:jc w:val="center"/>
            </w:pPr>
            <w:r>
              <w:t>441</w:t>
            </w:r>
          </w:p>
        </w:tc>
        <w:tc>
          <w:tcPr>
            <w:tcW w:w="615" w:type="dxa"/>
            <w:gridSpan w:val="4"/>
            <w:vAlign w:val="center"/>
          </w:tcPr>
          <w:p>
            <w:pPr>
              <w:widowControl w:val="0"/>
              <w:jc w:val="center"/>
            </w:pPr>
            <w:r>
              <w:t>371</w:t>
            </w:r>
          </w:p>
        </w:tc>
        <w:tc>
          <w:tcPr>
            <w:tcW w:w="693" w:type="dxa"/>
            <w:gridSpan w:val="2"/>
            <w:vAlign w:val="center"/>
          </w:tcPr>
          <w:p>
            <w:pPr>
              <w:widowControl w:val="0"/>
              <w:jc w:val="center"/>
            </w:pPr>
            <w:r>
              <w:t>324</w:t>
            </w:r>
          </w:p>
        </w:tc>
        <w:tc>
          <w:tcPr>
            <w:tcW w:w="701" w:type="dxa"/>
            <w:gridSpan w:val="2"/>
            <w:vAlign w:val="center"/>
          </w:tcPr>
          <w:p>
            <w:pPr>
              <w:widowControl w:val="0"/>
              <w:jc w:val="center"/>
            </w:pPr>
            <w:r>
              <w:t>271</w:t>
            </w:r>
          </w:p>
        </w:tc>
      </w:tr>
      <w:tr>
        <w:trPr>
          <w:gridAfter w:val="1"/>
          <w:wAfter w:w="6" w:type="dxa"/>
          <w:trHeight w:val="20"/>
        </w:trPr>
        <w:tc>
          <w:tcPr>
            <w:tcW w:w="895" w:type="dxa"/>
            <w:gridSpan w:val="2"/>
            <w:vAlign w:val="center"/>
          </w:tcPr>
          <w:p>
            <w:pPr>
              <w:widowControl w:val="0"/>
              <w:jc w:val="center"/>
            </w:pPr>
            <w:r>
              <w:t>185</w:t>
            </w:r>
          </w:p>
        </w:tc>
        <w:tc>
          <w:tcPr>
            <w:tcW w:w="613" w:type="dxa"/>
            <w:gridSpan w:val="2"/>
            <w:vAlign w:val="center"/>
          </w:tcPr>
          <w:p>
            <w:pPr>
              <w:widowControl w:val="0"/>
              <w:jc w:val="center"/>
            </w:pPr>
            <w:r>
              <w:t>362</w:t>
            </w:r>
          </w:p>
        </w:tc>
        <w:tc>
          <w:tcPr>
            <w:tcW w:w="663" w:type="dxa"/>
            <w:gridSpan w:val="4"/>
            <w:vAlign w:val="center"/>
          </w:tcPr>
          <w:p>
            <w:pPr>
              <w:widowControl w:val="0"/>
              <w:jc w:val="center"/>
            </w:pPr>
            <w:r>
              <w:t>324</w:t>
            </w:r>
          </w:p>
        </w:tc>
        <w:tc>
          <w:tcPr>
            <w:tcW w:w="708" w:type="dxa"/>
            <w:gridSpan w:val="3"/>
            <w:vAlign w:val="center"/>
          </w:tcPr>
          <w:p>
            <w:pPr>
              <w:widowControl w:val="0"/>
              <w:jc w:val="center"/>
            </w:pPr>
            <w:r>
              <w:t>329</w:t>
            </w:r>
          </w:p>
        </w:tc>
        <w:tc>
          <w:tcPr>
            <w:tcW w:w="567" w:type="dxa"/>
            <w:gridSpan w:val="4"/>
            <w:vAlign w:val="center"/>
          </w:tcPr>
          <w:p>
            <w:pPr>
              <w:widowControl w:val="0"/>
              <w:jc w:val="center"/>
            </w:pPr>
            <w:r>
              <w:t>295</w:t>
            </w:r>
          </w:p>
        </w:tc>
        <w:tc>
          <w:tcPr>
            <w:tcW w:w="567" w:type="dxa"/>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677" w:type="dxa"/>
            <w:gridSpan w:val="3"/>
            <w:vAlign w:val="center"/>
          </w:tcPr>
          <w:p>
            <w:pPr>
              <w:widowControl w:val="0"/>
              <w:jc w:val="center"/>
            </w:pPr>
            <w:r>
              <w:t>506</w:t>
            </w:r>
          </w:p>
        </w:tc>
        <w:tc>
          <w:tcPr>
            <w:tcW w:w="615" w:type="dxa"/>
            <w:gridSpan w:val="4"/>
            <w:vAlign w:val="center"/>
          </w:tcPr>
          <w:p>
            <w:pPr>
              <w:widowControl w:val="0"/>
              <w:jc w:val="center"/>
            </w:pPr>
            <w:r>
              <w:t>424</w:t>
            </w:r>
          </w:p>
        </w:tc>
        <w:tc>
          <w:tcPr>
            <w:tcW w:w="693" w:type="dxa"/>
            <w:gridSpan w:val="2"/>
            <w:vAlign w:val="center"/>
          </w:tcPr>
          <w:p>
            <w:pPr>
              <w:widowControl w:val="0"/>
              <w:jc w:val="center"/>
            </w:pPr>
            <w:r>
              <w:t>363</w:t>
            </w:r>
          </w:p>
        </w:tc>
        <w:tc>
          <w:tcPr>
            <w:tcW w:w="701" w:type="dxa"/>
            <w:gridSpan w:val="2"/>
            <w:vAlign w:val="center"/>
          </w:tcPr>
          <w:p>
            <w:pPr>
              <w:widowControl w:val="0"/>
              <w:jc w:val="center"/>
            </w:pPr>
            <w:r>
              <w:t>304</w:t>
            </w:r>
          </w:p>
        </w:tc>
      </w:tr>
      <w:tr>
        <w:trPr>
          <w:gridAfter w:val="1"/>
          <w:wAfter w:w="6" w:type="dxa"/>
          <w:trHeight w:val="20"/>
        </w:trPr>
        <w:tc>
          <w:tcPr>
            <w:tcW w:w="895" w:type="dxa"/>
            <w:gridSpan w:val="2"/>
            <w:vAlign w:val="center"/>
          </w:tcPr>
          <w:p>
            <w:pPr>
              <w:widowControl w:val="0"/>
              <w:jc w:val="center"/>
            </w:pPr>
            <w:r>
              <w:t>240</w:t>
            </w:r>
          </w:p>
        </w:tc>
        <w:tc>
          <w:tcPr>
            <w:tcW w:w="613" w:type="dxa"/>
            <w:gridSpan w:val="2"/>
            <w:vAlign w:val="center"/>
          </w:tcPr>
          <w:p>
            <w:pPr>
              <w:widowControl w:val="0"/>
              <w:jc w:val="center"/>
            </w:pPr>
            <w:r>
              <w:t>424</w:t>
            </w:r>
          </w:p>
        </w:tc>
        <w:tc>
          <w:tcPr>
            <w:tcW w:w="663" w:type="dxa"/>
            <w:gridSpan w:val="4"/>
            <w:vAlign w:val="center"/>
          </w:tcPr>
          <w:p>
            <w:pPr>
              <w:widowControl w:val="0"/>
              <w:jc w:val="center"/>
            </w:pPr>
            <w:r>
              <w:t>380</w:t>
            </w:r>
          </w:p>
        </w:tc>
        <w:tc>
          <w:tcPr>
            <w:tcW w:w="708" w:type="dxa"/>
            <w:gridSpan w:val="3"/>
            <w:vAlign w:val="center"/>
          </w:tcPr>
          <w:p>
            <w:pPr>
              <w:widowControl w:val="0"/>
              <w:jc w:val="center"/>
            </w:pPr>
            <w:r>
              <w:t>386</w:t>
            </w:r>
          </w:p>
        </w:tc>
        <w:tc>
          <w:tcPr>
            <w:tcW w:w="567" w:type="dxa"/>
            <w:gridSpan w:val="4"/>
            <w:vAlign w:val="center"/>
          </w:tcPr>
          <w:p>
            <w:pPr>
              <w:widowControl w:val="0"/>
              <w:jc w:val="center"/>
            </w:pPr>
            <w:r>
              <w:t>346</w:t>
            </w:r>
          </w:p>
        </w:tc>
        <w:tc>
          <w:tcPr>
            <w:tcW w:w="567" w:type="dxa"/>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677" w:type="dxa"/>
            <w:gridSpan w:val="3"/>
            <w:vAlign w:val="center"/>
          </w:tcPr>
          <w:p>
            <w:pPr>
              <w:widowControl w:val="0"/>
              <w:jc w:val="center"/>
            </w:pPr>
            <w:r>
              <w:t>599</w:t>
            </w:r>
          </w:p>
        </w:tc>
        <w:tc>
          <w:tcPr>
            <w:tcW w:w="615" w:type="dxa"/>
            <w:gridSpan w:val="4"/>
            <w:vAlign w:val="center"/>
          </w:tcPr>
          <w:p>
            <w:pPr>
              <w:widowControl w:val="0"/>
              <w:jc w:val="center"/>
            </w:pPr>
            <w:r>
              <w:t>500</w:t>
            </w:r>
          </w:p>
        </w:tc>
        <w:tc>
          <w:tcPr>
            <w:tcW w:w="693" w:type="dxa"/>
            <w:gridSpan w:val="2"/>
            <w:vAlign w:val="center"/>
          </w:tcPr>
          <w:p>
            <w:pPr>
              <w:widowControl w:val="0"/>
              <w:jc w:val="center"/>
            </w:pPr>
            <w:r>
              <w:t>419</w:t>
            </w:r>
          </w:p>
        </w:tc>
        <w:tc>
          <w:tcPr>
            <w:tcW w:w="701" w:type="dxa"/>
            <w:gridSpan w:val="2"/>
            <w:vAlign w:val="center"/>
          </w:tcPr>
          <w:p>
            <w:pPr>
              <w:widowControl w:val="0"/>
              <w:jc w:val="center"/>
            </w:pPr>
            <w:r>
              <w:t>351</w:t>
            </w:r>
          </w:p>
        </w:tc>
      </w:tr>
      <w:tr>
        <w:trPr>
          <w:gridAfter w:val="1"/>
          <w:wAfter w:w="6" w:type="dxa"/>
          <w:trHeight w:val="20"/>
        </w:trPr>
        <w:tc>
          <w:tcPr>
            <w:tcW w:w="895" w:type="dxa"/>
            <w:gridSpan w:val="2"/>
            <w:vAlign w:val="center"/>
          </w:tcPr>
          <w:p>
            <w:pPr>
              <w:widowControl w:val="0"/>
              <w:jc w:val="center"/>
            </w:pPr>
            <w:r>
              <w:t>300</w:t>
            </w:r>
          </w:p>
        </w:tc>
        <w:tc>
          <w:tcPr>
            <w:tcW w:w="613" w:type="dxa"/>
            <w:gridSpan w:val="2"/>
            <w:vAlign w:val="center"/>
          </w:tcPr>
          <w:p>
            <w:pPr>
              <w:widowControl w:val="0"/>
              <w:jc w:val="center"/>
            </w:pPr>
            <w:r>
              <w:t>486</w:t>
            </w:r>
          </w:p>
        </w:tc>
        <w:tc>
          <w:tcPr>
            <w:tcW w:w="663" w:type="dxa"/>
            <w:gridSpan w:val="4"/>
            <w:vAlign w:val="center"/>
          </w:tcPr>
          <w:p>
            <w:pPr>
              <w:widowControl w:val="0"/>
              <w:jc w:val="center"/>
            </w:pPr>
            <w:r>
              <w:t>435</w:t>
            </w:r>
          </w:p>
        </w:tc>
        <w:tc>
          <w:tcPr>
            <w:tcW w:w="708" w:type="dxa"/>
            <w:gridSpan w:val="3"/>
            <w:vAlign w:val="center"/>
          </w:tcPr>
          <w:p>
            <w:pPr>
              <w:widowControl w:val="0"/>
              <w:jc w:val="center"/>
            </w:pPr>
            <w:r>
              <w:t>442</w:t>
            </w:r>
          </w:p>
        </w:tc>
        <w:tc>
          <w:tcPr>
            <w:tcW w:w="567" w:type="dxa"/>
            <w:gridSpan w:val="4"/>
            <w:vAlign w:val="center"/>
          </w:tcPr>
          <w:p>
            <w:pPr>
              <w:widowControl w:val="0"/>
              <w:jc w:val="center"/>
            </w:pPr>
            <w:r>
              <w:t>396</w:t>
            </w:r>
          </w:p>
        </w:tc>
        <w:tc>
          <w:tcPr>
            <w:tcW w:w="567" w:type="dxa"/>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677" w:type="dxa"/>
            <w:gridSpan w:val="3"/>
            <w:vAlign w:val="center"/>
          </w:tcPr>
          <w:p>
            <w:pPr>
              <w:widowControl w:val="0"/>
              <w:jc w:val="center"/>
            </w:pPr>
            <w:r>
              <w:t>693</w:t>
            </w:r>
          </w:p>
        </w:tc>
        <w:tc>
          <w:tcPr>
            <w:tcW w:w="615" w:type="dxa"/>
            <w:gridSpan w:val="4"/>
            <w:vAlign w:val="center"/>
          </w:tcPr>
          <w:p>
            <w:pPr>
              <w:widowControl w:val="0"/>
              <w:jc w:val="center"/>
            </w:pPr>
            <w:r>
              <w:t>576</w:t>
            </w:r>
          </w:p>
        </w:tc>
        <w:tc>
          <w:tcPr>
            <w:tcW w:w="693" w:type="dxa"/>
            <w:gridSpan w:val="2"/>
            <w:vAlign w:val="center"/>
          </w:tcPr>
          <w:p>
            <w:pPr>
              <w:widowControl w:val="0"/>
              <w:jc w:val="center"/>
            </w:pPr>
            <w:r>
              <w:t>474</w:t>
            </w:r>
          </w:p>
        </w:tc>
        <w:tc>
          <w:tcPr>
            <w:tcW w:w="701" w:type="dxa"/>
            <w:gridSpan w:val="2"/>
            <w:vAlign w:val="center"/>
          </w:tcPr>
          <w:p>
            <w:pPr>
              <w:widowControl w:val="0"/>
              <w:jc w:val="center"/>
            </w:pPr>
            <w:r>
              <w:t>396</w:t>
            </w:r>
          </w:p>
        </w:tc>
      </w:tr>
      <w:tr>
        <w:trPr>
          <w:gridAfter w:val="1"/>
          <w:wAfter w:w="6" w:type="dxa"/>
          <w:trHeight w:val="20"/>
        </w:trPr>
        <w:tc>
          <w:tcPr>
            <w:tcW w:w="8400" w:type="dxa"/>
            <w:gridSpan w:val="33"/>
            <w:vAlign w:val="center"/>
          </w:tcPr>
          <w:p>
            <w:pPr>
              <w:widowControl w:val="0"/>
              <w:jc w:val="center"/>
            </w:pPr>
            <w:r>
              <w:t>Aliumininių laidininkų leistinoji ilgalaikė srovė, A</w:t>
            </w:r>
          </w:p>
        </w:tc>
      </w:tr>
      <w:tr>
        <w:trPr>
          <w:gridAfter w:val="1"/>
          <w:wAfter w:w="6" w:type="dxa"/>
          <w:trHeight w:val="20"/>
        </w:trPr>
        <w:tc>
          <w:tcPr>
            <w:tcW w:w="895" w:type="dxa"/>
            <w:gridSpan w:val="2"/>
            <w:vAlign w:val="center"/>
          </w:tcPr>
          <w:p>
            <w:pPr>
              <w:widowControl w:val="0"/>
              <w:jc w:val="center"/>
            </w:pPr>
            <w:r>
              <w:t>2,5</w:t>
            </w:r>
          </w:p>
        </w:tc>
        <w:tc>
          <w:tcPr>
            <w:tcW w:w="633" w:type="dxa"/>
            <w:gridSpan w:val="4"/>
            <w:vAlign w:val="center"/>
          </w:tcPr>
          <w:p>
            <w:pPr>
              <w:widowControl w:val="0"/>
              <w:jc w:val="center"/>
            </w:pPr>
            <w:r>
              <w:t>20</w:t>
            </w:r>
          </w:p>
        </w:tc>
        <w:tc>
          <w:tcPr>
            <w:tcW w:w="605" w:type="dxa"/>
            <w:vAlign w:val="center"/>
          </w:tcPr>
          <w:p>
            <w:pPr>
              <w:widowControl w:val="0"/>
              <w:jc w:val="center"/>
            </w:pPr>
            <w:r>
              <w:t>19</w:t>
            </w:r>
          </w:p>
        </w:tc>
        <w:tc>
          <w:tcPr>
            <w:tcW w:w="746" w:type="dxa"/>
            <w:gridSpan w:val="4"/>
            <w:vAlign w:val="center"/>
          </w:tcPr>
          <w:p>
            <w:pPr>
              <w:widowControl w:val="0"/>
              <w:jc w:val="center"/>
            </w:pPr>
            <w:r>
              <w:t>19,5</w:t>
            </w:r>
          </w:p>
        </w:tc>
        <w:tc>
          <w:tcPr>
            <w:tcW w:w="567" w:type="dxa"/>
            <w:gridSpan w:val="4"/>
            <w:vAlign w:val="center"/>
          </w:tcPr>
          <w:p>
            <w:pPr>
              <w:widowControl w:val="0"/>
              <w:jc w:val="center"/>
            </w:pPr>
            <w:r>
              <w:t>18</w:t>
            </w:r>
          </w:p>
        </w:tc>
        <w:tc>
          <w:tcPr>
            <w:tcW w:w="567" w:type="dxa"/>
            <w:vAlign w:val="center"/>
          </w:tcPr>
          <w:p>
            <w:pPr>
              <w:widowControl w:val="0"/>
              <w:jc w:val="center"/>
            </w:pPr>
            <w:r>
              <w:t>25</w:t>
            </w:r>
          </w:p>
        </w:tc>
        <w:tc>
          <w:tcPr>
            <w:tcW w:w="567" w:type="dxa"/>
            <w:gridSpan w:val="2"/>
            <w:vAlign w:val="center"/>
          </w:tcPr>
          <w:p>
            <w:pPr>
              <w:widowControl w:val="0"/>
              <w:jc w:val="center"/>
            </w:pPr>
            <w:r>
              <w:t>22</w:t>
            </w:r>
          </w:p>
        </w:tc>
        <w:tc>
          <w:tcPr>
            <w:tcW w:w="567" w:type="dxa"/>
            <w:gridSpan w:val="2"/>
            <w:vAlign w:val="center"/>
          </w:tcPr>
          <w:p>
            <w:pPr>
              <w:widowControl w:val="0"/>
              <w:jc w:val="center"/>
            </w:pPr>
            <w:r>
              <w:t>23</w:t>
            </w:r>
          </w:p>
        </w:tc>
        <w:tc>
          <w:tcPr>
            <w:tcW w:w="567" w:type="dxa"/>
            <w:gridSpan w:val="2"/>
            <w:vAlign w:val="center"/>
          </w:tcPr>
          <w:p>
            <w:pPr>
              <w:widowControl w:val="0"/>
              <w:jc w:val="center"/>
            </w:pPr>
            <w:r>
              <w:t>21</w:t>
            </w:r>
          </w:p>
        </w:tc>
        <w:tc>
          <w:tcPr>
            <w:tcW w:w="657" w:type="dxa"/>
            <w:gridSpan w:val="2"/>
            <w:vAlign w:val="center"/>
          </w:tcPr>
          <w:p>
            <w:pPr>
              <w:widowControl w:val="0"/>
              <w:jc w:val="center"/>
            </w:pPr>
            <w:r>
              <w:t>26</w:t>
            </w:r>
          </w:p>
        </w:tc>
        <w:tc>
          <w:tcPr>
            <w:tcW w:w="605" w:type="dxa"/>
            <w:gridSpan w:val="3"/>
            <w:vAlign w:val="center"/>
          </w:tcPr>
          <w:p>
            <w:pPr>
              <w:widowControl w:val="0"/>
              <w:jc w:val="center"/>
            </w:pPr>
            <w:r>
              <w:t>24</w:t>
            </w:r>
          </w:p>
        </w:tc>
        <w:tc>
          <w:tcPr>
            <w:tcW w:w="605" w:type="dxa"/>
            <w:gridSpan w:val="3"/>
            <w:vAlign w:val="center"/>
          </w:tcPr>
          <w:p>
            <w:pPr>
              <w:widowControl w:val="0"/>
              <w:jc w:val="center"/>
            </w:pPr>
            <w:r>
              <w:t>26</w:t>
            </w:r>
          </w:p>
        </w:tc>
        <w:tc>
          <w:tcPr>
            <w:tcW w:w="819" w:type="dxa"/>
            <w:gridSpan w:val="3"/>
            <w:vAlign w:val="center"/>
          </w:tcPr>
          <w:p>
            <w:pPr>
              <w:widowControl w:val="0"/>
              <w:jc w:val="center"/>
            </w:pPr>
            <w:r>
              <w:t>22</w:t>
            </w:r>
          </w:p>
        </w:tc>
      </w:tr>
      <w:tr>
        <w:trPr>
          <w:gridAfter w:val="1"/>
          <w:wAfter w:w="6" w:type="dxa"/>
          <w:trHeight w:val="20"/>
        </w:trPr>
        <w:tc>
          <w:tcPr>
            <w:tcW w:w="895" w:type="dxa"/>
            <w:gridSpan w:val="2"/>
            <w:vAlign w:val="center"/>
          </w:tcPr>
          <w:p>
            <w:pPr>
              <w:widowControl w:val="0"/>
              <w:jc w:val="center"/>
            </w:pPr>
            <w:r>
              <w:t>4</w:t>
            </w:r>
          </w:p>
        </w:tc>
        <w:tc>
          <w:tcPr>
            <w:tcW w:w="633" w:type="dxa"/>
            <w:gridSpan w:val="4"/>
            <w:vAlign w:val="center"/>
          </w:tcPr>
          <w:p>
            <w:pPr>
              <w:widowControl w:val="0"/>
              <w:jc w:val="center"/>
            </w:pPr>
            <w:r>
              <w:t>27</w:t>
            </w:r>
          </w:p>
        </w:tc>
        <w:tc>
          <w:tcPr>
            <w:tcW w:w="605" w:type="dxa"/>
            <w:vAlign w:val="center"/>
          </w:tcPr>
          <w:p>
            <w:pPr>
              <w:widowControl w:val="0"/>
              <w:jc w:val="center"/>
            </w:pPr>
            <w:r>
              <w:t>25</w:t>
            </w:r>
          </w:p>
        </w:tc>
        <w:tc>
          <w:tcPr>
            <w:tcW w:w="746" w:type="dxa"/>
            <w:gridSpan w:val="4"/>
            <w:vAlign w:val="center"/>
          </w:tcPr>
          <w:p>
            <w:pPr>
              <w:widowControl w:val="0"/>
              <w:jc w:val="center"/>
            </w:pPr>
            <w:r>
              <w:t>26</w:t>
            </w:r>
          </w:p>
        </w:tc>
        <w:tc>
          <w:tcPr>
            <w:tcW w:w="567" w:type="dxa"/>
            <w:gridSpan w:val="4"/>
            <w:vAlign w:val="center"/>
          </w:tcPr>
          <w:p>
            <w:pPr>
              <w:widowControl w:val="0"/>
              <w:jc w:val="center"/>
            </w:pPr>
            <w:r>
              <w:t>24</w:t>
            </w:r>
          </w:p>
        </w:tc>
        <w:tc>
          <w:tcPr>
            <w:tcW w:w="567" w:type="dxa"/>
            <w:vAlign w:val="center"/>
          </w:tcPr>
          <w:p>
            <w:pPr>
              <w:widowControl w:val="0"/>
              <w:jc w:val="center"/>
            </w:pPr>
            <w:r>
              <w:t>33</w:t>
            </w:r>
          </w:p>
        </w:tc>
        <w:tc>
          <w:tcPr>
            <w:tcW w:w="567" w:type="dxa"/>
            <w:gridSpan w:val="2"/>
            <w:vAlign w:val="center"/>
          </w:tcPr>
          <w:p>
            <w:pPr>
              <w:widowControl w:val="0"/>
              <w:jc w:val="center"/>
            </w:pPr>
            <w:r>
              <w:t>29</w:t>
            </w:r>
          </w:p>
        </w:tc>
        <w:tc>
          <w:tcPr>
            <w:tcW w:w="567" w:type="dxa"/>
            <w:gridSpan w:val="2"/>
            <w:vAlign w:val="center"/>
          </w:tcPr>
          <w:p>
            <w:pPr>
              <w:widowControl w:val="0"/>
              <w:jc w:val="center"/>
            </w:pPr>
            <w:r>
              <w:t>31</w:t>
            </w:r>
          </w:p>
        </w:tc>
        <w:tc>
          <w:tcPr>
            <w:tcW w:w="567" w:type="dxa"/>
            <w:gridSpan w:val="2"/>
            <w:vAlign w:val="center"/>
          </w:tcPr>
          <w:p>
            <w:pPr>
              <w:widowControl w:val="0"/>
              <w:jc w:val="center"/>
            </w:pPr>
            <w:r>
              <w:t>28</w:t>
            </w:r>
          </w:p>
        </w:tc>
        <w:tc>
          <w:tcPr>
            <w:tcW w:w="657" w:type="dxa"/>
            <w:gridSpan w:val="2"/>
            <w:vAlign w:val="center"/>
          </w:tcPr>
          <w:p>
            <w:pPr>
              <w:widowControl w:val="0"/>
              <w:jc w:val="center"/>
            </w:pPr>
            <w:r>
              <w:t>35</w:t>
            </w:r>
          </w:p>
        </w:tc>
        <w:tc>
          <w:tcPr>
            <w:tcW w:w="605" w:type="dxa"/>
            <w:gridSpan w:val="3"/>
            <w:vAlign w:val="center"/>
          </w:tcPr>
          <w:p>
            <w:pPr>
              <w:widowControl w:val="0"/>
              <w:jc w:val="center"/>
            </w:pPr>
            <w:r>
              <w:t>32</w:t>
            </w:r>
          </w:p>
        </w:tc>
        <w:tc>
          <w:tcPr>
            <w:tcW w:w="605" w:type="dxa"/>
            <w:gridSpan w:val="3"/>
            <w:vAlign w:val="center"/>
          </w:tcPr>
          <w:p>
            <w:pPr>
              <w:widowControl w:val="0"/>
              <w:jc w:val="center"/>
            </w:pPr>
            <w:r>
              <w:t>34</w:t>
            </w:r>
          </w:p>
        </w:tc>
        <w:tc>
          <w:tcPr>
            <w:tcW w:w="819" w:type="dxa"/>
            <w:gridSpan w:val="3"/>
            <w:vAlign w:val="center"/>
          </w:tcPr>
          <w:p>
            <w:pPr>
              <w:widowControl w:val="0"/>
              <w:jc w:val="center"/>
            </w:pPr>
            <w:r>
              <w:t>29</w:t>
            </w:r>
          </w:p>
        </w:tc>
      </w:tr>
      <w:tr>
        <w:trPr>
          <w:gridAfter w:val="1"/>
          <w:wAfter w:w="6" w:type="dxa"/>
          <w:trHeight w:val="20"/>
        </w:trPr>
        <w:tc>
          <w:tcPr>
            <w:tcW w:w="895" w:type="dxa"/>
            <w:gridSpan w:val="2"/>
            <w:vAlign w:val="center"/>
          </w:tcPr>
          <w:p>
            <w:pPr>
              <w:widowControl w:val="0"/>
              <w:jc w:val="center"/>
            </w:pPr>
            <w:r>
              <w:t>6</w:t>
            </w:r>
          </w:p>
        </w:tc>
        <w:tc>
          <w:tcPr>
            <w:tcW w:w="633" w:type="dxa"/>
            <w:gridSpan w:val="4"/>
            <w:vAlign w:val="center"/>
          </w:tcPr>
          <w:p>
            <w:pPr>
              <w:widowControl w:val="0"/>
              <w:jc w:val="center"/>
            </w:pPr>
            <w:r>
              <w:t>35</w:t>
            </w:r>
          </w:p>
        </w:tc>
        <w:tc>
          <w:tcPr>
            <w:tcW w:w="605" w:type="dxa"/>
            <w:vAlign w:val="center"/>
          </w:tcPr>
          <w:p>
            <w:pPr>
              <w:widowControl w:val="0"/>
              <w:jc w:val="center"/>
            </w:pPr>
            <w:r>
              <w:t>32</w:t>
            </w:r>
          </w:p>
        </w:tc>
        <w:tc>
          <w:tcPr>
            <w:tcW w:w="746" w:type="dxa"/>
            <w:gridSpan w:val="4"/>
            <w:vAlign w:val="center"/>
          </w:tcPr>
          <w:p>
            <w:pPr>
              <w:widowControl w:val="0"/>
              <w:jc w:val="center"/>
            </w:pPr>
            <w:r>
              <w:t>33</w:t>
            </w:r>
          </w:p>
        </w:tc>
        <w:tc>
          <w:tcPr>
            <w:tcW w:w="567" w:type="dxa"/>
            <w:gridSpan w:val="4"/>
            <w:vAlign w:val="center"/>
          </w:tcPr>
          <w:p>
            <w:pPr>
              <w:widowControl w:val="0"/>
              <w:jc w:val="center"/>
            </w:pPr>
            <w:r>
              <w:t>31</w:t>
            </w:r>
          </w:p>
        </w:tc>
        <w:tc>
          <w:tcPr>
            <w:tcW w:w="567" w:type="dxa"/>
            <w:vAlign w:val="center"/>
          </w:tcPr>
          <w:p>
            <w:pPr>
              <w:widowControl w:val="0"/>
              <w:jc w:val="center"/>
            </w:pPr>
            <w:r>
              <w:t>43</w:t>
            </w:r>
          </w:p>
        </w:tc>
        <w:tc>
          <w:tcPr>
            <w:tcW w:w="567" w:type="dxa"/>
            <w:gridSpan w:val="2"/>
            <w:vAlign w:val="center"/>
          </w:tcPr>
          <w:p>
            <w:pPr>
              <w:widowControl w:val="0"/>
              <w:jc w:val="center"/>
            </w:pPr>
            <w:r>
              <w:t>38</w:t>
            </w:r>
          </w:p>
        </w:tc>
        <w:tc>
          <w:tcPr>
            <w:tcW w:w="567" w:type="dxa"/>
            <w:gridSpan w:val="2"/>
            <w:vAlign w:val="center"/>
          </w:tcPr>
          <w:p>
            <w:pPr>
              <w:widowControl w:val="0"/>
              <w:jc w:val="center"/>
            </w:pPr>
            <w:r>
              <w:t>40</w:t>
            </w:r>
          </w:p>
        </w:tc>
        <w:tc>
          <w:tcPr>
            <w:tcW w:w="567" w:type="dxa"/>
            <w:gridSpan w:val="2"/>
            <w:vAlign w:val="center"/>
          </w:tcPr>
          <w:p>
            <w:pPr>
              <w:widowControl w:val="0"/>
              <w:jc w:val="center"/>
            </w:pPr>
            <w:r>
              <w:t>35</w:t>
            </w:r>
          </w:p>
        </w:tc>
        <w:tc>
          <w:tcPr>
            <w:tcW w:w="657" w:type="dxa"/>
            <w:gridSpan w:val="2"/>
            <w:vAlign w:val="center"/>
          </w:tcPr>
          <w:p>
            <w:pPr>
              <w:widowControl w:val="0"/>
              <w:jc w:val="center"/>
            </w:pPr>
            <w:r>
              <w:t>45</w:t>
            </w:r>
          </w:p>
        </w:tc>
        <w:tc>
          <w:tcPr>
            <w:tcW w:w="605" w:type="dxa"/>
            <w:gridSpan w:val="3"/>
            <w:vAlign w:val="center"/>
          </w:tcPr>
          <w:p>
            <w:pPr>
              <w:widowControl w:val="0"/>
              <w:jc w:val="center"/>
            </w:pPr>
            <w:r>
              <w:t>41</w:t>
            </w:r>
          </w:p>
        </w:tc>
        <w:tc>
          <w:tcPr>
            <w:tcW w:w="605" w:type="dxa"/>
            <w:gridSpan w:val="3"/>
            <w:vAlign w:val="center"/>
          </w:tcPr>
          <w:p>
            <w:pPr>
              <w:widowControl w:val="0"/>
              <w:jc w:val="center"/>
            </w:pPr>
            <w:r>
              <w:t>42</w:t>
            </w:r>
          </w:p>
        </w:tc>
        <w:tc>
          <w:tcPr>
            <w:tcW w:w="819" w:type="dxa"/>
            <w:gridSpan w:val="3"/>
            <w:vAlign w:val="center"/>
          </w:tcPr>
          <w:p>
            <w:pPr>
              <w:widowControl w:val="0"/>
              <w:jc w:val="center"/>
            </w:pPr>
            <w:r>
              <w:t>36</w:t>
            </w:r>
          </w:p>
        </w:tc>
      </w:tr>
      <w:tr>
        <w:trPr>
          <w:gridAfter w:val="1"/>
          <w:wAfter w:w="6" w:type="dxa"/>
          <w:trHeight w:val="20"/>
        </w:trPr>
        <w:tc>
          <w:tcPr>
            <w:tcW w:w="895" w:type="dxa"/>
            <w:gridSpan w:val="2"/>
            <w:vAlign w:val="center"/>
          </w:tcPr>
          <w:p>
            <w:pPr>
              <w:widowControl w:val="0"/>
              <w:jc w:val="center"/>
            </w:pPr>
            <w:r>
              <w:t>10</w:t>
            </w:r>
          </w:p>
        </w:tc>
        <w:tc>
          <w:tcPr>
            <w:tcW w:w="633" w:type="dxa"/>
            <w:gridSpan w:val="4"/>
            <w:vAlign w:val="center"/>
          </w:tcPr>
          <w:p>
            <w:pPr>
              <w:widowControl w:val="0"/>
              <w:jc w:val="center"/>
            </w:pPr>
            <w:r>
              <w:t>48</w:t>
            </w:r>
          </w:p>
        </w:tc>
        <w:tc>
          <w:tcPr>
            <w:tcW w:w="605" w:type="dxa"/>
            <w:vAlign w:val="center"/>
          </w:tcPr>
          <w:p>
            <w:pPr>
              <w:widowControl w:val="0"/>
              <w:jc w:val="center"/>
            </w:pPr>
            <w:r>
              <w:t>44</w:t>
            </w:r>
          </w:p>
        </w:tc>
        <w:tc>
          <w:tcPr>
            <w:tcW w:w="746" w:type="dxa"/>
            <w:gridSpan w:val="4"/>
            <w:vAlign w:val="center"/>
          </w:tcPr>
          <w:p>
            <w:pPr>
              <w:widowControl w:val="0"/>
              <w:jc w:val="center"/>
            </w:pPr>
            <w:r>
              <w:t>45</w:t>
            </w:r>
          </w:p>
        </w:tc>
        <w:tc>
          <w:tcPr>
            <w:tcW w:w="567" w:type="dxa"/>
            <w:gridSpan w:val="4"/>
            <w:vAlign w:val="center"/>
          </w:tcPr>
          <w:p>
            <w:pPr>
              <w:widowControl w:val="0"/>
              <w:jc w:val="center"/>
            </w:pPr>
            <w:r>
              <w:t>41</w:t>
            </w:r>
          </w:p>
        </w:tc>
        <w:tc>
          <w:tcPr>
            <w:tcW w:w="567" w:type="dxa"/>
            <w:vAlign w:val="center"/>
          </w:tcPr>
          <w:p>
            <w:pPr>
              <w:widowControl w:val="0"/>
              <w:jc w:val="center"/>
            </w:pPr>
            <w:r>
              <w:t>59</w:t>
            </w:r>
          </w:p>
        </w:tc>
        <w:tc>
          <w:tcPr>
            <w:tcW w:w="567" w:type="dxa"/>
            <w:gridSpan w:val="2"/>
            <w:vAlign w:val="center"/>
          </w:tcPr>
          <w:p>
            <w:pPr>
              <w:widowControl w:val="0"/>
              <w:jc w:val="center"/>
            </w:pPr>
            <w:r>
              <w:t>52</w:t>
            </w:r>
          </w:p>
        </w:tc>
        <w:tc>
          <w:tcPr>
            <w:tcW w:w="567" w:type="dxa"/>
            <w:gridSpan w:val="2"/>
            <w:vAlign w:val="center"/>
          </w:tcPr>
          <w:p>
            <w:pPr>
              <w:widowControl w:val="0"/>
              <w:jc w:val="center"/>
            </w:pPr>
            <w:r>
              <w:t>54</w:t>
            </w:r>
          </w:p>
        </w:tc>
        <w:tc>
          <w:tcPr>
            <w:tcW w:w="567" w:type="dxa"/>
            <w:gridSpan w:val="2"/>
            <w:vAlign w:val="center"/>
          </w:tcPr>
          <w:p>
            <w:pPr>
              <w:widowControl w:val="0"/>
              <w:jc w:val="center"/>
            </w:pPr>
            <w:r>
              <w:t>48</w:t>
            </w:r>
          </w:p>
        </w:tc>
        <w:tc>
          <w:tcPr>
            <w:tcW w:w="657" w:type="dxa"/>
            <w:gridSpan w:val="2"/>
            <w:vAlign w:val="center"/>
          </w:tcPr>
          <w:p>
            <w:pPr>
              <w:widowControl w:val="0"/>
              <w:jc w:val="center"/>
            </w:pPr>
            <w:r>
              <w:t>52</w:t>
            </w:r>
          </w:p>
        </w:tc>
        <w:tc>
          <w:tcPr>
            <w:tcW w:w="605" w:type="dxa"/>
            <w:gridSpan w:val="3"/>
            <w:vAlign w:val="center"/>
          </w:tcPr>
          <w:p>
            <w:pPr>
              <w:widowControl w:val="0"/>
              <w:jc w:val="center"/>
            </w:pPr>
            <w:r>
              <w:t>57</w:t>
            </w:r>
          </w:p>
        </w:tc>
        <w:tc>
          <w:tcPr>
            <w:tcW w:w="605" w:type="dxa"/>
            <w:gridSpan w:val="3"/>
            <w:vAlign w:val="center"/>
          </w:tcPr>
          <w:p>
            <w:pPr>
              <w:widowControl w:val="0"/>
              <w:jc w:val="center"/>
            </w:pPr>
            <w:r>
              <w:t>56</w:t>
            </w:r>
          </w:p>
        </w:tc>
        <w:tc>
          <w:tcPr>
            <w:tcW w:w="819" w:type="dxa"/>
            <w:gridSpan w:val="3"/>
            <w:vAlign w:val="center"/>
          </w:tcPr>
          <w:p>
            <w:pPr>
              <w:widowControl w:val="0"/>
              <w:jc w:val="center"/>
            </w:pPr>
            <w:r>
              <w:t>47</w:t>
            </w:r>
          </w:p>
        </w:tc>
      </w:tr>
      <w:tr>
        <w:trPr>
          <w:gridAfter w:val="1"/>
          <w:wAfter w:w="6" w:type="dxa"/>
          <w:trHeight w:val="20"/>
        </w:trPr>
        <w:tc>
          <w:tcPr>
            <w:tcW w:w="895" w:type="dxa"/>
            <w:gridSpan w:val="2"/>
            <w:vAlign w:val="center"/>
          </w:tcPr>
          <w:p>
            <w:pPr>
              <w:widowControl w:val="0"/>
              <w:jc w:val="center"/>
            </w:pPr>
            <w:r>
              <w:t>16</w:t>
            </w:r>
          </w:p>
        </w:tc>
        <w:tc>
          <w:tcPr>
            <w:tcW w:w="633" w:type="dxa"/>
            <w:gridSpan w:val="4"/>
            <w:vAlign w:val="center"/>
          </w:tcPr>
          <w:p>
            <w:pPr>
              <w:widowControl w:val="0"/>
              <w:jc w:val="center"/>
            </w:pPr>
            <w:r>
              <w:t>64</w:t>
            </w:r>
          </w:p>
        </w:tc>
        <w:tc>
          <w:tcPr>
            <w:tcW w:w="605" w:type="dxa"/>
            <w:vAlign w:val="center"/>
          </w:tcPr>
          <w:p>
            <w:pPr>
              <w:widowControl w:val="0"/>
              <w:jc w:val="center"/>
            </w:pPr>
            <w:r>
              <w:t>58</w:t>
            </w:r>
          </w:p>
        </w:tc>
        <w:tc>
          <w:tcPr>
            <w:tcW w:w="746" w:type="dxa"/>
            <w:gridSpan w:val="4"/>
            <w:vAlign w:val="center"/>
          </w:tcPr>
          <w:p>
            <w:pPr>
              <w:widowControl w:val="0"/>
              <w:jc w:val="center"/>
            </w:pPr>
            <w:r>
              <w:t>60</w:t>
            </w:r>
          </w:p>
        </w:tc>
        <w:tc>
          <w:tcPr>
            <w:tcW w:w="567" w:type="dxa"/>
            <w:gridSpan w:val="4"/>
            <w:vAlign w:val="center"/>
          </w:tcPr>
          <w:p>
            <w:pPr>
              <w:widowControl w:val="0"/>
              <w:jc w:val="center"/>
            </w:pPr>
            <w:r>
              <w:t>55</w:t>
            </w:r>
          </w:p>
        </w:tc>
        <w:tc>
          <w:tcPr>
            <w:tcW w:w="567" w:type="dxa"/>
            <w:vAlign w:val="center"/>
          </w:tcPr>
          <w:p>
            <w:pPr>
              <w:widowControl w:val="0"/>
              <w:jc w:val="center"/>
            </w:pPr>
            <w:r>
              <w:t>79</w:t>
            </w:r>
          </w:p>
        </w:tc>
        <w:tc>
          <w:tcPr>
            <w:tcW w:w="567" w:type="dxa"/>
            <w:gridSpan w:val="2"/>
            <w:vAlign w:val="center"/>
          </w:tcPr>
          <w:p>
            <w:pPr>
              <w:widowControl w:val="0"/>
              <w:jc w:val="center"/>
            </w:pPr>
            <w:r>
              <w:t>71</w:t>
            </w:r>
          </w:p>
        </w:tc>
        <w:tc>
          <w:tcPr>
            <w:tcW w:w="567" w:type="dxa"/>
            <w:gridSpan w:val="2"/>
            <w:vAlign w:val="center"/>
          </w:tcPr>
          <w:p>
            <w:pPr>
              <w:widowControl w:val="0"/>
              <w:jc w:val="center"/>
            </w:pPr>
            <w:r>
              <w:t>72</w:t>
            </w:r>
          </w:p>
        </w:tc>
        <w:tc>
          <w:tcPr>
            <w:tcW w:w="567" w:type="dxa"/>
            <w:gridSpan w:val="2"/>
            <w:vAlign w:val="center"/>
          </w:tcPr>
          <w:p>
            <w:pPr>
              <w:widowControl w:val="0"/>
              <w:jc w:val="center"/>
            </w:pPr>
            <w:r>
              <w:t>64</w:t>
            </w:r>
          </w:p>
        </w:tc>
        <w:tc>
          <w:tcPr>
            <w:tcW w:w="657" w:type="dxa"/>
            <w:gridSpan w:val="2"/>
            <w:vAlign w:val="center"/>
          </w:tcPr>
          <w:p>
            <w:pPr>
              <w:widowControl w:val="0"/>
              <w:jc w:val="center"/>
            </w:pPr>
            <w:r>
              <w:t>84</w:t>
            </w:r>
          </w:p>
        </w:tc>
        <w:tc>
          <w:tcPr>
            <w:tcW w:w="605" w:type="dxa"/>
            <w:gridSpan w:val="3"/>
            <w:vAlign w:val="center"/>
          </w:tcPr>
          <w:p>
            <w:pPr>
              <w:widowControl w:val="0"/>
              <w:jc w:val="center"/>
            </w:pPr>
            <w:r>
              <w:t>76</w:t>
            </w:r>
          </w:p>
        </w:tc>
        <w:tc>
          <w:tcPr>
            <w:tcW w:w="605" w:type="dxa"/>
            <w:gridSpan w:val="3"/>
            <w:vAlign w:val="center"/>
          </w:tcPr>
          <w:p>
            <w:pPr>
              <w:widowControl w:val="0"/>
              <w:jc w:val="center"/>
            </w:pPr>
            <w:r>
              <w:t>73</w:t>
            </w:r>
          </w:p>
        </w:tc>
        <w:tc>
          <w:tcPr>
            <w:tcW w:w="819" w:type="dxa"/>
            <w:gridSpan w:val="3"/>
            <w:vAlign w:val="center"/>
          </w:tcPr>
          <w:p>
            <w:pPr>
              <w:widowControl w:val="0"/>
              <w:jc w:val="center"/>
            </w:pPr>
            <w:r>
              <w:t>61</w:t>
            </w:r>
          </w:p>
        </w:tc>
      </w:tr>
      <w:tr>
        <w:trPr>
          <w:gridAfter w:val="1"/>
          <w:wAfter w:w="6" w:type="dxa"/>
          <w:trHeight w:val="20"/>
        </w:trPr>
        <w:tc>
          <w:tcPr>
            <w:tcW w:w="895" w:type="dxa"/>
            <w:gridSpan w:val="2"/>
            <w:vAlign w:val="center"/>
          </w:tcPr>
          <w:p>
            <w:pPr>
              <w:widowControl w:val="0"/>
              <w:jc w:val="center"/>
            </w:pPr>
            <w:r>
              <w:t>25</w:t>
            </w:r>
          </w:p>
        </w:tc>
        <w:tc>
          <w:tcPr>
            <w:tcW w:w="633" w:type="dxa"/>
            <w:gridSpan w:val="4"/>
            <w:vAlign w:val="center"/>
          </w:tcPr>
          <w:p>
            <w:pPr>
              <w:widowControl w:val="0"/>
              <w:jc w:val="center"/>
            </w:pPr>
            <w:r>
              <w:t>84</w:t>
            </w:r>
          </w:p>
        </w:tc>
        <w:tc>
          <w:tcPr>
            <w:tcW w:w="605" w:type="dxa"/>
            <w:vAlign w:val="center"/>
          </w:tcPr>
          <w:p>
            <w:pPr>
              <w:widowControl w:val="0"/>
              <w:jc w:val="center"/>
            </w:pPr>
            <w:r>
              <w:t>76</w:t>
            </w:r>
          </w:p>
        </w:tc>
        <w:tc>
          <w:tcPr>
            <w:tcW w:w="746" w:type="dxa"/>
            <w:gridSpan w:val="4"/>
            <w:vAlign w:val="center"/>
          </w:tcPr>
          <w:p>
            <w:pPr>
              <w:widowControl w:val="0"/>
              <w:jc w:val="center"/>
            </w:pPr>
            <w:r>
              <w:t>78</w:t>
            </w:r>
          </w:p>
        </w:tc>
        <w:tc>
          <w:tcPr>
            <w:tcW w:w="567" w:type="dxa"/>
            <w:gridSpan w:val="4"/>
            <w:vAlign w:val="center"/>
          </w:tcPr>
          <w:p>
            <w:pPr>
              <w:widowControl w:val="0"/>
              <w:jc w:val="center"/>
            </w:pPr>
            <w:r>
              <w:t>71</w:t>
            </w:r>
          </w:p>
        </w:tc>
        <w:tc>
          <w:tcPr>
            <w:tcW w:w="567" w:type="dxa"/>
            <w:vAlign w:val="center"/>
          </w:tcPr>
          <w:p>
            <w:pPr>
              <w:widowControl w:val="0"/>
              <w:jc w:val="center"/>
            </w:pPr>
            <w:r>
              <w:t>105</w:t>
            </w:r>
          </w:p>
        </w:tc>
        <w:tc>
          <w:tcPr>
            <w:tcW w:w="567" w:type="dxa"/>
            <w:gridSpan w:val="2"/>
            <w:vAlign w:val="center"/>
          </w:tcPr>
          <w:p>
            <w:pPr>
              <w:widowControl w:val="0"/>
              <w:jc w:val="center"/>
            </w:pPr>
            <w:r>
              <w:t>93</w:t>
            </w:r>
          </w:p>
        </w:tc>
        <w:tc>
          <w:tcPr>
            <w:tcW w:w="567" w:type="dxa"/>
            <w:gridSpan w:val="2"/>
            <w:vAlign w:val="center"/>
          </w:tcPr>
          <w:p>
            <w:pPr>
              <w:widowControl w:val="0"/>
              <w:jc w:val="center"/>
            </w:pPr>
            <w:r>
              <w:t>94</w:t>
            </w:r>
          </w:p>
        </w:tc>
        <w:tc>
          <w:tcPr>
            <w:tcW w:w="567" w:type="dxa"/>
            <w:gridSpan w:val="2"/>
            <w:vAlign w:val="center"/>
          </w:tcPr>
          <w:p>
            <w:pPr>
              <w:widowControl w:val="0"/>
              <w:jc w:val="center"/>
            </w:pPr>
            <w:r>
              <w:t>84</w:t>
            </w:r>
          </w:p>
        </w:tc>
        <w:tc>
          <w:tcPr>
            <w:tcW w:w="657" w:type="dxa"/>
            <w:gridSpan w:val="2"/>
            <w:vAlign w:val="center"/>
          </w:tcPr>
          <w:p>
            <w:pPr>
              <w:widowControl w:val="0"/>
              <w:jc w:val="center"/>
            </w:pPr>
            <w:r>
              <w:t>101</w:t>
            </w:r>
          </w:p>
        </w:tc>
        <w:tc>
          <w:tcPr>
            <w:tcW w:w="605" w:type="dxa"/>
            <w:gridSpan w:val="3"/>
            <w:vAlign w:val="center"/>
          </w:tcPr>
          <w:p>
            <w:pPr>
              <w:widowControl w:val="0"/>
              <w:jc w:val="center"/>
            </w:pPr>
            <w:r>
              <w:t>90</w:t>
            </w:r>
          </w:p>
        </w:tc>
        <w:tc>
          <w:tcPr>
            <w:tcW w:w="605" w:type="dxa"/>
            <w:gridSpan w:val="3"/>
            <w:vAlign w:val="center"/>
          </w:tcPr>
          <w:p>
            <w:pPr>
              <w:widowControl w:val="0"/>
              <w:jc w:val="center"/>
            </w:pPr>
            <w:r>
              <w:t>93</w:t>
            </w:r>
          </w:p>
        </w:tc>
        <w:tc>
          <w:tcPr>
            <w:tcW w:w="819" w:type="dxa"/>
            <w:gridSpan w:val="3"/>
            <w:vAlign w:val="center"/>
          </w:tcPr>
          <w:p>
            <w:pPr>
              <w:widowControl w:val="0"/>
              <w:jc w:val="center"/>
            </w:pPr>
            <w:r>
              <w:t>78</w:t>
            </w:r>
          </w:p>
        </w:tc>
      </w:tr>
      <w:tr>
        <w:trPr>
          <w:gridAfter w:val="1"/>
          <w:wAfter w:w="6" w:type="dxa"/>
          <w:trHeight w:val="20"/>
        </w:trPr>
        <w:tc>
          <w:tcPr>
            <w:tcW w:w="895" w:type="dxa"/>
            <w:gridSpan w:val="2"/>
            <w:vAlign w:val="center"/>
          </w:tcPr>
          <w:p>
            <w:pPr>
              <w:widowControl w:val="0"/>
              <w:jc w:val="center"/>
            </w:pPr>
            <w:r>
              <w:t>35</w:t>
            </w:r>
          </w:p>
        </w:tc>
        <w:tc>
          <w:tcPr>
            <w:tcW w:w="633" w:type="dxa"/>
            <w:gridSpan w:val="4"/>
            <w:vAlign w:val="center"/>
          </w:tcPr>
          <w:p>
            <w:pPr>
              <w:widowControl w:val="0"/>
              <w:jc w:val="center"/>
            </w:pPr>
            <w:r>
              <w:t>103</w:t>
            </w:r>
          </w:p>
        </w:tc>
        <w:tc>
          <w:tcPr>
            <w:tcW w:w="605" w:type="dxa"/>
            <w:vAlign w:val="center"/>
          </w:tcPr>
          <w:p>
            <w:pPr>
              <w:widowControl w:val="0"/>
              <w:jc w:val="center"/>
            </w:pPr>
            <w:r>
              <w:t>94</w:t>
            </w:r>
          </w:p>
        </w:tc>
        <w:tc>
          <w:tcPr>
            <w:tcW w:w="746" w:type="dxa"/>
            <w:gridSpan w:val="4"/>
            <w:vAlign w:val="center"/>
          </w:tcPr>
          <w:p>
            <w:pPr>
              <w:widowControl w:val="0"/>
              <w:jc w:val="center"/>
            </w:pPr>
            <w:r>
              <w:t>96</w:t>
            </w:r>
          </w:p>
        </w:tc>
        <w:tc>
          <w:tcPr>
            <w:tcW w:w="567" w:type="dxa"/>
            <w:gridSpan w:val="4"/>
            <w:vAlign w:val="center"/>
          </w:tcPr>
          <w:p>
            <w:pPr>
              <w:widowControl w:val="0"/>
              <w:jc w:val="center"/>
            </w:pPr>
            <w:r>
              <w:t>87</w:t>
            </w:r>
          </w:p>
        </w:tc>
        <w:tc>
          <w:tcPr>
            <w:tcW w:w="567" w:type="dxa"/>
            <w:vAlign w:val="center"/>
          </w:tcPr>
          <w:p>
            <w:pPr>
              <w:widowControl w:val="0"/>
              <w:jc w:val="center"/>
            </w:pPr>
            <w:r>
              <w:t>130</w:t>
            </w:r>
          </w:p>
        </w:tc>
        <w:tc>
          <w:tcPr>
            <w:tcW w:w="567" w:type="dxa"/>
            <w:gridSpan w:val="2"/>
            <w:vAlign w:val="center"/>
          </w:tcPr>
          <w:p>
            <w:pPr>
              <w:widowControl w:val="0"/>
              <w:jc w:val="center"/>
            </w:pPr>
            <w:r>
              <w:t>116</w:t>
            </w:r>
          </w:p>
        </w:tc>
        <w:tc>
          <w:tcPr>
            <w:tcW w:w="567" w:type="dxa"/>
            <w:gridSpan w:val="2"/>
            <w:vAlign w:val="center"/>
          </w:tcPr>
          <w:p>
            <w:pPr>
              <w:widowControl w:val="0"/>
              <w:jc w:val="center"/>
            </w:pPr>
            <w:r>
              <w:t>115</w:t>
            </w:r>
          </w:p>
        </w:tc>
        <w:tc>
          <w:tcPr>
            <w:tcW w:w="567" w:type="dxa"/>
            <w:gridSpan w:val="2"/>
            <w:vAlign w:val="center"/>
          </w:tcPr>
          <w:p>
            <w:pPr>
              <w:widowControl w:val="0"/>
              <w:jc w:val="center"/>
            </w:pPr>
            <w:r>
              <w:t>103</w:t>
            </w:r>
          </w:p>
        </w:tc>
        <w:tc>
          <w:tcPr>
            <w:tcW w:w="657" w:type="dxa"/>
            <w:gridSpan w:val="2"/>
            <w:vAlign w:val="center"/>
          </w:tcPr>
          <w:p>
            <w:pPr>
              <w:widowControl w:val="0"/>
              <w:jc w:val="center"/>
            </w:pPr>
            <w:r>
              <w:t>126</w:t>
            </w:r>
          </w:p>
        </w:tc>
        <w:tc>
          <w:tcPr>
            <w:tcW w:w="605" w:type="dxa"/>
            <w:gridSpan w:val="3"/>
            <w:vAlign w:val="center"/>
          </w:tcPr>
          <w:p>
            <w:pPr>
              <w:widowControl w:val="0"/>
              <w:jc w:val="center"/>
            </w:pPr>
            <w:r>
              <w:t>112</w:t>
            </w:r>
          </w:p>
        </w:tc>
        <w:tc>
          <w:tcPr>
            <w:tcW w:w="605" w:type="dxa"/>
            <w:gridSpan w:val="3"/>
            <w:vAlign w:val="center"/>
          </w:tcPr>
          <w:p>
            <w:pPr>
              <w:widowControl w:val="0"/>
              <w:jc w:val="center"/>
            </w:pPr>
            <w:r>
              <w:t>112</w:t>
            </w:r>
          </w:p>
        </w:tc>
        <w:tc>
          <w:tcPr>
            <w:tcW w:w="819" w:type="dxa"/>
            <w:gridSpan w:val="3"/>
            <w:vAlign w:val="center"/>
          </w:tcPr>
          <w:p>
            <w:pPr>
              <w:widowControl w:val="0"/>
              <w:jc w:val="center"/>
            </w:pPr>
            <w:r>
              <w:t>94</w:t>
            </w:r>
          </w:p>
        </w:tc>
      </w:tr>
      <w:tr>
        <w:trPr>
          <w:gridAfter w:val="1"/>
          <w:wAfter w:w="6" w:type="dxa"/>
          <w:trHeight w:val="20"/>
        </w:trPr>
        <w:tc>
          <w:tcPr>
            <w:tcW w:w="895" w:type="dxa"/>
            <w:gridSpan w:val="2"/>
            <w:vAlign w:val="center"/>
          </w:tcPr>
          <w:p>
            <w:pPr>
              <w:widowControl w:val="0"/>
              <w:jc w:val="center"/>
            </w:pPr>
            <w:r>
              <w:t>50</w:t>
            </w:r>
          </w:p>
        </w:tc>
        <w:tc>
          <w:tcPr>
            <w:tcW w:w="633" w:type="dxa"/>
            <w:gridSpan w:val="4"/>
            <w:vAlign w:val="center"/>
          </w:tcPr>
          <w:p>
            <w:pPr>
              <w:widowControl w:val="0"/>
              <w:jc w:val="center"/>
            </w:pPr>
            <w:r>
              <w:t>125</w:t>
            </w:r>
          </w:p>
        </w:tc>
        <w:tc>
          <w:tcPr>
            <w:tcW w:w="605" w:type="dxa"/>
            <w:vAlign w:val="center"/>
          </w:tcPr>
          <w:p>
            <w:pPr>
              <w:widowControl w:val="0"/>
              <w:jc w:val="center"/>
            </w:pPr>
            <w:r>
              <w:t>113</w:t>
            </w:r>
          </w:p>
        </w:tc>
        <w:tc>
          <w:tcPr>
            <w:tcW w:w="746" w:type="dxa"/>
            <w:gridSpan w:val="4"/>
            <w:vAlign w:val="center"/>
          </w:tcPr>
          <w:p>
            <w:pPr>
              <w:widowControl w:val="0"/>
              <w:jc w:val="center"/>
            </w:pPr>
            <w:r>
              <w:t>115</w:t>
            </w:r>
          </w:p>
        </w:tc>
        <w:tc>
          <w:tcPr>
            <w:tcW w:w="567" w:type="dxa"/>
            <w:gridSpan w:val="4"/>
            <w:vAlign w:val="center"/>
          </w:tcPr>
          <w:p>
            <w:pPr>
              <w:widowControl w:val="0"/>
              <w:jc w:val="center"/>
            </w:pPr>
            <w:r>
              <w:t>104</w:t>
            </w:r>
          </w:p>
        </w:tc>
        <w:tc>
          <w:tcPr>
            <w:tcW w:w="567" w:type="dxa"/>
            <w:vAlign w:val="center"/>
          </w:tcPr>
          <w:p>
            <w:pPr>
              <w:widowControl w:val="0"/>
              <w:jc w:val="center"/>
            </w:pPr>
            <w:r>
              <w:t>157</w:t>
            </w:r>
          </w:p>
        </w:tc>
        <w:tc>
          <w:tcPr>
            <w:tcW w:w="567" w:type="dxa"/>
            <w:gridSpan w:val="2"/>
            <w:vAlign w:val="center"/>
          </w:tcPr>
          <w:p>
            <w:pPr>
              <w:widowControl w:val="0"/>
              <w:jc w:val="center"/>
            </w:pPr>
            <w:r>
              <w:t>140</w:t>
            </w:r>
          </w:p>
        </w:tc>
        <w:tc>
          <w:tcPr>
            <w:tcW w:w="567" w:type="dxa"/>
            <w:gridSpan w:val="2"/>
            <w:vAlign w:val="center"/>
          </w:tcPr>
          <w:p>
            <w:pPr>
              <w:widowControl w:val="0"/>
              <w:jc w:val="center"/>
            </w:pPr>
            <w:r>
              <w:t>138</w:t>
            </w:r>
          </w:p>
        </w:tc>
        <w:tc>
          <w:tcPr>
            <w:tcW w:w="567" w:type="dxa"/>
            <w:gridSpan w:val="2"/>
            <w:vAlign w:val="center"/>
          </w:tcPr>
          <w:p>
            <w:pPr>
              <w:widowControl w:val="0"/>
              <w:jc w:val="center"/>
            </w:pPr>
            <w:r>
              <w:t>124</w:t>
            </w:r>
          </w:p>
        </w:tc>
        <w:tc>
          <w:tcPr>
            <w:tcW w:w="657" w:type="dxa"/>
            <w:gridSpan w:val="2"/>
            <w:vAlign w:val="center"/>
          </w:tcPr>
          <w:p>
            <w:pPr>
              <w:widowControl w:val="0"/>
              <w:jc w:val="center"/>
            </w:pPr>
            <w:r>
              <w:t>154</w:t>
            </w:r>
          </w:p>
        </w:tc>
        <w:tc>
          <w:tcPr>
            <w:tcW w:w="605" w:type="dxa"/>
            <w:gridSpan w:val="3"/>
            <w:vAlign w:val="center"/>
          </w:tcPr>
          <w:p>
            <w:pPr>
              <w:widowControl w:val="0"/>
              <w:jc w:val="center"/>
            </w:pPr>
            <w:r>
              <w:t>136</w:t>
            </w:r>
          </w:p>
        </w:tc>
        <w:tc>
          <w:tcPr>
            <w:tcW w:w="605" w:type="dxa"/>
            <w:gridSpan w:val="3"/>
            <w:vAlign w:val="center"/>
          </w:tcPr>
          <w:p>
            <w:pPr>
              <w:widowControl w:val="0"/>
              <w:jc w:val="center"/>
            </w:pPr>
            <w:r>
              <w:t>132</w:t>
            </w:r>
          </w:p>
        </w:tc>
        <w:tc>
          <w:tcPr>
            <w:tcW w:w="819" w:type="dxa"/>
            <w:gridSpan w:val="3"/>
            <w:vAlign w:val="center"/>
          </w:tcPr>
          <w:p>
            <w:pPr>
              <w:widowControl w:val="0"/>
              <w:jc w:val="center"/>
            </w:pPr>
            <w:r>
              <w:t>112</w:t>
            </w:r>
          </w:p>
        </w:tc>
      </w:tr>
      <w:tr>
        <w:trPr>
          <w:gridAfter w:val="1"/>
          <w:wAfter w:w="6" w:type="dxa"/>
          <w:trHeight w:val="20"/>
        </w:trPr>
        <w:tc>
          <w:tcPr>
            <w:tcW w:w="895" w:type="dxa"/>
            <w:gridSpan w:val="2"/>
            <w:vAlign w:val="center"/>
          </w:tcPr>
          <w:p>
            <w:pPr>
              <w:widowControl w:val="0"/>
              <w:jc w:val="center"/>
            </w:pPr>
            <w:r>
              <w:t>70</w:t>
            </w:r>
          </w:p>
        </w:tc>
        <w:tc>
          <w:tcPr>
            <w:tcW w:w="633" w:type="dxa"/>
            <w:gridSpan w:val="4"/>
            <w:vAlign w:val="center"/>
          </w:tcPr>
          <w:p>
            <w:pPr>
              <w:widowControl w:val="0"/>
              <w:jc w:val="center"/>
            </w:pPr>
            <w:r>
              <w:t>158</w:t>
            </w:r>
          </w:p>
        </w:tc>
        <w:tc>
          <w:tcPr>
            <w:tcW w:w="605" w:type="dxa"/>
            <w:vAlign w:val="center"/>
          </w:tcPr>
          <w:p>
            <w:pPr>
              <w:widowControl w:val="0"/>
              <w:jc w:val="center"/>
            </w:pPr>
            <w:r>
              <w:t>142</w:t>
            </w:r>
          </w:p>
        </w:tc>
        <w:tc>
          <w:tcPr>
            <w:tcW w:w="746" w:type="dxa"/>
            <w:gridSpan w:val="4"/>
            <w:vAlign w:val="center"/>
          </w:tcPr>
          <w:p>
            <w:pPr>
              <w:widowControl w:val="0"/>
              <w:jc w:val="center"/>
            </w:pPr>
            <w:r>
              <w:t>145</w:t>
            </w:r>
          </w:p>
        </w:tc>
        <w:tc>
          <w:tcPr>
            <w:tcW w:w="567" w:type="dxa"/>
            <w:gridSpan w:val="4"/>
            <w:vAlign w:val="center"/>
          </w:tcPr>
          <w:p>
            <w:pPr>
              <w:widowControl w:val="0"/>
              <w:jc w:val="center"/>
            </w:pPr>
            <w:r>
              <w:t>131</w:t>
            </w:r>
          </w:p>
        </w:tc>
        <w:tc>
          <w:tcPr>
            <w:tcW w:w="567" w:type="dxa"/>
            <w:vAlign w:val="center"/>
          </w:tcPr>
          <w:p>
            <w:pPr>
              <w:widowControl w:val="0"/>
              <w:jc w:val="center"/>
            </w:pPr>
            <w:r>
              <w:t>200</w:t>
            </w:r>
          </w:p>
        </w:tc>
        <w:tc>
          <w:tcPr>
            <w:tcW w:w="567" w:type="dxa"/>
            <w:gridSpan w:val="2"/>
            <w:vAlign w:val="center"/>
          </w:tcPr>
          <w:p>
            <w:pPr>
              <w:widowControl w:val="0"/>
              <w:jc w:val="center"/>
            </w:pPr>
            <w:r>
              <w:t>179</w:t>
            </w:r>
          </w:p>
        </w:tc>
        <w:tc>
          <w:tcPr>
            <w:tcW w:w="567" w:type="dxa"/>
            <w:gridSpan w:val="2"/>
            <w:vAlign w:val="center"/>
          </w:tcPr>
          <w:p>
            <w:pPr>
              <w:widowControl w:val="0"/>
              <w:jc w:val="center"/>
            </w:pPr>
            <w:r>
              <w:t>175</w:t>
            </w:r>
          </w:p>
        </w:tc>
        <w:tc>
          <w:tcPr>
            <w:tcW w:w="567" w:type="dxa"/>
            <w:gridSpan w:val="2"/>
            <w:vAlign w:val="center"/>
          </w:tcPr>
          <w:p>
            <w:pPr>
              <w:widowControl w:val="0"/>
              <w:jc w:val="center"/>
            </w:pPr>
            <w:r>
              <w:t>156</w:t>
            </w:r>
          </w:p>
        </w:tc>
        <w:tc>
          <w:tcPr>
            <w:tcW w:w="657" w:type="dxa"/>
            <w:gridSpan w:val="2"/>
            <w:vAlign w:val="center"/>
          </w:tcPr>
          <w:p>
            <w:pPr>
              <w:widowControl w:val="0"/>
              <w:jc w:val="center"/>
            </w:pPr>
            <w:r>
              <w:t>198</w:t>
            </w:r>
          </w:p>
        </w:tc>
        <w:tc>
          <w:tcPr>
            <w:tcW w:w="605" w:type="dxa"/>
            <w:gridSpan w:val="3"/>
            <w:vAlign w:val="center"/>
          </w:tcPr>
          <w:p>
            <w:pPr>
              <w:widowControl w:val="0"/>
              <w:jc w:val="center"/>
            </w:pPr>
            <w:r>
              <w:t>174</w:t>
            </w:r>
          </w:p>
        </w:tc>
        <w:tc>
          <w:tcPr>
            <w:tcW w:w="605" w:type="dxa"/>
            <w:gridSpan w:val="3"/>
            <w:vAlign w:val="center"/>
          </w:tcPr>
          <w:p>
            <w:pPr>
              <w:widowControl w:val="0"/>
              <w:jc w:val="center"/>
            </w:pPr>
            <w:r>
              <w:t>163</w:t>
            </w:r>
          </w:p>
        </w:tc>
        <w:tc>
          <w:tcPr>
            <w:tcW w:w="819" w:type="dxa"/>
            <w:gridSpan w:val="3"/>
            <w:vAlign w:val="center"/>
          </w:tcPr>
          <w:p>
            <w:pPr>
              <w:widowControl w:val="0"/>
              <w:jc w:val="center"/>
            </w:pPr>
            <w:r>
              <w:t>138</w:t>
            </w:r>
          </w:p>
        </w:tc>
      </w:tr>
      <w:tr>
        <w:trPr>
          <w:gridAfter w:val="1"/>
          <w:wAfter w:w="6" w:type="dxa"/>
          <w:trHeight w:val="20"/>
        </w:trPr>
        <w:tc>
          <w:tcPr>
            <w:tcW w:w="895" w:type="dxa"/>
            <w:gridSpan w:val="2"/>
            <w:vAlign w:val="center"/>
          </w:tcPr>
          <w:p>
            <w:pPr>
              <w:widowControl w:val="0"/>
              <w:jc w:val="center"/>
            </w:pPr>
            <w:r>
              <w:t>95</w:t>
            </w:r>
          </w:p>
        </w:tc>
        <w:tc>
          <w:tcPr>
            <w:tcW w:w="633" w:type="dxa"/>
            <w:gridSpan w:val="4"/>
            <w:vAlign w:val="center"/>
          </w:tcPr>
          <w:p>
            <w:pPr>
              <w:widowControl w:val="0"/>
              <w:jc w:val="center"/>
            </w:pPr>
            <w:r>
              <w:t>191</w:t>
            </w:r>
          </w:p>
        </w:tc>
        <w:tc>
          <w:tcPr>
            <w:tcW w:w="605" w:type="dxa"/>
            <w:vAlign w:val="center"/>
          </w:tcPr>
          <w:p>
            <w:pPr>
              <w:widowControl w:val="0"/>
              <w:jc w:val="center"/>
            </w:pPr>
            <w:r>
              <w:t>171</w:t>
            </w:r>
          </w:p>
        </w:tc>
        <w:tc>
          <w:tcPr>
            <w:tcW w:w="746" w:type="dxa"/>
            <w:gridSpan w:val="4"/>
            <w:vAlign w:val="center"/>
          </w:tcPr>
          <w:p>
            <w:pPr>
              <w:widowControl w:val="0"/>
              <w:jc w:val="center"/>
            </w:pPr>
            <w:r>
              <w:t>175</w:t>
            </w:r>
          </w:p>
        </w:tc>
        <w:tc>
          <w:tcPr>
            <w:tcW w:w="567" w:type="dxa"/>
            <w:gridSpan w:val="4"/>
            <w:vAlign w:val="center"/>
          </w:tcPr>
          <w:p>
            <w:pPr>
              <w:widowControl w:val="0"/>
              <w:jc w:val="center"/>
            </w:pPr>
            <w:r>
              <w:t>157</w:t>
            </w:r>
          </w:p>
        </w:tc>
        <w:tc>
          <w:tcPr>
            <w:tcW w:w="567" w:type="dxa"/>
            <w:vAlign w:val="center"/>
          </w:tcPr>
          <w:p>
            <w:pPr>
              <w:widowControl w:val="0"/>
              <w:jc w:val="center"/>
            </w:pPr>
            <w:r>
              <w:t>242</w:t>
            </w:r>
          </w:p>
        </w:tc>
        <w:tc>
          <w:tcPr>
            <w:tcW w:w="567" w:type="dxa"/>
            <w:gridSpan w:val="2"/>
            <w:vAlign w:val="center"/>
          </w:tcPr>
          <w:p>
            <w:pPr>
              <w:widowControl w:val="0"/>
              <w:jc w:val="center"/>
            </w:pPr>
            <w:r>
              <w:t>217</w:t>
            </w:r>
          </w:p>
        </w:tc>
        <w:tc>
          <w:tcPr>
            <w:tcW w:w="567" w:type="dxa"/>
            <w:gridSpan w:val="2"/>
            <w:vAlign w:val="center"/>
          </w:tcPr>
          <w:p>
            <w:pPr>
              <w:widowControl w:val="0"/>
              <w:jc w:val="center"/>
            </w:pPr>
            <w:r>
              <w:t>210</w:t>
            </w:r>
          </w:p>
        </w:tc>
        <w:tc>
          <w:tcPr>
            <w:tcW w:w="567" w:type="dxa"/>
            <w:gridSpan w:val="2"/>
            <w:vAlign w:val="center"/>
          </w:tcPr>
          <w:p>
            <w:pPr>
              <w:widowControl w:val="0"/>
              <w:jc w:val="center"/>
            </w:pPr>
            <w:r>
              <w:t>188</w:t>
            </w:r>
          </w:p>
        </w:tc>
        <w:tc>
          <w:tcPr>
            <w:tcW w:w="657" w:type="dxa"/>
            <w:gridSpan w:val="2"/>
            <w:vAlign w:val="center"/>
          </w:tcPr>
          <w:p>
            <w:pPr>
              <w:widowControl w:val="0"/>
              <w:jc w:val="center"/>
            </w:pPr>
            <w:r>
              <w:t>241</w:t>
            </w:r>
          </w:p>
        </w:tc>
        <w:tc>
          <w:tcPr>
            <w:tcW w:w="605" w:type="dxa"/>
            <w:gridSpan w:val="3"/>
            <w:vAlign w:val="center"/>
          </w:tcPr>
          <w:p>
            <w:pPr>
              <w:widowControl w:val="0"/>
              <w:jc w:val="center"/>
            </w:pPr>
            <w:r>
              <w:t>211</w:t>
            </w:r>
          </w:p>
        </w:tc>
        <w:tc>
          <w:tcPr>
            <w:tcW w:w="605" w:type="dxa"/>
            <w:gridSpan w:val="3"/>
            <w:vAlign w:val="center"/>
          </w:tcPr>
          <w:p>
            <w:pPr>
              <w:widowControl w:val="0"/>
              <w:jc w:val="center"/>
            </w:pPr>
            <w:r>
              <w:t>193</w:t>
            </w:r>
          </w:p>
        </w:tc>
        <w:tc>
          <w:tcPr>
            <w:tcW w:w="819" w:type="dxa"/>
            <w:gridSpan w:val="3"/>
            <w:vAlign w:val="center"/>
          </w:tcPr>
          <w:p>
            <w:pPr>
              <w:widowControl w:val="0"/>
              <w:jc w:val="center"/>
            </w:pPr>
            <w:r>
              <w:t>164</w:t>
            </w:r>
          </w:p>
        </w:tc>
      </w:tr>
      <w:tr>
        <w:trPr>
          <w:gridAfter w:val="1"/>
          <w:wAfter w:w="6" w:type="dxa"/>
          <w:trHeight w:val="20"/>
        </w:trPr>
        <w:tc>
          <w:tcPr>
            <w:tcW w:w="895" w:type="dxa"/>
            <w:gridSpan w:val="2"/>
            <w:vAlign w:val="center"/>
          </w:tcPr>
          <w:p>
            <w:pPr>
              <w:widowControl w:val="0"/>
              <w:jc w:val="center"/>
            </w:pPr>
            <w:r>
              <w:t>120</w:t>
            </w:r>
          </w:p>
        </w:tc>
        <w:tc>
          <w:tcPr>
            <w:tcW w:w="633" w:type="dxa"/>
            <w:gridSpan w:val="4"/>
            <w:vAlign w:val="center"/>
          </w:tcPr>
          <w:p>
            <w:pPr>
              <w:widowControl w:val="0"/>
              <w:jc w:val="center"/>
            </w:pPr>
            <w:r>
              <w:t>220</w:t>
            </w:r>
          </w:p>
        </w:tc>
        <w:tc>
          <w:tcPr>
            <w:tcW w:w="605" w:type="dxa"/>
            <w:vAlign w:val="center"/>
          </w:tcPr>
          <w:p>
            <w:pPr>
              <w:widowControl w:val="0"/>
              <w:jc w:val="center"/>
            </w:pPr>
            <w:r>
              <w:t>197</w:t>
            </w:r>
          </w:p>
        </w:tc>
        <w:tc>
          <w:tcPr>
            <w:tcW w:w="746" w:type="dxa"/>
            <w:gridSpan w:val="4"/>
            <w:vAlign w:val="center"/>
          </w:tcPr>
          <w:p>
            <w:pPr>
              <w:widowControl w:val="0"/>
              <w:jc w:val="center"/>
            </w:pPr>
            <w:r>
              <w:t>201</w:t>
            </w:r>
          </w:p>
        </w:tc>
        <w:tc>
          <w:tcPr>
            <w:tcW w:w="567" w:type="dxa"/>
            <w:gridSpan w:val="4"/>
            <w:vAlign w:val="center"/>
          </w:tcPr>
          <w:p>
            <w:pPr>
              <w:widowControl w:val="0"/>
              <w:jc w:val="center"/>
            </w:pPr>
            <w:r>
              <w:t>180</w:t>
            </w:r>
          </w:p>
        </w:tc>
        <w:tc>
          <w:tcPr>
            <w:tcW w:w="567" w:type="dxa"/>
            <w:vAlign w:val="center"/>
          </w:tcPr>
          <w:p>
            <w:pPr>
              <w:widowControl w:val="0"/>
              <w:jc w:val="center"/>
            </w:pPr>
            <w:r>
              <w:t>281</w:t>
            </w:r>
          </w:p>
        </w:tc>
        <w:tc>
          <w:tcPr>
            <w:tcW w:w="567" w:type="dxa"/>
            <w:gridSpan w:val="2"/>
            <w:vAlign w:val="center"/>
          </w:tcPr>
          <w:p>
            <w:pPr>
              <w:widowControl w:val="0"/>
              <w:jc w:val="center"/>
            </w:pPr>
            <w:r>
              <w:t>251</w:t>
            </w:r>
          </w:p>
        </w:tc>
        <w:tc>
          <w:tcPr>
            <w:tcW w:w="567" w:type="dxa"/>
            <w:gridSpan w:val="2"/>
            <w:vAlign w:val="center"/>
          </w:tcPr>
          <w:p>
            <w:pPr>
              <w:widowControl w:val="0"/>
              <w:jc w:val="center"/>
            </w:pPr>
            <w:r>
              <w:t>242</w:t>
            </w:r>
          </w:p>
        </w:tc>
        <w:tc>
          <w:tcPr>
            <w:tcW w:w="567" w:type="dxa"/>
            <w:gridSpan w:val="2"/>
            <w:vAlign w:val="center"/>
          </w:tcPr>
          <w:p>
            <w:pPr>
              <w:widowControl w:val="0"/>
              <w:jc w:val="center"/>
            </w:pPr>
            <w:r>
              <w:t>216</w:t>
            </w:r>
          </w:p>
        </w:tc>
        <w:tc>
          <w:tcPr>
            <w:tcW w:w="657" w:type="dxa"/>
            <w:gridSpan w:val="2"/>
            <w:vAlign w:val="center"/>
          </w:tcPr>
          <w:p>
            <w:pPr>
              <w:widowControl w:val="0"/>
              <w:jc w:val="center"/>
            </w:pPr>
            <w:r>
              <w:t>280</w:t>
            </w:r>
          </w:p>
        </w:tc>
        <w:tc>
          <w:tcPr>
            <w:tcW w:w="605" w:type="dxa"/>
            <w:gridSpan w:val="3"/>
            <w:vAlign w:val="center"/>
          </w:tcPr>
          <w:p>
            <w:pPr>
              <w:widowControl w:val="0"/>
              <w:jc w:val="center"/>
            </w:pPr>
            <w:r>
              <w:t>245</w:t>
            </w:r>
          </w:p>
        </w:tc>
        <w:tc>
          <w:tcPr>
            <w:tcW w:w="605" w:type="dxa"/>
            <w:gridSpan w:val="3"/>
            <w:vAlign w:val="center"/>
          </w:tcPr>
          <w:p>
            <w:pPr>
              <w:widowControl w:val="0"/>
              <w:jc w:val="center"/>
            </w:pPr>
            <w:r>
              <w:t>220</w:t>
            </w:r>
          </w:p>
        </w:tc>
        <w:tc>
          <w:tcPr>
            <w:tcW w:w="819" w:type="dxa"/>
            <w:gridSpan w:val="3"/>
            <w:vAlign w:val="center"/>
          </w:tcPr>
          <w:p>
            <w:pPr>
              <w:widowControl w:val="0"/>
              <w:jc w:val="center"/>
            </w:pPr>
            <w:r>
              <w:t>186</w:t>
            </w:r>
          </w:p>
        </w:tc>
      </w:tr>
      <w:tr>
        <w:trPr>
          <w:gridAfter w:val="1"/>
          <w:wAfter w:w="6" w:type="dxa"/>
          <w:trHeight w:val="20"/>
        </w:trPr>
        <w:tc>
          <w:tcPr>
            <w:tcW w:w="895" w:type="dxa"/>
            <w:gridSpan w:val="2"/>
            <w:vAlign w:val="center"/>
          </w:tcPr>
          <w:p>
            <w:pPr>
              <w:widowControl w:val="0"/>
              <w:jc w:val="center"/>
            </w:pPr>
            <w:r>
              <w:t>150</w:t>
            </w:r>
          </w:p>
        </w:tc>
        <w:tc>
          <w:tcPr>
            <w:tcW w:w="633" w:type="dxa"/>
            <w:gridSpan w:val="4"/>
            <w:vAlign w:val="center"/>
          </w:tcPr>
          <w:p>
            <w:pPr>
              <w:widowControl w:val="0"/>
              <w:jc w:val="center"/>
            </w:pPr>
            <w:r>
              <w:t>253</w:t>
            </w:r>
          </w:p>
        </w:tc>
        <w:tc>
          <w:tcPr>
            <w:tcW w:w="605" w:type="dxa"/>
            <w:vAlign w:val="center"/>
          </w:tcPr>
          <w:p>
            <w:pPr>
              <w:widowControl w:val="0"/>
              <w:jc w:val="center"/>
            </w:pPr>
            <w:r>
              <w:t>226</w:t>
            </w:r>
          </w:p>
        </w:tc>
        <w:tc>
          <w:tcPr>
            <w:tcW w:w="746" w:type="dxa"/>
            <w:gridSpan w:val="4"/>
            <w:vAlign w:val="center"/>
          </w:tcPr>
          <w:p>
            <w:pPr>
              <w:widowControl w:val="0"/>
              <w:jc w:val="center"/>
            </w:pPr>
            <w:r>
              <w:t>230</w:t>
            </w:r>
          </w:p>
        </w:tc>
        <w:tc>
          <w:tcPr>
            <w:tcW w:w="567" w:type="dxa"/>
            <w:gridSpan w:val="4"/>
            <w:vAlign w:val="center"/>
          </w:tcPr>
          <w:p>
            <w:pPr>
              <w:widowControl w:val="0"/>
              <w:jc w:val="center"/>
            </w:pPr>
            <w:r>
              <w:t>206</w:t>
            </w:r>
          </w:p>
        </w:tc>
        <w:tc>
          <w:tcPr>
            <w:tcW w:w="567" w:type="dxa"/>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657" w:type="dxa"/>
            <w:gridSpan w:val="2"/>
            <w:vAlign w:val="center"/>
          </w:tcPr>
          <w:p>
            <w:pPr>
              <w:widowControl w:val="0"/>
              <w:jc w:val="center"/>
            </w:pPr>
            <w:r>
              <w:t>324</w:t>
            </w:r>
          </w:p>
        </w:tc>
        <w:tc>
          <w:tcPr>
            <w:tcW w:w="605" w:type="dxa"/>
            <w:gridSpan w:val="3"/>
            <w:vAlign w:val="center"/>
          </w:tcPr>
          <w:p>
            <w:pPr>
              <w:widowControl w:val="0"/>
              <w:jc w:val="center"/>
            </w:pPr>
            <w:r>
              <w:t>283</w:t>
            </w:r>
          </w:p>
        </w:tc>
        <w:tc>
          <w:tcPr>
            <w:tcW w:w="605" w:type="dxa"/>
            <w:gridSpan w:val="3"/>
            <w:vAlign w:val="center"/>
          </w:tcPr>
          <w:p>
            <w:pPr>
              <w:widowControl w:val="0"/>
              <w:jc w:val="center"/>
            </w:pPr>
            <w:r>
              <w:t>249</w:t>
            </w:r>
          </w:p>
        </w:tc>
        <w:tc>
          <w:tcPr>
            <w:tcW w:w="819" w:type="dxa"/>
            <w:gridSpan w:val="3"/>
            <w:vAlign w:val="center"/>
          </w:tcPr>
          <w:p>
            <w:pPr>
              <w:widowControl w:val="0"/>
              <w:jc w:val="center"/>
            </w:pPr>
            <w:r>
              <w:t>210</w:t>
            </w:r>
          </w:p>
        </w:tc>
      </w:tr>
      <w:tr>
        <w:trPr>
          <w:gridAfter w:val="1"/>
          <w:wAfter w:w="6" w:type="dxa"/>
          <w:trHeight w:val="20"/>
        </w:trPr>
        <w:tc>
          <w:tcPr>
            <w:tcW w:w="895" w:type="dxa"/>
            <w:gridSpan w:val="2"/>
            <w:vAlign w:val="center"/>
          </w:tcPr>
          <w:p>
            <w:pPr>
              <w:widowControl w:val="0"/>
              <w:jc w:val="center"/>
            </w:pPr>
            <w:r>
              <w:t>185</w:t>
            </w:r>
          </w:p>
        </w:tc>
        <w:tc>
          <w:tcPr>
            <w:tcW w:w="633" w:type="dxa"/>
            <w:gridSpan w:val="4"/>
            <w:vAlign w:val="center"/>
          </w:tcPr>
          <w:p>
            <w:pPr>
              <w:widowControl w:val="0"/>
              <w:jc w:val="center"/>
            </w:pPr>
            <w:r>
              <w:t>288</w:t>
            </w:r>
          </w:p>
        </w:tc>
        <w:tc>
          <w:tcPr>
            <w:tcW w:w="605" w:type="dxa"/>
            <w:vAlign w:val="center"/>
          </w:tcPr>
          <w:p>
            <w:pPr>
              <w:widowControl w:val="0"/>
              <w:jc w:val="center"/>
            </w:pPr>
            <w:r>
              <w:t>256</w:t>
            </w:r>
          </w:p>
        </w:tc>
        <w:tc>
          <w:tcPr>
            <w:tcW w:w="746" w:type="dxa"/>
            <w:gridSpan w:val="4"/>
            <w:vAlign w:val="center"/>
          </w:tcPr>
          <w:p>
            <w:pPr>
              <w:widowControl w:val="0"/>
              <w:jc w:val="center"/>
            </w:pPr>
            <w:r>
              <w:t>262</w:t>
            </w:r>
          </w:p>
        </w:tc>
        <w:tc>
          <w:tcPr>
            <w:tcW w:w="567" w:type="dxa"/>
            <w:gridSpan w:val="4"/>
            <w:vAlign w:val="center"/>
          </w:tcPr>
          <w:p>
            <w:pPr>
              <w:widowControl w:val="0"/>
              <w:jc w:val="center"/>
            </w:pPr>
            <w:r>
              <w:t>233</w:t>
            </w:r>
          </w:p>
        </w:tc>
        <w:tc>
          <w:tcPr>
            <w:tcW w:w="567" w:type="dxa"/>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657" w:type="dxa"/>
            <w:gridSpan w:val="2"/>
            <w:vAlign w:val="center"/>
          </w:tcPr>
          <w:p>
            <w:pPr>
              <w:widowControl w:val="0"/>
              <w:jc w:val="center"/>
            </w:pPr>
            <w:r>
              <w:t>371</w:t>
            </w:r>
          </w:p>
        </w:tc>
        <w:tc>
          <w:tcPr>
            <w:tcW w:w="605" w:type="dxa"/>
            <w:gridSpan w:val="3"/>
            <w:vAlign w:val="center"/>
          </w:tcPr>
          <w:p>
            <w:pPr>
              <w:widowControl w:val="0"/>
              <w:jc w:val="center"/>
            </w:pPr>
            <w:r>
              <w:t>323</w:t>
            </w:r>
          </w:p>
        </w:tc>
        <w:tc>
          <w:tcPr>
            <w:tcW w:w="605" w:type="dxa"/>
            <w:gridSpan w:val="3"/>
            <w:vAlign w:val="center"/>
          </w:tcPr>
          <w:p>
            <w:pPr>
              <w:widowControl w:val="0"/>
              <w:jc w:val="center"/>
            </w:pPr>
            <w:r>
              <w:t>279</w:t>
            </w:r>
          </w:p>
        </w:tc>
        <w:tc>
          <w:tcPr>
            <w:tcW w:w="819" w:type="dxa"/>
            <w:gridSpan w:val="3"/>
            <w:vAlign w:val="center"/>
          </w:tcPr>
          <w:p>
            <w:pPr>
              <w:widowControl w:val="0"/>
              <w:jc w:val="center"/>
            </w:pPr>
            <w:r>
              <w:t>236</w:t>
            </w:r>
          </w:p>
        </w:tc>
      </w:tr>
      <w:tr>
        <w:trPr>
          <w:gridAfter w:val="1"/>
          <w:wAfter w:w="6" w:type="dxa"/>
          <w:trHeight w:val="20"/>
        </w:trPr>
        <w:tc>
          <w:tcPr>
            <w:tcW w:w="895" w:type="dxa"/>
            <w:gridSpan w:val="2"/>
            <w:vAlign w:val="center"/>
          </w:tcPr>
          <w:p>
            <w:pPr>
              <w:widowControl w:val="0"/>
              <w:jc w:val="center"/>
            </w:pPr>
            <w:r>
              <w:t>240</w:t>
            </w:r>
          </w:p>
        </w:tc>
        <w:tc>
          <w:tcPr>
            <w:tcW w:w="633" w:type="dxa"/>
            <w:gridSpan w:val="4"/>
            <w:vAlign w:val="center"/>
          </w:tcPr>
          <w:p>
            <w:pPr>
              <w:widowControl w:val="0"/>
              <w:jc w:val="center"/>
            </w:pPr>
            <w:r>
              <w:t>338</w:t>
            </w:r>
          </w:p>
        </w:tc>
        <w:tc>
          <w:tcPr>
            <w:tcW w:w="605" w:type="dxa"/>
            <w:vAlign w:val="center"/>
          </w:tcPr>
          <w:p>
            <w:pPr>
              <w:widowControl w:val="0"/>
              <w:jc w:val="center"/>
            </w:pPr>
            <w:r>
              <w:t>300</w:t>
            </w:r>
          </w:p>
        </w:tc>
        <w:tc>
          <w:tcPr>
            <w:tcW w:w="746" w:type="dxa"/>
            <w:gridSpan w:val="4"/>
            <w:vAlign w:val="center"/>
          </w:tcPr>
          <w:p>
            <w:pPr>
              <w:widowControl w:val="0"/>
              <w:jc w:val="center"/>
            </w:pPr>
            <w:r>
              <w:t>307</w:t>
            </w:r>
          </w:p>
        </w:tc>
        <w:tc>
          <w:tcPr>
            <w:tcW w:w="567" w:type="dxa"/>
            <w:gridSpan w:val="4"/>
            <w:vAlign w:val="center"/>
          </w:tcPr>
          <w:p>
            <w:pPr>
              <w:widowControl w:val="0"/>
              <w:jc w:val="center"/>
            </w:pPr>
            <w:r>
              <w:t>273</w:t>
            </w:r>
          </w:p>
        </w:tc>
        <w:tc>
          <w:tcPr>
            <w:tcW w:w="567" w:type="dxa"/>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657" w:type="dxa"/>
            <w:gridSpan w:val="2"/>
            <w:vAlign w:val="center"/>
          </w:tcPr>
          <w:p>
            <w:pPr>
              <w:widowControl w:val="0"/>
              <w:jc w:val="center"/>
            </w:pPr>
            <w:r>
              <w:t>439</w:t>
            </w:r>
          </w:p>
        </w:tc>
        <w:tc>
          <w:tcPr>
            <w:tcW w:w="605" w:type="dxa"/>
            <w:gridSpan w:val="3"/>
            <w:vAlign w:val="center"/>
          </w:tcPr>
          <w:p>
            <w:pPr>
              <w:widowControl w:val="0"/>
              <w:jc w:val="center"/>
            </w:pPr>
            <w:r>
              <w:t>382</w:t>
            </w:r>
          </w:p>
        </w:tc>
        <w:tc>
          <w:tcPr>
            <w:tcW w:w="605" w:type="dxa"/>
            <w:gridSpan w:val="3"/>
            <w:vAlign w:val="center"/>
          </w:tcPr>
          <w:p>
            <w:pPr>
              <w:widowControl w:val="0"/>
              <w:jc w:val="center"/>
            </w:pPr>
            <w:r>
              <w:t>322</w:t>
            </w:r>
          </w:p>
        </w:tc>
        <w:tc>
          <w:tcPr>
            <w:tcW w:w="819" w:type="dxa"/>
            <w:gridSpan w:val="3"/>
            <w:vAlign w:val="center"/>
          </w:tcPr>
          <w:p>
            <w:pPr>
              <w:widowControl w:val="0"/>
              <w:jc w:val="center"/>
            </w:pPr>
            <w:r>
              <w:t>272</w:t>
            </w:r>
          </w:p>
        </w:tc>
      </w:tr>
      <w:tr>
        <w:trPr>
          <w:gridAfter w:val="1"/>
          <w:wAfter w:w="6" w:type="dxa"/>
          <w:trHeight w:val="20"/>
        </w:trPr>
        <w:tc>
          <w:tcPr>
            <w:tcW w:w="895" w:type="dxa"/>
            <w:gridSpan w:val="2"/>
            <w:vAlign w:val="center"/>
          </w:tcPr>
          <w:p>
            <w:pPr>
              <w:widowControl w:val="0"/>
              <w:jc w:val="center"/>
            </w:pPr>
            <w:r>
              <w:t>300</w:t>
            </w:r>
          </w:p>
        </w:tc>
        <w:tc>
          <w:tcPr>
            <w:tcW w:w="633" w:type="dxa"/>
            <w:gridSpan w:val="4"/>
            <w:vAlign w:val="center"/>
          </w:tcPr>
          <w:p>
            <w:pPr>
              <w:widowControl w:val="0"/>
              <w:jc w:val="center"/>
            </w:pPr>
            <w:r>
              <w:t>387</w:t>
            </w:r>
          </w:p>
        </w:tc>
        <w:tc>
          <w:tcPr>
            <w:tcW w:w="605" w:type="dxa"/>
            <w:vAlign w:val="center"/>
          </w:tcPr>
          <w:p>
            <w:pPr>
              <w:widowControl w:val="0"/>
              <w:jc w:val="center"/>
            </w:pPr>
            <w:r>
              <w:t>344</w:t>
            </w:r>
          </w:p>
        </w:tc>
        <w:tc>
          <w:tcPr>
            <w:tcW w:w="746" w:type="dxa"/>
            <w:gridSpan w:val="4"/>
            <w:vAlign w:val="center"/>
          </w:tcPr>
          <w:p>
            <w:pPr>
              <w:widowControl w:val="0"/>
              <w:jc w:val="center"/>
            </w:pPr>
            <w:r>
              <w:t>362</w:t>
            </w:r>
          </w:p>
        </w:tc>
        <w:tc>
          <w:tcPr>
            <w:tcW w:w="567" w:type="dxa"/>
            <w:gridSpan w:val="4"/>
            <w:vAlign w:val="center"/>
          </w:tcPr>
          <w:p>
            <w:pPr>
              <w:widowControl w:val="0"/>
              <w:jc w:val="center"/>
            </w:pPr>
            <w:r>
              <w:t>313</w:t>
            </w:r>
          </w:p>
        </w:tc>
        <w:tc>
          <w:tcPr>
            <w:tcW w:w="567" w:type="dxa"/>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567" w:type="dxa"/>
            <w:gridSpan w:val="2"/>
            <w:vAlign w:val="center"/>
          </w:tcPr>
          <w:p>
            <w:pPr>
              <w:widowControl w:val="0"/>
              <w:jc w:val="center"/>
            </w:pPr>
            <w:r>
              <w:t>–</w:t>
            </w:r>
          </w:p>
        </w:tc>
        <w:tc>
          <w:tcPr>
            <w:tcW w:w="657" w:type="dxa"/>
            <w:gridSpan w:val="2"/>
            <w:vAlign w:val="center"/>
          </w:tcPr>
          <w:p>
            <w:pPr>
              <w:widowControl w:val="0"/>
              <w:jc w:val="center"/>
            </w:pPr>
            <w:r>
              <w:t>508</w:t>
            </w:r>
          </w:p>
        </w:tc>
        <w:tc>
          <w:tcPr>
            <w:tcW w:w="605" w:type="dxa"/>
            <w:gridSpan w:val="3"/>
            <w:vAlign w:val="center"/>
          </w:tcPr>
          <w:p>
            <w:pPr>
              <w:widowControl w:val="0"/>
              <w:jc w:val="center"/>
            </w:pPr>
            <w:r>
              <w:t>440</w:t>
            </w:r>
          </w:p>
        </w:tc>
        <w:tc>
          <w:tcPr>
            <w:tcW w:w="605" w:type="dxa"/>
            <w:gridSpan w:val="3"/>
            <w:vAlign w:val="center"/>
          </w:tcPr>
          <w:p>
            <w:pPr>
              <w:widowControl w:val="0"/>
              <w:jc w:val="center"/>
            </w:pPr>
            <w:r>
              <w:t>364</w:t>
            </w:r>
          </w:p>
        </w:tc>
        <w:tc>
          <w:tcPr>
            <w:tcW w:w="819" w:type="dxa"/>
            <w:gridSpan w:val="3"/>
            <w:vAlign w:val="center"/>
          </w:tcPr>
          <w:p>
            <w:pPr>
              <w:widowControl w:val="0"/>
              <w:jc w:val="center"/>
            </w:pPr>
            <w:r>
              <w:t>308</w:t>
            </w:r>
          </w:p>
        </w:tc>
      </w:tr>
    </w:tbl>
    <w:p>
      <w:pPr>
        <w:widowControl w:val="0"/>
        <w:ind w:firstLine="567"/>
        <w:jc w:val="both"/>
        <w:rPr>
          <w:b/>
        </w:rPr>
      </w:pPr>
    </w:p>
    <w:p>
      <w:pPr>
        <w:widowControl w:val="0"/>
        <w:ind w:firstLine="567"/>
        <w:jc w:val="both"/>
        <w:rPr>
          <w:b/>
        </w:rPr>
      </w:pPr>
      <w:r>
        <w:rPr>
          <w:b/>
        </w:rPr>
        <w:t>5 lentelė. Varinių laidininkų mineraline izoliacija variniu apvalkalu leistinoji ilgalaikė srovė</w:t>
      </w:r>
    </w:p>
    <w:p>
      <w:pPr>
        <w:widowControl w:val="0"/>
        <w:ind w:firstLine="567"/>
        <w:jc w:val="both"/>
      </w:pPr>
    </w:p>
    <w:p>
      <w:pPr>
        <w:widowControl w:val="0"/>
        <w:ind w:firstLine="567"/>
        <w:jc w:val="both"/>
      </w:pPr>
      <w:r>
        <w:t>PVC išorinė danga arba be jos, nepavojinga prisiliesti.</w:t>
      </w:r>
    </w:p>
    <w:p>
      <w:pPr>
        <w:widowControl w:val="0"/>
        <w:ind w:firstLine="567"/>
        <w:jc w:val="both"/>
      </w:pPr>
      <w:r>
        <w:t xml:space="preserve">Temperatūra: apvalkalo +70 </w:t>
      </w:r>
      <w:r>
        <w:rPr>
          <w:vertAlign w:val="superscript"/>
        </w:rPr>
        <w:t>o</w:t>
      </w:r>
      <w:r>
        <w:t xml:space="preserve">C, oro +30 </w:t>
      </w:r>
      <w:r>
        <w:rPr>
          <w:vertAlign w:val="superscript"/>
        </w:rPr>
        <w:t>o</w:t>
      </w:r>
      <w:r>
        <w:t>C.</w:t>
      </w:r>
    </w:p>
    <w:p>
      <w:pPr>
        <w:widowControl w:val="0"/>
        <w:ind w:firstLine="567"/>
        <w:jc w:val="both"/>
      </w:pPr>
      <w:r>
        <w:t>Be išorinės dangos, instaliuojamas ant nedegaus pagrindo, pavojinga prisiliesti.</w:t>
      </w:r>
    </w:p>
    <w:p>
      <w:pPr>
        <w:widowControl w:val="0"/>
        <w:ind w:firstLine="567"/>
        <w:jc w:val="both"/>
      </w:pPr>
      <w:r>
        <w:t xml:space="preserve">Temperatūra: apvalkalo +105 </w:t>
      </w:r>
      <w:r>
        <w:rPr>
          <w:vertAlign w:val="superscript"/>
        </w:rPr>
        <w:t>o</w:t>
      </w:r>
      <w:r>
        <w:t xml:space="preserve">C, oro +30 </w:t>
      </w:r>
      <w:r>
        <w:rPr>
          <w:vertAlign w:val="superscript"/>
        </w:rPr>
        <w:t>o</w:t>
      </w:r>
      <w:r>
        <w:t>C.</w:t>
      </w:r>
    </w:p>
    <w:p>
      <w:pPr>
        <w:widowControl w:val="0"/>
        <w:ind w:firstLine="567"/>
        <w:jc w:val="both"/>
      </w:pPr>
      <w:r>
        <w:t>Taikoma C instaliacijos būdui pagal 2 priedo 1 lentelę.</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2" w:type="dxa"/>
          <w:right w:w="92" w:type="dxa"/>
        </w:tblCellMar>
        <w:tblLook w:val="0000" w:firstRow="0" w:lastRow="0" w:firstColumn="0" w:lastColumn="0" w:noHBand="0" w:noVBand="0"/>
      </w:tblPr>
      <w:tblGrid>
        <w:gridCol w:w="1567"/>
        <w:gridCol w:w="1182"/>
        <w:gridCol w:w="1183"/>
        <w:gridCol w:w="1286"/>
        <w:gridCol w:w="1288"/>
        <w:gridCol w:w="1281"/>
        <w:gridCol w:w="1283"/>
      </w:tblGrid>
      <w:tr>
        <w:trPr>
          <w:cantSplit/>
          <w:trHeight w:val="20"/>
          <w:tblHeader/>
        </w:trPr>
        <w:tc>
          <w:tcPr>
            <w:tcW w:w="1567" w:type="dxa"/>
            <w:vMerge w:val="restart"/>
            <w:vAlign w:val="center"/>
          </w:tcPr>
          <w:p>
            <w:pPr>
              <w:widowControl w:val="0"/>
              <w:jc w:val="center"/>
            </w:pPr>
            <w:r>
              <w:t>Laidininko skerspjūvis, mm</w:t>
            </w:r>
            <w:r>
              <w:rPr>
                <w:vertAlign w:val="superscript"/>
              </w:rPr>
              <w:t>2</w:t>
            </w:r>
          </w:p>
        </w:tc>
        <w:tc>
          <w:tcPr>
            <w:tcW w:w="7503" w:type="dxa"/>
            <w:gridSpan w:val="6"/>
            <w:vAlign w:val="center"/>
          </w:tcPr>
          <w:p>
            <w:pPr>
              <w:widowControl w:val="0"/>
              <w:jc w:val="center"/>
            </w:pPr>
            <w:r>
              <w:t>Laidininkų skaičius ir jų išdėstymas</w:t>
            </w:r>
          </w:p>
        </w:tc>
      </w:tr>
      <w:tr>
        <w:trPr>
          <w:cantSplit/>
          <w:trHeight w:val="20"/>
          <w:tblHeader/>
        </w:trPr>
        <w:tc>
          <w:tcPr>
            <w:tcW w:w="1567" w:type="dxa"/>
            <w:vMerge/>
            <w:vAlign w:val="center"/>
          </w:tcPr>
          <w:p>
            <w:pPr>
              <w:widowControl w:val="0"/>
              <w:jc w:val="center"/>
            </w:pPr>
          </w:p>
        </w:tc>
        <w:tc>
          <w:tcPr>
            <w:tcW w:w="2365" w:type="dxa"/>
            <w:gridSpan w:val="2"/>
            <w:vMerge w:val="restart"/>
            <w:vAlign w:val="center"/>
          </w:tcPr>
          <w:p>
            <w:pPr>
              <w:widowControl w:val="0"/>
              <w:jc w:val="center"/>
            </w:pPr>
            <w:r>
              <w:t>Du viengysliai arba dvigysliai laidininkai</w:t>
            </w:r>
          </w:p>
        </w:tc>
        <w:tc>
          <w:tcPr>
            <w:tcW w:w="5138" w:type="dxa"/>
            <w:gridSpan w:val="4"/>
            <w:vAlign w:val="center"/>
          </w:tcPr>
          <w:p>
            <w:pPr>
              <w:widowControl w:val="0"/>
              <w:jc w:val="center"/>
            </w:pPr>
            <w:r>
              <w:t>Trys laidininkai</w:t>
            </w:r>
          </w:p>
        </w:tc>
      </w:tr>
      <w:tr>
        <w:trPr>
          <w:cantSplit/>
          <w:trHeight w:val="20"/>
          <w:tblHeader/>
        </w:trPr>
        <w:tc>
          <w:tcPr>
            <w:tcW w:w="1567" w:type="dxa"/>
            <w:vMerge/>
            <w:vAlign w:val="center"/>
          </w:tcPr>
          <w:p>
            <w:pPr>
              <w:widowControl w:val="0"/>
              <w:jc w:val="center"/>
            </w:pPr>
          </w:p>
        </w:tc>
        <w:tc>
          <w:tcPr>
            <w:tcW w:w="2365" w:type="dxa"/>
            <w:gridSpan w:val="2"/>
            <w:vMerge/>
            <w:vAlign w:val="center"/>
          </w:tcPr>
          <w:p>
            <w:pPr>
              <w:widowControl w:val="0"/>
              <w:jc w:val="center"/>
            </w:pPr>
          </w:p>
        </w:tc>
        <w:tc>
          <w:tcPr>
            <w:tcW w:w="2574" w:type="dxa"/>
            <w:gridSpan w:val="2"/>
            <w:vAlign w:val="center"/>
          </w:tcPr>
          <w:p>
            <w:pPr>
              <w:widowControl w:val="0"/>
              <w:jc w:val="center"/>
            </w:pPr>
            <w:r>
              <w:t>Daugiagysliai arba viengysliai, išdėstyti dobilo lapo forma</w:t>
            </w:r>
          </w:p>
        </w:tc>
        <w:tc>
          <w:tcPr>
            <w:tcW w:w="2564" w:type="dxa"/>
            <w:gridSpan w:val="2"/>
            <w:vAlign w:val="center"/>
          </w:tcPr>
          <w:p>
            <w:pPr>
              <w:widowControl w:val="0"/>
              <w:jc w:val="center"/>
            </w:pPr>
            <w:r>
              <w:t>Viengysliai vertikalioje arba horizontalioje plokštumoje</w:t>
            </w:r>
          </w:p>
        </w:tc>
      </w:tr>
      <w:tr>
        <w:trPr>
          <w:cantSplit/>
          <w:trHeight w:val="20"/>
          <w:tblHeader/>
        </w:trPr>
        <w:tc>
          <w:tcPr>
            <w:tcW w:w="1567" w:type="dxa"/>
            <w:vMerge/>
            <w:vAlign w:val="center"/>
          </w:tcPr>
          <w:p>
            <w:pPr>
              <w:widowControl w:val="0"/>
              <w:jc w:val="center"/>
            </w:pPr>
          </w:p>
        </w:tc>
        <w:tc>
          <w:tcPr>
            <w:tcW w:w="2365" w:type="dxa"/>
            <w:gridSpan w:val="2"/>
            <w:vAlign w:val="center"/>
          </w:tcPr>
          <w:p>
            <w:pPr>
              <w:widowControl w:val="0"/>
              <w:jc w:val="center"/>
            </w:pPr>
            <w:r>
              <w:rPr>
                <w:lang w:eastAsia="lt-LT"/>
              </w:rPr>
              <w:drawing>
                <wp:inline distT="0" distB="0" distL="0" distR="0">
                  <wp:extent cx="304800" cy="552450"/>
                  <wp:effectExtent l="0" t="0" r="0" b="0"/>
                  <wp:docPr id="164" name="Picture 164"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 pav"/>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4800" cy="552450"/>
                          </a:xfrm>
                          <a:prstGeom prst="rect">
                            <a:avLst/>
                          </a:prstGeom>
                          <a:noFill/>
                          <a:ln>
                            <a:noFill/>
                          </a:ln>
                        </pic:spPr>
                      </pic:pic>
                    </a:graphicData>
                  </a:graphic>
                </wp:inline>
              </w:drawing>
            </w:r>
          </w:p>
          <w:p>
            <w:pPr>
              <w:widowControl w:val="0"/>
              <w:jc w:val="center"/>
            </w:pPr>
            <w:r>
              <w:rPr>
                <w:vanish/>
              </w:rPr>
              <w:t>(ženklas)</w:t>
            </w:r>
          </w:p>
        </w:tc>
        <w:tc>
          <w:tcPr>
            <w:tcW w:w="2574" w:type="dxa"/>
            <w:gridSpan w:val="2"/>
            <w:vAlign w:val="center"/>
          </w:tcPr>
          <w:p>
            <w:pPr>
              <w:widowControl w:val="0"/>
              <w:jc w:val="center"/>
            </w:pPr>
            <w:r>
              <w:rPr>
                <w:lang w:eastAsia="lt-LT"/>
              </w:rPr>
              <w:drawing>
                <wp:inline distT="0" distB="0" distL="0" distR="0">
                  <wp:extent cx="304800" cy="533400"/>
                  <wp:effectExtent l="0" t="0" r="0" b="0"/>
                  <wp:docPr id="165" name="Picture 165" descr="2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2 pav"/>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04800" cy="533400"/>
                          </a:xfrm>
                          <a:prstGeom prst="rect">
                            <a:avLst/>
                          </a:prstGeom>
                          <a:noFill/>
                          <a:ln>
                            <a:noFill/>
                          </a:ln>
                        </pic:spPr>
                      </pic:pic>
                    </a:graphicData>
                  </a:graphic>
                </wp:inline>
              </w:drawing>
            </w:r>
          </w:p>
          <w:p>
            <w:pPr>
              <w:widowControl w:val="0"/>
              <w:jc w:val="center"/>
            </w:pPr>
            <w:r>
              <w:rPr>
                <w:vanish/>
              </w:rPr>
              <w:t>(ženklas)</w:t>
            </w:r>
          </w:p>
        </w:tc>
        <w:tc>
          <w:tcPr>
            <w:tcW w:w="2564" w:type="dxa"/>
            <w:gridSpan w:val="2"/>
            <w:vAlign w:val="center"/>
          </w:tcPr>
          <w:p>
            <w:pPr>
              <w:widowControl w:val="0"/>
              <w:jc w:val="center"/>
            </w:pPr>
            <w:r>
              <w:rPr>
                <w:lang w:eastAsia="lt-LT"/>
              </w:rPr>
              <w:drawing>
                <wp:inline distT="0" distB="0" distL="0" distR="0">
                  <wp:extent cx="352425" cy="571500"/>
                  <wp:effectExtent l="0" t="0" r="0" b="0"/>
                  <wp:docPr id="166" name="Picture 166" descr="3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3 pav"/>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52425" cy="571500"/>
                          </a:xfrm>
                          <a:prstGeom prst="rect">
                            <a:avLst/>
                          </a:prstGeom>
                          <a:noFill/>
                          <a:ln>
                            <a:noFill/>
                          </a:ln>
                        </pic:spPr>
                      </pic:pic>
                    </a:graphicData>
                  </a:graphic>
                </wp:inline>
              </w:drawing>
            </w:r>
          </w:p>
          <w:p>
            <w:pPr>
              <w:widowControl w:val="0"/>
              <w:jc w:val="center"/>
            </w:pPr>
            <w:r>
              <w:rPr>
                <w:vanish/>
              </w:rPr>
              <w:t>(ženklas)</w:t>
            </w:r>
          </w:p>
        </w:tc>
      </w:tr>
      <w:tr>
        <w:trPr>
          <w:cantSplit/>
          <w:trHeight w:val="20"/>
          <w:tblHeader/>
        </w:trPr>
        <w:tc>
          <w:tcPr>
            <w:tcW w:w="1567" w:type="dxa"/>
            <w:vMerge/>
            <w:vAlign w:val="center"/>
          </w:tcPr>
          <w:p>
            <w:pPr>
              <w:widowControl w:val="0"/>
              <w:jc w:val="center"/>
            </w:pPr>
          </w:p>
        </w:tc>
        <w:tc>
          <w:tcPr>
            <w:tcW w:w="7503" w:type="dxa"/>
            <w:gridSpan w:val="6"/>
            <w:vAlign w:val="center"/>
          </w:tcPr>
          <w:p>
            <w:pPr>
              <w:widowControl w:val="0"/>
              <w:jc w:val="center"/>
            </w:pPr>
            <w:r>
              <w:t>Leistinoji ilgalaikė srovė, A, esant metalinio apvalkalo įšilimo temperatūrai,</w:t>
            </w:r>
            <w:r>
              <w:rPr>
                <w:vertAlign w:val="superscript"/>
              </w:rPr>
              <w:t xml:space="preserve"> </w:t>
            </w:r>
            <w:r>
              <w:t>oc</w:t>
            </w:r>
          </w:p>
        </w:tc>
      </w:tr>
      <w:tr>
        <w:trPr>
          <w:cantSplit/>
          <w:trHeight w:val="20"/>
          <w:tblHeader/>
        </w:trPr>
        <w:tc>
          <w:tcPr>
            <w:tcW w:w="1567" w:type="dxa"/>
            <w:vMerge/>
            <w:tcBorders>
              <w:bottom w:val="single" w:sz="2" w:space="0" w:color="auto"/>
            </w:tcBorders>
            <w:vAlign w:val="center"/>
          </w:tcPr>
          <w:p>
            <w:pPr>
              <w:widowControl w:val="0"/>
              <w:jc w:val="center"/>
            </w:pPr>
          </w:p>
        </w:tc>
        <w:tc>
          <w:tcPr>
            <w:tcW w:w="1182" w:type="dxa"/>
            <w:tcBorders>
              <w:bottom w:val="single" w:sz="2" w:space="0" w:color="auto"/>
            </w:tcBorders>
            <w:vAlign w:val="center"/>
          </w:tcPr>
          <w:p>
            <w:pPr>
              <w:widowControl w:val="0"/>
              <w:jc w:val="center"/>
            </w:pPr>
            <w:r>
              <w:t>70</w:t>
            </w:r>
          </w:p>
        </w:tc>
        <w:tc>
          <w:tcPr>
            <w:tcW w:w="1183" w:type="dxa"/>
            <w:tcBorders>
              <w:bottom w:val="single" w:sz="2" w:space="0" w:color="auto"/>
            </w:tcBorders>
            <w:vAlign w:val="center"/>
          </w:tcPr>
          <w:p>
            <w:pPr>
              <w:widowControl w:val="0"/>
              <w:jc w:val="center"/>
            </w:pPr>
            <w:r>
              <w:t>105</w:t>
            </w:r>
          </w:p>
        </w:tc>
        <w:tc>
          <w:tcPr>
            <w:tcW w:w="1286" w:type="dxa"/>
            <w:tcBorders>
              <w:bottom w:val="single" w:sz="2" w:space="0" w:color="auto"/>
            </w:tcBorders>
            <w:vAlign w:val="center"/>
          </w:tcPr>
          <w:p>
            <w:pPr>
              <w:widowControl w:val="0"/>
              <w:jc w:val="center"/>
            </w:pPr>
            <w:r>
              <w:t>70</w:t>
            </w:r>
          </w:p>
        </w:tc>
        <w:tc>
          <w:tcPr>
            <w:tcW w:w="1288" w:type="dxa"/>
            <w:tcBorders>
              <w:bottom w:val="single" w:sz="2" w:space="0" w:color="auto"/>
            </w:tcBorders>
            <w:vAlign w:val="center"/>
          </w:tcPr>
          <w:p>
            <w:pPr>
              <w:widowControl w:val="0"/>
              <w:jc w:val="center"/>
            </w:pPr>
            <w:r>
              <w:t>105</w:t>
            </w:r>
          </w:p>
        </w:tc>
        <w:tc>
          <w:tcPr>
            <w:tcW w:w="1281" w:type="dxa"/>
            <w:tcBorders>
              <w:bottom w:val="single" w:sz="2" w:space="0" w:color="auto"/>
            </w:tcBorders>
            <w:vAlign w:val="center"/>
          </w:tcPr>
          <w:p>
            <w:pPr>
              <w:widowControl w:val="0"/>
              <w:jc w:val="center"/>
            </w:pPr>
            <w:r>
              <w:t>70</w:t>
            </w:r>
          </w:p>
        </w:tc>
        <w:tc>
          <w:tcPr>
            <w:tcW w:w="1283" w:type="dxa"/>
            <w:vAlign w:val="center"/>
          </w:tcPr>
          <w:p>
            <w:pPr>
              <w:widowControl w:val="0"/>
              <w:jc w:val="center"/>
            </w:pPr>
            <w:r>
              <w:t>105</w:t>
            </w:r>
          </w:p>
        </w:tc>
      </w:tr>
      <w:tr>
        <w:trPr>
          <w:cantSplit/>
          <w:trHeight w:val="20"/>
          <w:tblHeader/>
        </w:trPr>
        <w:tc>
          <w:tcPr>
            <w:tcW w:w="1567" w:type="dxa"/>
            <w:tcBorders>
              <w:right w:val="nil"/>
            </w:tcBorders>
            <w:vAlign w:val="center"/>
          </w:tcPr>
          <w:p>
            <w:pPr>
              <w:widowControl w:val="0"/>
            </w:pPr>
            <w:r>
              <w:t>500 V</w:t>
            </w:r>
          </w:p>
        </w:tc>
        <w:tc>
          <w:tcPr>
            <w:tcW w:w="1182" w:type="dxa"/>
            <w:tcBorders>
              <w:left w:val="nil"/>
              <w:right w:val="nil"/>
            </w:tcBorders>
            <w:vAlign w:val="center"/>
          </w:tcPr>
          <w:p>
            <w:pPr>
              <w:widowControl w:val="0"/>
              <w:jc w:val="center"/>
            </w:pPr>
          </w:p>
        </w:tc>
        <w:tc>
          <w:tcPr>
            <w:tcW w:w="1183" w:type="dxa"/>
            <w:tcBorders>
              <w:left w:val="nil"/>
              <w:right w:val="nil"/>
            </w:tcBorders>
            <w:vAlign w:val="center"/>
          </w:tcPr>
          <w:p>
            <w:pPr>
              <w:widowControl w:val="0"/>
              <w:jc w:val="center"/>
            </w:pPr>
          </w:p>
        </w:tc>
        <w:tc>
          <w:tcPr>
            <w:tcW w:w="1286" w:type="dxa"/>
            <w:tcBorders>
              <w:left w:val="nil"/>
              <w:right w:val="nil"/>
            </w:tcBorders>
            <w:vAlign w:val="center"/>
          </w:tcPr>
          <w:p>
            <w:pPr>
              <w:widowControl w:val="0"/>
              <w:jc w:val="center"/>
            </w:pPr>
          </w:p>
        </w:tc>
        <w:tc>
          <w:tcPr>
            <w:tcW w:w="1288" w:type="dxa"/>
            <w:tcBorders>
              <w:left w:val="nil"/>
              <w:right w:val="nil"/>
            </w:tcBorders>
            <w:vAlign w:val="center"/>
          </w:tcPr>
          <w:p>
            <w:pPr>
              <w:widowControl w:val="0"/>
              <w:jc w:val="center"/>
            </w:pPr>
          </w:p>
        </w:tc>
        <w:tc>
          <w:tcPr>
            <w:tcW w:w="1281" w:type="dxa"/>
            <w:tcBorders>
              <w:left w:val="nil"/>
              <w:right w:val="nil"/>
            </w:tcBorders>
            <w:vAlign w:val="center"/>
          </w:tcPr>
          <w:p>
            <w:pPr>
              <w:widowControl w:val="0"/>
              <w:jc w:val="center"/>
            </w:pPr>
          </w:p>
        </w:tc>
        <w:tc>
          <w:tcPr>
            <w:tcW w:w="1283" w:type="dxa"/>
            <w:tcBorders>
              <w:left w:val="nil"/>
            </w:tcBorders>
            <w:vAlign w:val="center"/>
          </w:tcPr>
          <w:p>
            <w:pPr>
              <w:widowControl w:val="0"/>
              <w:jc w:val="center"/>
            </w:pPr>
          </w:p>
        </w:tc>
      </w:tr>
      <w:tr>
        <w:trPr>
          <w:cantSplit/>
          <w:trHeight w:val="20"/>
        </w:trPr>
        <w:tc>
          <w:tcPr>
            <w:tcW w:w="1567" w:type="dxa"/>
            <w:vAlign w:val="center"/>
          </w:tcPr>
          <w:p>
            <w:pPr>
              <w:widowControl w:val="0"/>
              <w:jc w:val="center"/>
            </w:pPr>
            <w:r>
              <w:t>1,5</w:t>
            </w:r>
          </w:p>
        </w:tc>
        <w:tc>
          <w:tcPr>
            <w:tcW w:w="1182" w:type="dxa"/>
            <w:vAlign w:val="center"/>
          </w:tcPr>
          <w:p>
            <w:pPr>
              <w:widowControl w:val="0"/>
              <w:jc w:val="center"/>
            </w:pPr>
            <w:r>
              <w:t>23</w:t>
            </w:r>
          </w:p>
        </w:tc>
        <w:tc>
          <w:tcPr>
            <w:tcW w:w="1183" w:type="dxa"/>
            <w:vAlign w:val="center"/>
          </w:tcPr>
          <w:p>
            <w:pPr>
              <w:widowControl w:val="0"/>
              <w:jc w:val="center"/>
            </w:pPr>
            <w:r>
              <w:t>28</w:t>
            </w:r>
          </w:p>
        </w:tc>
        <w:tc>
          <w:tcPr>
            <w:tcW w:w="1286" w:type="dxa"/>
            <w:vAlign w:val="center"/>
          </w:tcPr>
          <w:p>
            <w:pPr>
              <w:widowControl w:val="0"/>
              <w:jc w:val="center"/>
            </w:pPr>
            <w:r>
              <w:t>19</w:t>
            </w:r>
          </w:p>
        </w:tc>
        <w:tc>
          <w:tcPr>
            <w:tcW w:w="1288" w:type="dxa"/>
            <w:vAlign w:val="center"/>
          </w:tcPr>
          <w:p>
            <w:pPr>
              <w:widowControl w:val="0"/>
              <w:jc w:val="center"/>
            </w:pPr>
            <w:r>
              <w:t>24</w:t>
            </w:r>
          </w:p>
        </w:tc>
        <w:tc>
          <w:tcPr>
            <w:tcW w:w="1281" w:type="dxa"/>
            <w:vAlign w:val="center"/>
          </w:tcPr>
          <w:p>
            <w:pPr>
              <w:widowControl w:val="0"/>
              <w:jc w:val="center"/>
            </w:pPr>
            <w:r>
              <w:t>21</w:t>
            </w:r>
          </w:p>
        </w:tc>
        <w:tc>
          <w:tcPr>
            <w:tcW w:w="1283" w:type="dxa"/>
            <w:vAlign w:val="center"/>
          </w:tcPr>
          <w:p>
            <w:pPr>
              <w:widowControl w:val="0"/>
              <w:jc w:val="center"/>
            </w:pPr>
            <w:r>
              <w:t>27</w:t>
            </w:r>
          </w:p>
        </w:tc>
      </w:tr>
      <w:tr>
        <w:trPr>
          <w:cantSplit/>
          <w:trHeight w:val="20"/>
        </w:trPr>
        <w:tc>
          <w:tcPr>
            <w:tcW w:w="1567" w:type="dxa"/>
            <w:vAlign w:val="center"/>
          </w:tcPr>
          <w:p>
            <w:pPr>
              <w:widowControl w:val="0"/>
              <w:jc w:val="center"/>
            </w:pPr>
            <w:r>
              <w:t>2,5</w:t>
            </w:r>
          </w:p>
        </w:tc>
        <w:tc>
          <w:tcPr>
            <w:tcW w:w="1182" w:type="dxa"/>
            <w:vAlign w:val="center"/>
          </w:tcPr>
          <w:p>
            <w:pPr>
              <w:widowControl w:val="0"/>
              <w:jc w:val="center"/>
            </w:pPr>
            <w:r>
              <w:t>31</w:t>
            </w:r>
          </w:p>
        </w:tc>
        <w:tc>
          <w:tcPr>
            <w:tcW w:w="1183" w:type="dxa"/>
            <w:vAlign w:val="center"/>
          </w:tcPr>
          <w:p>
            <w:pPr>
              <w:widowControl w:val="0"/>
              <w:jc w:val="center"/>
            </w:pPr>
            <w:r>
              <w:t>38</w:t>
            </w:r>
          </w:p>
        </w:tc>
        <w:tc>
          <w:tcPr>
            <w:tcW w:w="1286" w:type="dxa"/>
            <w:vAlign w:val="center"/>
          </w:tcPr>
          <w:p>
            <w:pPr>
              <w:widowControl w:val="0"/>
              <w:jc w:val="center"/>
            </w:pPr>
            <w:r>
              <w:t>26</w:t>
            </w:r>
          </w:p>
        </w:tc>
        <w:tc>
          <w:tcPr>
            <w:tcW w:w="1288" w:type="dxa"/>
            <w:vAlign w:val="center"/>
          </w:tcPr>
          <w:p>
            <w:pPr>
              <w:widowControl w:val="0"/>
              <w:jc w:val="center"/>
            </w:pPr>
            <w:r>
              <w:t>33</w:t>
            </w:r>
          </w:p>
        </w:tc>
        <w:tc>
          <w:tcPr>
            <w:tcW w:w="1281" w:type="dxa"/>
            <w:vAlign w:val="center"/>
          </w:tcPr>
          <w:p>
            <w:pPr>
              <w:widowControl w:val="0"/>
              <w:jc w:val="center"/>
            </w:pPr>
            <w:r>
              <w:t>29</w:t>
            </w:r>
          </w:p>
        </w:tc>
        <w:tc>
          <w:tcPr>
            <w:tcW w:w="1283" w:type="dxa"/>
            <w:vAlign w:val="center"/>
          </w:tcPr>
          <w:p>
            <w:pPr>
              <w:widowControl w:val="0"/>
              <w:jc w:val="center"/>
            </w:pPr>
            <w:r>
              <w:t>36</w:t>
            </w:r>
          </w:p>
        </w:tc>
      </w:tr>
      <w:tr>
        <w:trPr>
          <w:cantSplit/>
          <w:trHeight w:val="20"/>
        </w:trPr>
        <w:tc>
          <w:tcPr>
            <w:tcW w:w="1567" w:type="dxa"/>
            <w:vAlign w:val="center"/>
          </w:tcPr>
          <w:p>
            <w:pPr>
              <w:widowControl w:val="0"/>
              <w:jc w:val="center"/>
            </w:pPr>
            <w:r>
              <w:t>4</w:t>
            </w:r>
          </w:p>
        </w:tc>
        <w:tc>
          <w:tcPr>
            <w:tcW w:w="1182" w:type="dxa"/>
            <w:vAlign w:val="center"/>
          </w:tcPr>
          <w:p>
            <w:pPr>
              <w:widowControl w:val="0"/>
              <w:jc w:val="center"/>
            </w:pPr>
            <w:r>
              <w:t>40</w:t>
            </w:r>
          </w:p>
        </w:tc>
        <w:tc>
          <w:tcPr>
            <w:tcW w:w="1183" w:type="dxa"/>
            <w:vAlign w:val="center"/>
          </w:tcPr>
          <w:p>
            <w:pPr>
              <w:widowControl w:val="0"/>
              <w:jc w:val="center"/>
            </w:pPr>
            <w:r>
              <w:t>51</w:t>
            </w:r>
          </w:p>
        </w:tc>
        <w:tc>
          <w:tcPr>
            <w:tcW w:w="1286" w:type="dxa"/>
            <w:vAlign w:val="center"/>
          </w:tcPr>
          <w:p>
            <w:pPr>
              <w:widowControl w:val="0"/>
              <w:jc w:val="center"/>
            </w:pPr>
            <w:r>
              <w:t>35</w:t>
            </w:r>
          </w:p>
        </w:tc>
        <w:tc>
          <w:tcPr>
            <w:tcW w:w="1288" w:type="dxa"/>
            <w:vAlign w:val="center"/>
          </w:tcPr>
          <w:p>
            <w:pPr>
              <w:widowControl w:val="0"/>
              <w:jc w:val="center"/>
            </w:pPr>
            <w:r>
              <w:t>44</w:t>
            </w:r>
          </w:p>
        </w:tc>
        <w:tc>
          <w:tcPr>
            <w:tcW w:w="1281" w:type="dxa"/>
            <w:vAlign w:val="center"/>
          </w:tcPr>
          <w:p>
            <w:pPr>
              <w:widowControl w:val="0"/>
              <w:jc w:val="center"/>
            </w:pPr>
            <w:r>
              <w:t>38</w:t>
            </w:r>
          </w:p>
        </w:tc>
        <w:tc>
          <w:tcPr>
            <w:tcW w:w="1283" w:type="dxa"/>
            <w:vAlign w:val="center"/>
          </w:tcPr>
          <w:p>
            <w:pPr>
              <w:widowControl w:val="0"/>
              <w:jc w:val="center"/>
            </w:pPr>
            <w:r>
              <w:t>47</w:t>
            </w:r>
          </w:p>
        </w:tc>
      </w:tr>
      <w:tr>
        <w:trPr>
          <w:cantSplit/>
          <w:trHeight w:val="20"/>
          <w:tblHeader/>
        </w:trPr>
        <w:tc>
          <w:tcPr>
            <w:tcW w:w="1567" w:type="dxa"/>
            <w:tcBorders>
              <w:right w:val="nil"/>
            </w:tcBorders>
            <w:vAlign w:val="center"/>
          </w:tcPr>
          <w:p>
            <w:pPr>
              <w:widowControl w:val="0"/>
            </w:pPr>
            <w:r>
              <w:t>750 V</w:t>
            </w:r>
          </w:p>
        </w:tc>
        <w:tc>
          <w:tcPr>
            <w:tcW w:w="1182" w:type="dxa"/>
            <w:tcBorders>
              <w:left w:val="nil"/>
              <w:right w:val="nil"/>
            </w:tcBorders>
            <w:vAlign w:val="center"/>
          </w:tcPr>
          <w:p>
            <w:pPr>
              <w:widowControl w:val="0"/>
              <w:jc w:val="center"/>
            </w:pPr>
          </w:p>
        </w:tc>
        <w:tc>
          <w:tcPr>
            <w:tcW w:w="1183" w:type="dxa"/>
            <w:tcBorders>
              <w:left w:val="nil"/>
              <w:right w:val="nil"/>
            </w:tcBorders>
            <w:vAlign w:val="center"/>
          </w:tcPr>
          <w:p>
            <w:pPr>
              <w:widowControl w:val="0"/>
              <w:jc w:val="center"/>
            </w:pPr>
          </w:p>
        </w:tc>
        <w:tc>
          <w:tcPr>
            <w:tcW w:w="1286" w:type="dxa"/>
            <w:tcBorders>
              <w:left w:val="nil"/>
              <w:right w:val="nil"/>
            </w:tcBorders>
            <w:vAlign w:val="center"/>
          </w:tcPr>
          <w:p>
            <w:pPr>
              <w:widowControl w:val="0"/>
              <w:jc w:val="center"/>
            </w:pPr>
          </w:p>
        </w:tc>
        <w:tc>
          <w:tcPr>
            <w:tcW w:w="1288" w:type="dxa"/>
            <w:tcBorders>
              <w:left w:val="nil"/>
              <w:right w:val="nil"/>
            </w:tcBorders>
            <w:vAlign w:val="center"/>
          </w:tcPr>
          <w:p>
            <w:pPr>
              <w:widowControl w:val="0"/>
              <w:jc w:val="center"/>
            </w:pPr>
          </w:p>
        </w:tc>
        <w:tc>
          <w:tcPr>
            <w:tcW w:w="1281" w:type="dxa"/>
            <w:tcBorders>
              <w:left w:val="nil"/>
              <w:right w:val="nil"/>
            </w:tcBorders>
            <w:vAlign w:val="center"/>
          </w:tcPr>
          <w:p>
            <w:pPr>
              <w:widowControl w:val="0"/>
              <w:jc w:val="center"/>
            </w:pPr>
          </w:p>
        </w:tc>
        <w:tc>
          <w:tcPr>
            <w:tcW w:w="1283" w:type="dxa"/>
            <w:tcBorders>
              <w:left w:val="nil"/>
            </w:tcBorders>
            <w:vAlign w:val="center"/>
          </w:tcPr>
          <w:p>
            <w:pPr>
              <w:widowControl w:val="0"/>
              <w:jc w:val="center"/>
            </w:pPr>
          </w:p>
        </w:tc>
      </w:tr>
      <w:tr>
        <w:trPr>
          <w:cantSplit/>
          <w:trHeight w:val="20"/>
        </w:trPr>
        <w:tc>
          <w:tcPr>
            <w:tcW w:w="1567" w:type="dxa"/>
            <w:vAlign w:val="center"/>
          </w:tcPr>
          <w:p>
            <w:pPr>
              <w:widowControl w:val="0"/>
              <w:jc w:val="center"/>
            </w:pPr>
            <w:r>
              <w:t>1,5</w:t>
            </w:r>
          </w:p>
        </w:tc>
        <w:tc>
          <w:tcPr>
            <w:tcW w:w="1182" w:type="dxa"/>
            <w:vAlign w:val="center"/>
          </w:tcPr>
          <w:p>
            <w:pPr>
              <w:widowControl w:val="0"/>
              <w:jc w:val="center"/>
            </w:pPr>
            <w:r>
              <w:t>25</w:t>
            </w:r>
          </w:p>
        </w:tc>
        <w:tc>
          <w:tcPr>
            <w:tcW w:w="1183" w:type="dxa"/>
            <w:vAlign w:val="center"/>
          </w:tcPr>
          <w:p>
            <w:pPr>
              <w:widowControl w:val="0"/>
              <w:jc w:val="center"/>
            </w:pPr>
            <w:r>
              <w:t>31</w:t>
            </w:r>
          </w:p>
        </w:tc>
        <w:tc>
          <w:tcPr>
            <w:tcW w:w="1286" w:type="dxa"/>
            <w:vAlign w:val="center"/>
          </w:tcPr>
          <w:p>
            <w:pPr>
              <w:widowControl w:val="0"/>
              <w:jc w:val="center"/>
            </w:pPr>
            <w:r>
              <w:t>21</w:t>
            </w:r>
          </w:p>
        </w:tc>
        <w:tc>
          <w:tcPr>
            <w:tcW w:w="1288" w:type="dxa"/>
            <w:vAlign w:val="center"/>
          </w:tcPr>
          <w:p>
            <w:pPr>
              <w:widowControl w:val="0"/>
              <w:jc w:val="center"/>
            </w:pPr>
            <w:r>
              <w:t>26</w:t>
            </w:r>
          </w:p>
        </w:tc>
        <w:tc>
          <w:tcPr>
            <w:tcW w:w="1281" w:type="dxa"/>
            <w:vAlign w:val="center"/>
          </w:tcPr>
          <w:p>
            <w:pPr>
              <w:widowControl w:val="0"/>
              <w:jc w:val="center"/>
            </w:pPr>
            <w:r>
              <w:t>23</w:t>
            </w:r>
          </w:p>
        </w:tc>
        <w:tc>
          <w:tcPr>
            <w:tcW w:w="1283" w:type="dxa"/>
            <w:vAlign w:val="center"/>
          </w:tcPr>
          <w:p>
            <w:pPr>
              <w:widowControl w:val="0"/>
              <w:jc w:val="center"/>
            </w:pPr>
            <w:r>
              <w:t>30</w:t>
            </w:r>
          </w:p>
        </w:tc>
      </w:tr>
      <w:tr>
        <w:trPr>
          <w:cantSplit/>
          <w:trHeight w:val="20"/>
        </w:trPr>
        <w:tc>
          <w:tcPr>
            <w:tcW w:w="1567" w:type="dxa"/>
            <w:vAlign w:val="center"/>
          </w:tcPr>
          <w:p>
            <w:pPr>
              <w:widowControl w:val="0"/>
              <w:jc w:val="center"/>
            </w:pPr>
            <w:r>
              <w:t>2,5</w:t>
            </w:r>
          </w:p>
        </w:tc>
        <w:tc>
          <w:tcPr>
            <w:tcW w:w="1182" w:type="dxa"/>
            <w:vAlign w:val="center"/>
          </w:tcPr>
          <w:p>
            <w:pPr>
              <w:widowControl w:val="0"/>
              <w:jc w:val="center"/>
            </w:pPr>
            <w:r>
              <w:t>34</w:t>
            </w:r>
          </w:p>
        </w:tc>
        <w:tc>
          <w:tcPr>
            <w:tcW w:w="1183" w:type="dxa"/>
            <w:vAlign w:val="center"/>
          </w:tcPr>
          <w:p>
            <w:pPr>
              <w:widowControl w:val="0"/>
              <w:jc w:val="center"/>
            </w:pPr>
            <w:r>
              <w:t>42</w:t>
            </w:r>
          </w:p>
        </w:tc>
        <w:tc>
          <w:tcPr>
            <w:tcW w:w="1286" w:type="dxa"/>
            <w:vAlign w:val="center"/>
          </w:tcPr>
          <w:p>
            <w:pPr>
              <w:widowControl w:val="0"/>
              <w:jc w:val="center"/>
            </w:pPr>
            <w:r>
              <w:t>28</w:t>
            </w:r>
          </w:p>
        </w:tc>
        <w:tc>
          <w:tcPr>
            <w:tcW w:w="1288" w:type="dxa"/>
            <w:vAlign w:val="center"/>
          </w:tcPr>
          <w:p>
            <w:pPr>
              <w:widowControl w:val="0"/>
              <w:jc w:val="center"/>
            </w:pPr>
            <w:r>
              <w:t>35</w:t>
            </w:r>
          </w:p>
        </w:tc>
        <w:tc>
          <w:tcPr>
            <w:tcW w:w="1281" w:type="dxa"/>
            <w:vAlign w:val="center"/>
          </w:tcPr>
          <w:p>
            <w:pPr>
              <w:widowControl w:val="0"/>
              <w:jc w:val="center"/>
            </w:pPr>
            <w:r>
              <w:t>31</w:t>
            </w:r>
          </w:p>
        </w:tc>
        <w:tc>
          <w:tcPr>
            <w:tcW w:w="1283" w:type="dxa"/>
            <w:vAlign w:val="center"/>
          </w:tcPr>
          <w:p>
            <w:pPr>
              <w:widowControl w:val="0"/>
              <w:jc w:val="center"/>
            </w:pPr>
            <w:r>
              <w:t>41</w:t>
            </w:r>
          </w:p>
        </w:tc>
      </w:tr>
      <w:tr>
        <w:trPr>
          <w:cantSplit/>
          <w:trHeight w:val="20"/>
        </w:trPr>
        <w:tc>
          <w:tcPr>
            <w:tcW w:w="1567" w:type="dxa"/>
            <w:vAlign w:val="center"/>
          </w:tcPr>
          <w:p>
            <w:pPr>
              <w:widowControl w:val="0"/>
              <w:jc w:val="center"/>
            </w:pPr>
            <w:r>
              <w:t>4</w:t>
            </w:r>
          </w:p>
        </w:tc>
        <w:tc>
          <w:tcPr>
            <w:tcW w:w="1182" w:type="dxa"/>
            <w:vAlign w:val="center"/>
          </w:tcPr>
          <w:p>
            <w:pPr>
              <w:widowControl w:val="0"/>
              <w:jc w:val="center"/>
            </w:pPr>
            <w:r>
              <w:t>45</w:t>
            </w:r>
          </w:p>
        </w:tc>
        <w:tc>
          <w:tcPr>
            <w:tcW w:w="1183" w:type="dxa"/>
            <w:vAlign w:val="center"/>
          </w:tcPr>
          <w:p>
            <w:pPr>
              <w:widowControl w:val="0"/>
              <w:jc w:val="center"/>
            </w:pPr>
            <w:r>
              <w:t>55</w:t>
            </w:r>
          </w:p>
        </w:tc>
        <w:tc>
          <w:tcPr>
            <w:tcW w:w="1286" w:type="dxa"/>
            <w:vAlign w:val="center"/>
          </w:tcPr>
          <w:p>
            <w:pPr>
              <w:widowControl w:val="0"/>
              <w:jc w:val="center"/>
            </w:pPr>
            <w:r>
              <w:t>37</w:t>
            </w:r>
          </w:p>
        </w:tc>
        <w:tc>
          <w:tcPr>
            <w:tcW w:w="1288" w:type="dxa"/>
            <w:vAlign w:val="center"/>
          </w:tcPr>
          <w:p>
            <w:pPr>
              <w:widowControl w:val="0"/>
              <w:jc w:val="center"/>
            </w:pPr>
            <w:r>
              <w:t>47</w:t>
            </w:r>
          </w:p>
        </w:tc>
        <w:tc>
          <w:tcPr>
            <w:tcW w:w="1281" w:type="dxa"/>
            <w:vAlign w:val="center"/>
          </w:tcPr>
          <w:p>
            <w:pPr>
              <w:widowControl w:val="0"/>
              <w:jc w:val="center"/>
            </w:pPr>
            <w:r>
              <w:t>41</w:t>
            </w:r>
          </w:p>
        </w:tc>
        <w:tc>
          <w:tcPr>
            <w:tcW w:w="1283" w:type="dxa"/>
            <w:vAlign w:val="center"/>
          </w:tcPr>
          <w:p>
            <w:pPr>
              <w:widowControl w:val="0"/>
              <w:jc w:val="center"/>
            </w:pPr>
            <w:r>
              <w:t>53</w:t>
            </w:r>
          </w:p>
        </w:tc>
      </w:tr>
      <w:tr>
        <w:trPr>
          <w:cantSplit/>
          <w:trHeight w:val="20"/>
        </w:trPr>
        <w:tc>
          <w:tcPr>
            <w:tcW w:w="1567" w:type="dxa"/>
            <w:vAlign w:val="center"/>
          </w:tcPr>
          <w:p>
            <w:pPr>
              <w:widowControl w:val="0"/>
              <w:jc w:val="center"/>
            </w:pPr>
            <w:r>
              <w:t>6</w:t>
            </w:r>
          </w:p>
        </w:tc>
        <w:tc>
          <w:tcPr>
            <w:tcW w:w="1182" w:type="dxa"/>
            <w:vAlign w:val="center"/>
          </w:tcPr>
          <w:p>
            <w:pPr>
              <w:widowControl w:val="0"/>
              <w:jc w:val="center"/>
            </w:pPr>
            <w:r>
              <w:t>57</w:t>
            </w:r>
          </w:p>
        </w:tc>
        <w:tc>
          <w:tcPr>
            <w:tcW w:w="1183" w:type="dxa"/>
            <w:vAlign w:val="center"/>
          </w:tcPr>
          <w:p>
            <w:pPr>
              <w:widowControl w:val="0"/>
              <w:jc w:val="center"/>
            </w:pPr>
            <w:r>
              <w:t>70</w:t>
            </w:r>
          </w:p>
        </w:tc>
        <w:tc>
          <w:tcPr>
            <w:tcW w:w="1286" w:type="dxa"/>
            <w:vAlign w:val="center"/>
          </w:tcPr>
          <w:p>
            <w:pPr>
              <w:widowControl w:val="0"/>
              <w:jc w:val="center"/>
            </w:pPr>
            <w:r>
              <w:t>48</w:t>
            </w:r>
          </w:p>
        </w:tc>
        <w:tc>
          <w:tcPr>
            <w:tcW w:w="1288" w:type="dxa"/>
            <w:vAlign w:val="center"/>
          </w:tcPr>
          <w:p>
            <w:pPr>
              <w:widowControl w:val="0"/>
              <w:jc w:val="center"/>
            </w:pPr>
            <w:r>
              <w:t>59</w:t>
            </w:r>
          </w:p>
        </w:tc>
        <w:tc>
          <w:tcPr>
            <w:tcW w:w="1281" w:type="dxa"/>
            <w:vAlign w:val="center"/>
          </w:tcPr>
          <w:p>
            <w:pPr>
              <w:widowControl w:val="0"/>
              <w:jc w:val="center"/>
            </w:pPr>
            <w:r>
              <w:t>52</w:t>
            </w:r>
          </w:p>
        </w:tc>
        <w:tc>
          <w:tcPr>
            <w:tcW w:w="1283" w:type="dxa"/>
            <w:vAlign w:val="center"/>
          </w:tcPr>
          <w:p>
            <w:pPr>
              <w:widowControl w:val="0"/>
              <w:jc w:val="center"/>
            </w:pPr>
            <w:r>
              <w:t>67</w:t>
            </w:r>
          </w:p>
        </w:tc>
      </w:tr>
      <w:tr>
        <w:trPr>
          <w:cantSplit/>
          <w:trHeight w:val="20"/>
        </w:trPr>
        <w:tc>
          <w:tcPr>
            <w:tcW w:w="1567" w:type="dxa"/>
            <w:vAlign w:val="center"/>
          </w:tcPr>
          <w:p>
            <w:pPr>
              <w:widowControl w:val="0"/>
              <w:jc w:val="center"/>
            </w:pPr>
            <w:r>
              <w:t>10</w:t>
            </w:r>
          </w:p>
        </w:tc>
        <w:tc>
          <w:tcPr>
            <w:tcW w:w="1182" w:type="dxa"/>
            <w:vAlign w:val="center"/>
          </w:tcPr>
          <w:p>
            <w:pPr>
              <w:widowControl w:val="0"/>
              <w:jc w:val="center"/>
            </w:pPr>
            <w:r>
              <w:t>77</w:t>
            </w:r>
          </w:p>
        </w:tc>
        <w:tc>
          <w:tcPr>
            <w:tcW w:w="1183" w:type="dxa"/>
            <w:vAlign w:val="center"/>
          </w:tcPr>
          <w:p>
            <w:pPr>
              <w:widowControl w:val="0"/>
              <w:jc w:val="center"/>
            </w:pPr>
            <w:r>
              <w:t>96</w:t>
            </w:r>
          </w:p>
        </w:tc>
        <w:tc>
          <w:tcPr>
            <w:tcW w:w="1286" w:type="dxa"/>
            <w:vAlign w:val="center"/>
          </w:tcPr>
          <w:p>
            <w:pPr>
              <w:widowControl w:val="0"/>
              <w:jc w:val="center"/>
            </w:pPr>
            <w:r>
              <w:t>65</w:t>
            </w:r>
          </w:p>
        </w:tc>
        <w:tc>
          <w:tcPr>
            <w:tcW w:w="1288" w:type="dxa"/>
            <w:vAlign w:val="center"/>
          </w:tcPr>
          <w:p>
            <w:pPr>
              <w:widowControl w:val="0"/>
              <w:jc w:val="center"/>
            </w:pPr>
            <w:r>
              <w:t>81</w:t>
            </w:r>
          </w:p>
        </w:tc>
        <w:tc>
          <w:tcPr>
            <w:tcW w:w="1281" w:type="dxa"/>
            <w:vAlign w:val="center"/>
          </w:tcPr>
          <w:p>
            <w:pPr>
              <w:widowControl w:val="0"/>
              <w:jc w:val="center"/>
            </w:pPr>
            <w:r>
              <w:t>70</w:t>
            </w:r>
          </w:p>
        </w:tc>
        <w:tc>
          <w:tcPr>
            <w:tcW w:w="1283" w:type="dxa"/>
            <w:vAlign w:val="center"/>
          </w:tcPr>
          <w:p>
            <w:pPr>
              <w:widowControl w:val="0"/>
              <w:jc w:val="center"/>
            </w:pPr>
            <w:r>
              <w:t>91</w:t>
            </w:r>
          </w:p>
        </w:tc>
      </w:tr>
      <w:tr>
        <w:trPr>
          <w:cantSplit/>
          <w:trHeight w:val="20"/>
        </w:trPr>
        <w:tc>
          <w:tcPr>
            <w:tcW w:w="1567" w:type="dxa"/>
            <w:vAlign w:val="center"/>
          </w:tcPr>
          <w:p>
            <w:pPr>
              <w:widowControl w:val="0"/>
              <w:jc w:val="center"/>
            </w:pPr>
            <w:r>
              <w:t>16</w:t>
            </w:r>
          </w:p>
        </w:tc>
        <w:tc>
          <w:tcPr>
            <w:tcW w:w="1182" w:type="dxa"/>
            <w:vAlign w:val="center"/>
          </w:tcPr>
          <w:p>
            <w:pPr>
              <w:widowControl w:val="0"/>
              <w:jc w:val="center"/>
            </w:pPr>
            <w:r>
              <w:t>102</w:t>
            </w:r>
          </w:p>
        </w:tc>
        <w:tc>
          <w:tcPr>
            <w:tcW w:w="1183" w:type="dxa"/>
            <w:vAlign w:val="center"/>
          </w:tcPr>
          <w:p>
            <w:pPr>
              <w:widowControl w:val="0"/>
              <w:jc w:val="center"/>
            </w:pPr>
            <w:r>
              <w:t>127</w:t>
            </w:r>
          </w:p>
        </w:tc>
        <w:tc>
          <w:tcPr>
            <w:tcW w:w="1286" w:type="dxa"/>
            <w:vAlign w:val="center"/>
          </w:tcPr>
          <w:p>
            <w:pPr>
              <w:widowControl w:val="0"/>
              <w:jc w:val="center"/>
            </w:pPr>
            <w:r>
              <w:t>86</w:t>
            </w:r>
          </w:p>
        </w:tc>
        <w:tc>
          <w:tcPr>
            <w:tcW w:w="1288" w:type="dxa"/>
            <w:vAlign w:val="center"/>
          </w:tcPr>
          <w:p>
            <w:pPr>
              <w:widowControl w:val="0"/>
              <w:jc w:val="center"/>
            </w:pPr>
            <w:r>
              <w:t>107</w:t>
            </w:r>
          </w:p>
        </w:tc>
        <w:tc>
          <w:tcPr>
            <w:tcW w:w="1281" w:type="dxa"/>
            <w:vAlign w:val="center"/>
          </w:tcPr>
          <w:p>
            <w:pPr>
              <w:widowControl w:val="0"/>
              <w:jc w:val="center"/>
            </w:pPr>
            <w:r>
              <w:t>92</w:t>
            </w:r>
          </w:p>
        </w:tc>
        <w:tc>
          <w:tcPr>
            <w:tcW w:w="1283" w:type="dxa"/>
            <w:vAlign w:val="center"/>
          </w:tcPr>
          <w:p>
            <w:pPr>
              <w:widowControl w:val="0"/>
              <w:jc w:val="center"/>
            </w:pPr>
            <w:r>
              <w:t>119</w:t>
            </w:r>
          </w:p>
        </w:tc>
      </w:tr>
      <w:tr>
        <w:trPr>
          <w:cantSplit/>
          <w:trHeight w:val="20"/>
        </w:trPr>
        <w:tc>
          <w:tcPr>
            <w:tcW w:w="1567" w:type="dxa"/>
            <w:vAlign w:val="center"/>
          </w:tcPr>
          <w:p>
            <w:pPr>
              <w:widowControl w:val="0"/>
              <w:jc w:val="center"/>
            </w:pPr>
            <w:r>
              <w:t>25</w:t>
            </w:r>
          </w:p>
        </w:tc>
        <w:tc>
          <w:tcPr>
            <w:tcW w:w="1182" w:type="dxa"/>
            <w:vAlign w:val="center"/>
          </w:tcPr>
          <w:p>
            <w:pPr>
              <w:widowControl w:val="0"/>
              <w:jc w:val="center"/>
            </w:pPr>
            <w:r>
              <w:t>133</w:t>
            </w:r>
          </w:p>
        </w:tc>
        <w:tc>
          <w:tcPr>
            <w:tcW w:w="1183" w:type="dxa"/>
            <w:vAlign w:val="center"/>
          </w:tcPr>
          <w:p>
            <w:pPr>
              <w:widowControl w:val="0"/>
              <w:jc w:val="center"/>
            </w:pPr>
            <w:r>
              <w:t>166</w:t>
            </w:r>
          </w:p>
        </w:tc>
        <w:tc>
          <w:tcPr>
            <w:tcW w:w="1286" w:type="dxa"/>
            <w:vAlign w:val="center"/>
          </w:tcPr>
          <w:p>
            <w:pPr>
              <w:widowControl w:val="0"/>
              <w:jc w:val="center"/>
            </w:pPr>
            <w:r>
              <w:t>112</w:t>
            </w:r>
          </w:p>
        </w:tc>
        <w:tc>
          <w:tcPr>
            <w:tcW w:w="1288" w:type="dxa"/>
            <w:vAlign w:val="center"/>
          </w:tcPr>
          <w:p>
            <w:pPr>
              <w:widowControl w:val="0"/>
              <w:jc w:val="center"/>
            </w:pPr>
            <w:r>
              <w:t>140</w:t>
            </w:r>
          </w:p>
        </w:tc>
        <w:tc>
          <w:tcPr>
            <w:tcW w:w="1281" w:type="dxa"/>
            <w:vAlign w:val="center"/>
          </w:tcPr>
          <w:p>
            <w:pPr>
              <w:widowControl w:val="0"/>
              <w:jc w:val="center"/>
            </w:pPr>
            <w:r>
              <w:t>120</w:t>
            </w:r>
          </w:p>
        </w:tc>
        <w:tc>
          <w:tcPr>
            <w:tcW w:w="1283" w:type="dxa"/>
            <w:vAlign w:val="center"/>
          </w:tcPr>
          <w:p>
            <w:pPr>
              <w:widowControl w:val="0"/>
              <w:jc w:val="center"/>
            </w:pPr>
            <w:r>
              <w:t>154</w:t>
            </w:r>
          </w:p>
        </w:tc>
      </w:tr>
      <w:tr>
        <w:trPr>
          <w:cantSplit/>
          <w:trHeight w:val="20"/>
        </w:trPr>
        <w:tc>
          <w:tcPr>
            <w:tcW w:w="1567" w:type="dxa"/>
            <w:vAlign w:val="center"/>
          </w:tcPr>
          <w:p>
            <w:pPr>
              <w:widowControl w:val="0"/>
              <w:jc w:val="center"/>
            </w:pPr>
            <w:r>
              <w:t>35</w:t>
            </w:r>
          </w:p>
        </w:tc>
        <w:tc>
          <w:tcPr>
            <w:tcW w:w="1182" w:type="dxa"/>
            <w:vAlign w:val="center"/>
          </w:tcPr>
          <w:p>
            <w:pPr>
              <w:widowControl w:val="0"/>
              <w:jc w:val="center"/>
            </w:pPr>
            <w:r>
              <w:t>163</w:t>
            </w:r>
          </w:p>
        </w:tc>
        <w:tc>
          <w:tcPr>
            <w:tcW w:w="1183" w:type="dxa"/>
            <w:vAlign w:val="center"/>
          </w:tcPr>
          <w:p>
            <w:pPr>
              <w:widowControl w:val="0"/>
              <w:jc w:val="center"/>
            </w:pPr>
            <w:r>
              <w:t>203</w:t>
            </w:r>
          </w:p>
        </w:tc>
        <w:tc>
          <w:tcPr>
            <w:tcW w:w="1286" w:type="dxa"/>
            <w:vAlign w:val="center"/>
          </w:tcPr>
          <w:p>
            <w:pPr>
              <w:widowControl w:val="0"/>
              <w:jc w:val="center"/>
            </w:pPr>
            <w:r>
              <w:t>137</w:t>
            </w:r>
          </w:p>
        </w:tc>
        <w:tc>
          <w:tcPr>
            <w:tcW w:w="1288" w:type="dxa"/>
            <w:vAlign w:val="center"/>
          </w:tcPr>
          <w:p>
            <w:pPr>
              <w:widowControl w:val="0"/>
              <w:jc w:val="center"/>
            </w:pPr>
            <w:r>
              <w:t>171</w:t>
            </w:r>
          </w:p>
        </w:tc>
        <w:tc>
          <w:tcPr>
            <w:tcW w:w="1281" w:type="dxa"/>
            <w:vAlign w:val="center"/>
          </w:tcPr>
          <w:p>
            <w:pPr>
              <w:widowControl w:val="0"/>
              <w:jc w:val="center"/>
            </w:pPr>
            <w:r>
              <w:t>147</w:t>
            </w:r>
          </w:p>
        </w:tc>
        <w:tc>
          <w:tcPr>
            <w:tcW w:w="1283" w:type="dxa"/>
            <w:vAlign w:val="center"/>
          </w:tcPr>
          <w:p>
            <w:pPr>
              <w:widowControl w:val="0"/>
              <w:jc w:val="center"/>
            </w:pPr>
            <w:r>
              <w:t>187</w:t>
            </w:r>
          </w:p>
        </w:tc>
      </w:tr>
      <w:tr>
        <w:trPr>
          <w:cantSplit/>
          <w:trHeight w:val="20"/>
        </w:trPr>
        <w:tc>
          <w:tcPr>
            <w:tcW w:w="1567" w:type="dxa"/>
            <w:vAlign w:val="center"/>
          </w:tcPr>
          <w:p>
            <w:pPr>
              <w:widowControl w:val="0"/>
              <w:jc w:val="center"/>
            </w:pPr>
            <w:r>
              <w:t>50</w:t>
            </w:r>
          </w:p>
        </w:tc>
        <w:tc>
          <w:tcPr>
            <w:tcW w:w="1182" w:type="dxa"/>
            <w:vAlign w:val="center"/>
          </w:tcPr>
          <w:p>
            <w:pPr>
              <w:widowControl w:val="0"/>
              <w:jc w:val="center"/>
            </w:pPr>
            <w:r>
              <w:t>202</w:t>
            </w:r>
          </w:p>
        </w:tc>
        <w:tc>
          <w:tcPr>
            <w:tcW w:w="1183" w:type="dxa"/>
            <w:vAlign w:val="center"/>
          </w:tcPr>
          <w:p>
            <w:pPr>
              <w:widowControl w:val="0"/>
              <w:jc w:val="center"/>
            </w:pPr>
            <w:r>
              <w:t>251</w:t>
            </w:r>
          </w:p>
        </w:tc>
        <w:tc>
          <w:tcPr>
            <w:tcW w:w="1286" w:type="dxa"/>
            <w:vAlign w:val="center"/>
          </w:tcPr>
          <w:p>
            <w:pPr>
              <w:widowControl w:val="0"/>
              <w:jc w:val="center"/>
            </w:pPr>
            <w:r>
              <w:t>169</w:t>
            </w:r>
          </w:p>
        </w:tc>
        <w:tc>
          <w:tcPr>
            <w:tcW w:w="1288" w:type="dxa"/>
            <w:vAlign w:val="center"/>
          </w:tcPr>
          <w:p>
            <w:pPr>
              <w:widowControl w:val="0"/>
              <w:jc w:val="center"/>
            </w:pPr>
            <w:r>
              <w:t>212</w:t>
            </w:r>
          </w:p>
        </w:tc>
        <w:tc>
          <w:tcPr>
            <w:tcW w:w="1281" w:type="dxa"/>
            <w:vAlign w:val="center"/>
          </w:tcPr>
          <w:p>
            <w:pPr>
              <w:widowControl w:val="0"/>
              <w:jc w:val="center"/>
            </w:pPr>
            <w:r>
              <w:t>181</w:t>
            </w:r>
          </w:p>
        </w:tc>
        <w:tc>
          <w:tcPr>
            <w:tcW w:w="1283" w:type="dxa"/>
            <w:vAlign w:val="center"/>
          </w:tcPr>
          <w:p>
            <w:pPr>
              <w:widowControl w:val="0"/>
              <w:jc w:val="center"/>
            </w:pPr>
            <w:r>
              <w:t>230</w:t>
            </w:r>
          </w:p>
        </w:tc>
      </w:tr>
      <w:tr>
        <w:trPr>
          <w:cantSplit/>
          <w:trHeight w:val="20"/>
        </w:trPr>
        <w:tc>
          <w:tcPr>
            <w:tcW w:w="1567" w:type="dxa"/>
            <w:vAlign w:val="center"/>
          </w:tcPr>
          <w:p>
            <w:pPr>
              <w:widowControl w:val="0"/>
              <w:jc w:val="center"/>
            </w:pPr>
            <w:r>
              <w:t>70</w:t>
            </w:r>
          </w:p>
        </w:tc>
        <w:tc>
          <w:tcPr>
            <w:tcW w:w="1182" w:type="dxa"/>
            <w:vAlign w:val="center"/>
          </w:tcPr>
          <w:p>
            <w:pPr>
              <w:widowControl w:val="0"/>
              <w:jc w:val="center"/>
            </w:pPr>
            <w:r>
              <w:t>247</w:t>
            </w:r>
          </w:p>
        </w:tc>
        <w:tc>
          <w:tcPr>
            <w:tcW w:w="1183" w:type="dxa"/>
            <w:vAlign w:val="center"/>
          </w:tcPr>
          <w:p>
            <w:pPr>
              <w:widowControl w:val="0"/>
              <w:jc w:val="center"/>
            </w:pPr>
            <w:r>
              <w:t>307</w:t>
            </w:r>
          </w:p>
        </w:tc>
        <w:tc>
          <w:tcPr>
            <w:tcW w:w="1286" w:type="dxa"/>
            <w:vAlign w:val="center"/>
          </w:tcPr>
          <w:p>
            <w:pPr>
              <w:widowControl w:val="0"/>
              <w:jc w:val="center"/>
            </w:pPr>
            <w:r>
              <w:t>207</w:t>
            </w:r>
          </w:p>
        </w:tc>
        <w:tc>
          <w:tcPr>
            <w:tcW w:w="1288" w:type="dxa"/>
            <w:vAlign w:val="center"/>
          </w:tcPr>
          <w:p>
            <w:pPr>
              <w:widowControl w:val="0"/>
              <w:jc w:val="center"/>
            </w:pPr>
            <w:r>
              <w:t>260</w:t>
            </w:r>
          </w:p>
        </w:tc>
        <w:tc>
          <w:tcPr>
            <w:tcW w:w="1281" w:type="dxa"/>
            <w:vAlign w:val="center"/>
          </w:tcPr>
          <w:p>
            <w:pPr>
              <w:widowControl w:val="0"/>
              <w:jc w:val="center"/>
            </w:pPr>
            <w:r>
              <w:t>221</w:t>
            </w:r>
          </w:p>
        </w:tc>
        <w:tc>
          <w:tcPr>
            <w:tcW w:w="1283" w:type="dxa"/>
            <w:vAlign w:val="center"/>
          </w:tcPr>
          <w:p>
            <w:pPr>
              <w:widowControl w:val="0"/>
              <w:jc w:val="center"/>
            </w:pPr>
            <w:r>
              <w:t>280</w:t>
            </w:r>
          </w:p>
        </w:tc>
      </w:tr>
      <w:tr>
        <w:trPr>
          <w:cantSplit/>
          <w:trHeight w:val="20"/>
        </w:trPr>
        <w:tc>
          <w:tcPr>
            <w:tcW w:w="1567" w:type="dxa"/>
            <w:vAlign w:val="center"/>
          </w:tcPr>
          <w:p>
            <w:pPr>
              <w:widowControl w:val="0"/>
              <w:jc w:val="center"/>
            </w:pPr>
            <w:r>
              <w:t>95</w:t>
            </w:r>
          </w:p>
        </w:tc>
        <w:tc>
          <w:tcPr>
            <w:tcW w:w="1182" w:type="dxa"/>
            <w:vAlign w:val="center"/>
          </w:tcPr>
          <w:p>
            <w:pPr>
              <w:widowControl w:val="0"/>
              <w:jc w:val="center"/>
            </w:pPr>
            <w:r>
              <w:t>296</w:t>
            </w:r>
          </w:p>
        </w:tc>
        <w:tc>
          <w:tcPr>
            <w:tcW w:w="1183" w:type="dxa"/>
            <w:vAlign w:val="center"/>
          </w:tcPr>
          <w:p>
            <w:pPr>
              <w:widowControl w:val="0"/>
              <w:jc w:val="center"/>
            </w:pPr>
            <w:r>
              <w:t>369</w:t>
            </w:r>
          </w:p>
        </w:tc>
        <w:tc>
          <w:tcPr>
            <w:tcW w:w="1286" w:type="dxa"/>
            <w:vAlign w:val="center"/>
          </w:tcPr>
          <w:p>
            <w:pPr>
              <w:widowControl w:val="0"/>
              <w:jc w:val="center"/>
            </w:pPr>
            <w:r>
              <w:t>249</w:t>
            </w:r>
          </w:p>
        </w:tc>
        <w:tc>
          <w:tcPr>
            <w:tcW w:w="1288" w:type="dxa"/>
            <w:vAlign w:val="center"/>
          </w:tcPr>
          <w:p>
            <w:pPr>
              <w:widowControl w:val="0"/>
              <w:jc w:val="center"/>
            </w:pPr>
            <w:r>
              <w:t>312</w:t>
            </w:r>
          </w:p>
        </w:tc>
        <w:tc>
          <w:tcPr>
            <w:tcW w:w="1281" w:type="dxa"/>
            <w:vAlign w:val="center"/>
          </w:tcPr>
          <w:p>
            <w:pPr>
              <w:widowControl w:val="0"/>
              <w:jc w:val="center"/>
            </w:pPr>
            <w:r>
              <w:t>264</w:t>
            </w:r>
          </w:p>
        </w:tc>
        <w:tc>
          <w:tcPr>
            <w:tcW w:w="1283" w:type="dxa"/>
            <w:vAlign w:val="center"/>
          </w:tcPr>
          <w:p>
            <w:pPr>
              <w:widowControl w:val="0"/>
              <w:jc w:val="center"/>
            </w:pPr>
            <w:r>
              <w:t>334</w:t>
            </w:r>
          </w:p>
        </w:tc>
      </w:tr>
      <w:tr>
        <w:trPr>
          <w:cantSplit/>
          <w:trHeight w:val="20"/>
        </w:trPr>
        <w:tc>
          <w:tcPr>
            <w:tcW w:w="1567" w:type="dxa"/>
            <w:vAlign w:val="center"/>
          </w:tcPr>
          <w:p>
            <w:pPr>
              <w:widowControl w:val="0"/>
              <w:jc w:val="center"/>
            </w:pPr>
            <w:r>
              <w:t>120</w:t>
            </w:r>
          </w:p>
        </w:tc>
        <w:tc>
          <w:tcPr>
            <w:tcW w:w="1182" w:type="dxa"/>
            <w:vAlign w:val="center"/>
          </w:tcPr>
          <w:p>
            <w:pPr>
              <w:widowControl w:val="0"/>
              <w:jc w:val="center"/>
            </w:pPr>
            <w:r>
              <w:t>340</w:t>
            </w:r>
          </w:p>
        </w:tc>
        <w:tc>
          <w:tcPr>
            <w:tcW w:w="1183" w:type="dxa"/>
            <w:vAlign w:val="center"/>
          </w:tcPr>
          <w:p>
            <w:pPr>
              <w:widowControl w:val="0"/>
              <w:jc w:val="center"/>
            </w:pPr>
            <w:r>
              <w:t>424</w:t>
            </w:r>
          </w:p>
        </w:tc>
        <w:tc>
          <w:tcPr>
            <w:tcW w:w="1286" w:type="dxa"/>
            <w:vAlign w:val="center"/>
          </w:tcPr>
          <w:p>
            <w:pPr>
              <w:widowControl w:val="0"/>
              <w:jc w:val="center"/>
            </w:pPr>
            <w:r>
              <w:t>286</w:t>
            </w:r>
          </w:p>
        </w:tc>
        <w:tc>
          <w:tcPr>
            <w:tcW w:w="1288" w:type="dxa"/>
            <w:vAlign w:val="center"/>
          </w:tcPr>
          <w:p>
            <w:pPr>
              <w:widowControl w:val="0"/>
              <w:jc w:val="center"/>
            </w:pPr>
            <w:r>
              <w:t>359</w:t>
            </w:r>
          </w:p>
        </w:tc>
        <w:tc>
          <w:tcPr>
            <w:tcW w:w="1281" w:type="dxa"/>
            <w:vAlign w:val="center"/>
          </w:tcPr>
          <w:p>
            <w:pPr>
              <w:widowControl w:val="0"/>
              <w:jc w:val="center"/>
            </w:pPr>
            <w:r>
              <w:t>303</w:t>
            </w:r>
          </w:p>
        </w:tc>
        <w:tc>
          <w:tcPr>
            <w:tcW w:w="1283" w:type="dxa"/>
            <w:vAlign w:val="center"/>
          </w:tcPr>
          <w:p>
            <w:pPr>
              <w:widowControl w:val="0"/>
              <w:jc w:val="center"/>
            </w:pPr>
            <w:r>
              <w:t>383</w:t>
            </w:r>
          </w:p>
        </w:tc>
      </w:tr>
      <w:tr>
        <w:trPr>
          <w:cantSplit/>
          <w:trHeight w:val="20"/>
        </w:trPr>
        <w:tc>
          <w:tcPr>
            <w:tcW w:w="1567" w:type="dxa"/>
            <w:vAlign w:val="center"/>
          </w:tcPr>
          <w:p>
            <w:pPr>
              <w:widowControl w:val="0"/>
              <w:jc w:val="center"/>
            </w:pPr>
            <w:r>
              <w:t>150</w:t>
            </w:r>
          </w:p>
        </w:tc>
        <w:tc>
          <w:tcPr>
            <w:tcW w:w="1182" w:type="dxa"/>
            <w:vAlign w:val="center"/>
          </w:tcPr>
          <w:p>
            <w:pPr>
              <w:widowControl w:val="0"/>
              <w:jc w:val="center"/>
            </w:pPr>
            <w:r>
              <w:t>388</w:t>
            </w:r>
          </w:p>
        </w:tc>
        <w:tc>
          <w:tcPr>
            <w:tcW w:w="1183" w:type="dxa"/>
            <w:vAlign w:val="center"/>
          </w:tcPr>
          <w:p>
            <w:pPr>
              <w:widowControl w:val="0"/>
              <w:jc w:val="center"/>
            </w:pPr>
            <w:r>
              <w:t>485</w:t>
            </w:r>
          </w:p>
        </w:tc>
        <w:tc>
          <w:tcPr>
            <w:tcW w:w="1286" w:type="dxa"/>
            <w:vAlign w:val="center"/>
          </w:tcPr>
          <w:p>
            <w:pPr>
              <w:widowControl w:val="0"/>
              <w:jc w:val="center"/>
            </w:pPr>
            <w:r>
              <w:t>327</w:t>
            </w:r>
          </w:p>
        </w:tc>
        <w:tc>
          <w:tcPr>
            <w:tcW w:w="1288" w:type="dxa"/>
            <w:vAlign w:val="center"/>
          </w:tcPr>
          <w:p>
            <w:pPr>
              <w:widowControl w:val="0"/>
              <w:jc w:val="center"/>
            </w:pPr>
            <w:r>
              <w:t>410</w:t>
            </w:r>
          </w:p>
        </w:tc>
        <w:tc>
          <w:tcPr>
            <w:tcW w:w="1281" w:type="dxa"/>
            <w:vAlign w:val="center"/>
          </w:tcPr>
          <w:p>
            <w:pPr>
              <w:widowControl w:val="0"/>
              <w:jc w:val="center"/>
            </w:pPr>
            <w:r>
              <w:t>346</w:t>
            </w:r>
          </w:p>
        </w:tc>
        <w:tc>
          <w:tcPr>
            <w:tcW w:w="1283" w:type="dxa"/>
            <w:vAlign w:val="center"/>
          </w:tcPr>
          <w:p>
            <w:pPr>
              <w:widowControl w:val="0"/>
              <w:jc w:val="center"/>
            </w:pPr>
            <w:r>
              <w:t>435</w:t>
            </w:r>
          </w:p>
        </w:tc>
      </w:tr>
      <w:tr>
        <w:trPr>
          <w:cantSplit/>
          <w:trHeight w:val="20"/>
        </w:trPr>
        <w:tc>
          <w:tcPr>
            <w:tcW w:w="1567" w:type="dxa"/>
            <w:vAlign w:val="center"/>
          </w:tcPr>
          <w:p>
            <w:pPr>
              <w:widowControl w:val="0"/>
              <w:jc w:val="center"/>
            </w:pPr>
            <w:r>
              <w:t>185</w:t>
            </w:r>
          </w:p>
        </w:tc>
        <w:tc>
          <w:tcPr>
            <w:tcW w:w="1182" w:type="dxa"/>
            <w:vAlign w:val="center"/>
          </w:tcPr>
          <w:p>
            <w:pPr>
              <w:widowControl w:val="0"/>
              <w:jc w:val="center"/>
            </w:pPr>
            <w:r>
              <w:t>440</w:t>
            </w:r>
          </w:p>
        </w:tc>
        <w:tc>
          <w:tcPr>
            <w:tcW w:w="1183" w:type="dxa"/>
            <w:vAlign w:val="center"/>
          </w:tcPr>
          <w:p>
            <w:pPr>
              <w:widowControl w:val="0"/>
              <w:jc w:val="center"/>
            </w:pPr>
            <w:r>
              <w:t>550</w:t>
            </w:r>
          </w:p>
        </w:tc>
        <w:tc>
          <w:tcPr>
            <w:tcW w:w="1286" w:type="dxa"/>
            <w:vAlign w:val="center"/>
          </w:tcPr>
          <w:p>
            <w:pPr>
              <w:widowControl w:val="0"/>
              <w:jc w:val="center"/>
            </w:pPr>
            <w:r>
              <w:t>371</w:t>
            </w:r>
          </w:p>
        </w:tc>
        <w:tc>
          <w:tcPr>
            <w:tcW w:w="1288" w:type="dxa"/>
            <w:vAlign w:val="center"/>
          </w:tcPr>
          <w:p>
            <w:pPr>
              <w:widowControl w:val="0"/>
              <w:jc w:val="center"/>
            </w:pPr>
            <w:r>
              <w:t>465</w:t>
            </w:r>
          </w:p>
        </w:tc>
        <w:tc>
          <w:tcPr>
            <w:tcW w:w="1281" w:type="dxa"/>
            <w:vAlign w:val="center"/>
          </w:tcPr>
          <w:p>
            <w:pPr>
              <w:widowControl w:val="0"/>
              <w:jc w:val="center"/>
            </w:pPr>
            <w:r>
              <w:t>392</w:t>
            </w:r>
          </w:p>
        </w:tc>
        <w:tc>
          <w:tcPr>
            <w:tcW w:w="1283" w:type="dxa"/>
            <w:vAlign w:val="center"/>
          </w:tcPr>
          <w:p>
            <w:pPr>
              <w:widowControl w:val="0"/>
              <w:jc w:val="center"/>
            </w:pPr>
            <w:r>
              <w:t>492</w:t>
            </w:r>
          </w:p>
        </w:tc>
      </w:tr>
      <w:tr>
        <w:trPr>
          <w:cantSplit/>
          <w:trHeight w:val="20"/>
        </w:trPr>
        <w:tc>
          <w:tcPr>
            <w:tcW w:w="1567" w:type="dxa"/>
            <w:vAlign w:val="center"/>
          </w:tcPr>
          <w:p>
            <w:pPr>
              <w:widowControl w:val="0"/>
              <w:jc w:val="center"/>
            </w:pPr>
            <w:r>
              <w:t>240</w:t>
            </w:r>
          </w:p>
        </w:tc>
        <w:tc>
          <w:tcPr>
            <w:tcW w:w="1182" w:type="dxa"/>
            <w:vAlign w:val="center"/>
          </w:tcPr>
          <w:p>
            <w:pPr>
              <w:widowControl w:val="0"/>
              <w:jc w:val="center"/>
            </w:pPr>
            <w:r>
              <w:t>514</w:t>
            </w:r>
          </w:p>
        </w:tc>
        <w:tc>
          <w:tcPr>
            <w:tcW w:w="1183" w:type="dxa"/>
            <w:vAlign w:val="center"/>
          </w:tcPr>
          <w:p>
            <w:pPr>
              <w:widowControl w:val="0"/>
              <w:jc w:val="center"/>
            </w:pPr>
            <w:r>
              <w:t>643</w:t>
            </w:r>
          </w:p>
        </w:tc>
        <w:tc>
          <w:tcPr>
            <w:tcW w:w="1286" w:type="dxa"/>
            <w:vAlign w:val="center"/>
          </w:tcPr>
          <w:p>
            <w:pPr>
              <w:widowControl w:val="0"/>
              <w:jc w:val="center"/>
            </w:pPr>
            <w:r>
              <w:t>434</w:t>
            </w:r>
          </w:p>
        </w:tc>
        <w:tc>
          <w:tcPr>
            <w:tcW w:w="1288" w:type="dxa"/>
            <w:vAlign w:val="center"/>
          </w:tcPr>
          <w:p>
            <w:pPr>
              <w:widowControl w:val="0"/>
              <w:jc w:val="center"/>
            </w:pPr>
            <w:r>
              <w:t>544</w:t>
            </w:r>
          </w:p>
        </w:tc>
        <w:tc>
          <w:tcPr>
            <w:tcW w:w="1281" w:type="dxa"/>
            <w:vAlign w:val="center"/>
          </w:tcPr>
          <w:p>
            <w:pPr>
              <w:widowControl w:val="0"/>
              <w:jc w:val="center"/>
            </w:pPr>
            <w:r>
              <w:t>457</w:t>
            </w:r>
          </w:p>
        </w:tc>
        <w:tc>
          <w:tcPr>
            <w:tcW w:w="1283" w:type="dxa"/>
            <w:vAlign w:val="center"/>
          </w:tcPr>
          <w:p>
            <w:pPr>
              <w:widowControl w:val="0"/>
              <w:jc w:val="center"/>
            </w:pPr>
            <w:r>
              <w:t>572</w:t>
            </w:r>
          </w:p>
        </w:tc>
      </w:tr>
    </w:tbl>
    <w:p>
      <w:pPr>
        <w:widowControl w:val="0"/>
        <w:ind w:firstLine="567"/>
        <w:jc w:val="both"/>
      </w:pPr>
    </w:p>
    <w:p>
      <w:pPr>
        <w:widowControl w:val="0"/>
        <w:ind w:firstLine="567"/>
        <w:jc w:val="both"/>
        <w:rPr>
          <w:b/>
        </w:rPr>
      </w:pPr>
      <w:r>
        <w:rPr>
          <w:b/>
        </w:rPr>
        <w:t>6 lentelė. Varinių laidininkų mineraline izoliacija variniu apvalkalu leistinoji ilgalaikė srovė</w:t>
      </w:r>
    </w:p>
    <w:p>
      <w:pPr>
        <w:widowControl w:val="0"/>
        <w:ind w:firstLine="567"/>
        <w:jc w:val="both"/>
      </w:pPr>
    </w:p>
    <w:p>
      <w:pPr>
        <w:widowControl w:val="0"/>
        <w:ind w:firstLine="567"/>
        <w:jc w:val="both"/>
      </w:pPr>
      <w:r>
        <w:t>PVC išorinė danga arba be jos, nepavojinga prisiliesti.</w:t>
      </w:r>
    </w:p>
    <w:p>
      <w:pPr>
        <w:widowControl w:val="0"/>
        <w:ind w:firstLine="567"/>
        <w:jc w:val="both"/>
      </w:pPr>
      <w:r>
        <w:t xml:space="preserve">Temperatūra: apvalkalo +70 </w:t>
      </w:r>
      <w:r>
        <w:rPr>
          <w:vertAlign w:val="superscript"/>
        </w:rPr>
        <w:t>o</w:t>
      </w:r>
      <w:r>
        <w:t xml:space="preserve">C, oro +30 </w:t>
      </w:r>
      <w:r>
        <w:rPr>
          <w:vertAlign w:val="superscript"/>
        </w:rPr>
        <w:t>o</w:t>
      </w:r>
      <w:r>
        <w:t>C.</w:t>
      </w:r>
    </w:p>
    <w:p>
      <w:pPr>
        <w:widowControl w:val="0"/>
        <w:ind w:firstLine="567"/>
        <w:jc w:val="both"/>
      </w:pPr>
      <w:r>
        <w:t>Be išorinės dangos, pavojinga prisiliesti.</w:t>
      </w:r>
    </w:p>
    <w:p>
      <w:pPr>
        <w:widowControl w:val="0"/>
        <w:ind w:firstLine="567"/>
        <w:jc w:val="both"/>
      </w:pPr>
      <w:r>
        <w:t xml:space="preserve">Temperatūra: apvalkalo +105 </w:t>
      </w:r>
      <w:r>
        <w:rPr>
          <w:vertAlign w:val="superscript"/>
        </w:rPr>
        <w:t>o</w:t>
      </w:r>
      <w:r>
        <w:t xml:space="preserve">C, oro +30 </w:t>
      </w:r>
      <w:r>
        <w:rPr>
          <w:vertAlign w:val="superscript"/>
        </w:rPr>
        <w:t>o</w:t>
      </w:r>
      <w:r>
        <w:t>C.</w:t>
      </w:r>
    </w:p>
    <w:p>
      <w:pPr>
        <w:widowControl w:val="0"/>
        <w:ind w:firstLine="567"/>
        <w:jc w:val="both"/>
      </w:pPr>
      <w:r>
        <w:t>Taikoma E, F ir G instaliacijos būdams pagal 2 priedo 1 lentelę.</w:t>
      </w:r>
    </w:p>
    <w:p>
      <w:pPr>
        <w:widowControl w:val="0"/>
        <w:ind w:firstLine="567"/>
        <w:jc w:val="both"/>
      </w:pPr>
    </w:p>
    <w:tbl>
      <w:tblPr>
        <w:tblW w:w="89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58"/>
        <w:gridCol w:w="778"/>
        <w:gridCol w:w="780"/>
        <w:gridCol w:w="785"/>
        <w:gridCol w:w="780"/>
        <w:gridCol w:w="781"/>
        <w:gridCol w:w="781"/>
        <w:gridCol w:w="786"/>
        <w:gridCol w:w="781"/>
        <w:gridCol w:w="781"/>
        <w:gridCol w:w="792"/>
      </w:tblGrid>
      <w:tr>
        <w:trPr>
          <w:cantSplit/>
          <w:trHeight w:val="20"/>
          <w:tblHeader/>
        </w:trPr>
        <w:tc>
          <w:tcPr>
            <w:tcW w:w="1158" w:type="dxa"/>
            <w:vMerge w:val="restart"/>
            <w:vAlign w:val="center"/>
          </w:tcPr>
          <w:p>
            <w:pPr>
              <w:widowControl w:val="0"/>
              <w:jc w:val="center"/>
            </w:pPr>
            <w:r>
              <w:t>Laidininko skerspjūvis,</w:t>
            </w:r>
          </w:p>
          <w:p>
            <w:pPr>
              <w:widowControl w:val="0"/>
              <w:jc w:val="center"/>
              <w:rPr>
                <w:vertAlign w:val="superscript"/>
              </w:rPr>
            </w:pPr>
            <w:r>
              <w:t>mm</w:t>
            </w:r>
            <w:r>
              <w:rPr>
                <w:vertAlign w:val="superscript"/>
              </w:rPr>
              <w:t>2</w:t>
            </w:r>
          </w:p>
        </w:tc>
        <w:tc>
          <w:tcPr>
            <w:tcW w:w="7825" w:type="dxa"/>
            <w:gridSpan w:val="10"/>
            <w:vAlign w:val="center"/>
          </w:tcPr>
          <w:p>
            <w:pPr>
              <w:widowControl w:val="0"/>
              <w:jc w:val="center"/>
            </w:pPr>
            <w:r>
              <w:t>Laidininkų skaičius ir jų išdėstymas</w:t>
            </w:r>
          </w:p>
        </w:tc>
      </w:tr>
      <w:tr>
        <w:trPr>
          <w:cantSplit/>
          <w:trHeight w:val="20"/>
          <w:tblHeader/>
        </w:trPr>
        <w:tc>
          <w:tcPr>
            <w:tcW w:w="1158" w:type="dxa"/>
            <w:vMerge/>
            <w:vAlign w:val="center"/>
          </w:tcPr>
          <w:p>
            <w:pPr>
              <w:widowControl w:val="0"/>
              <w:jc w:val="center"/>
            </w:pPr>
          </w:p>
        </w:tc>
        <w:tc>
          <w:tcPr>
            <w:tcW w:w="1558" w:type="dxa"/>
            <w:gridSpan w:val="2"/>
            <w:vMerge w:val="restart"/>
            <w:vAlign w:val="center"/>
          </w:tcPr>
          <w:p>
            <w:pPr>
              <w:widowControl w:val="0"/>
              <w:jc w:val="center"/>
            </w:pPr>
            <w:r>
              <w:t>Du viengysliai arba dvigysliai</w:t>
            </w:r>
          </w:p>
          <w:p>
            <w:pPr>
              <w:widowControl w:val="0"/>
              <w:jc w:val="center"/>
            </w:pPr>
            <w:r>
              <w:t>(E arba F)</w:t>
            </w:r>
          </w:p>
        </w:tc>
        <w:tc>
          <w:tcPr>
            <w:tcW w:w="6267" w:type="dxa"/>
            <w:gridSpan w:val="8"/>
            <w:vAlign w:val="center"/>
          </w:tcPr>
          <w:p>
            <w:pPr>
              <w:widowControl w:val="0"/>
              <w:jc w:val="center"/>
            </w:pPr>
            <w:r>
              <w:t>Trys laidininkai</w:t>
            </w:r>
          </w:p>
        </w:tc>
      </w:tr>
      <w:tr>
        <w:trPr>
          <w:cantSplit/>
          <w:trHeight w:val="20"/>
          <w:tblHeader/>
        </w:trPr>
        <w:tc>
          <w:tcPr>
            <w:tcW w:w="1158" w:type="dxa"/>
            <w:vMerge/>
            <w:vAlign w:val="center"/>
          </w:tcPr>
          <w:p>
            <w:pPr>
              <w:widowControl w:val="0"/>
              <w:jc w:val="center"/>
            </w:pPr>
          </w:p>
        </w:tc>
        <w:tc>
          <w:tcPr>
            <w:tcW w:w="1558" w:type="dxa"/>
            <w:gridSpan w:val="2"/>
            <w:vMerge/>
            <w:vAlign w:val="center"/>
          </w:tcPr>
          <w:p>
            <w:pPr>
              <w:widowControl w:val="0"/>
              <w:jc w:val="center"/>
            </w:pPr>
          </w:p>
        </w:tc>
        <w:tc>
          <w:tcPr>
            <w:tcW w:w="1565" w:type="dxa"/>
            <w:gridSpan w:val="2"/>
            <w:vAlign w:val="center"/>
          </w:tcPr>
          <w:p>
            <w:pPr>
              <w:widowControl w:val="0"/>
              <w:jc w:val="center"/>
            </w:pPr>
            <w:r>
              <w:t>Daugiagysliai arba viengysliai, išdėstyti dobilo lapo forma</w:t>
            </w:r>
          </w:p>
          <w:p>
            <w:pPr>
              <w:widowControl w:val="0"/>
              <w:jc w:val="center"/>
            </w:pPr>
            <w:r>
              <w:t>(E arba F)</w:t>
            </w:r>
          </w:p>
        </w:tc>
        <w:tc>
          <w:tcPr>
            <w:tcW w:w="1562" w:type="dxa"/>
            <w:gridSpan w:val="2"/>
            <w:vAlign w:val="center"/>
          </w:tcPr>
          <w:p>
            <w:pPr>
              <w:widowControl w:val="0"/>
              <w:jc w:val="center"/>
            </w:pPr>
            <w:r>
              <w:t>Viengysliai, išdėstyti horizontaliai arba vertikaliai be tarpų</w:t>
            </w:r>
          </w:p>
          <w:p>
            <w:pPr>
              <w:widowControl w:val="0"/>
              <w:jc w:val="center"/>
            </w:pPr>
            <w:r>
              <w:t>(F)</w:t>
            </w:r>
          </w:p>
        </w:tc>
        <w:tc>
          <w:tcPr>
            <w:tcW w:w="1567" w:type="dxa"/>
            <w:gridSpan w:val="2"/>
            <w:vAlign w:val="center"/>
          </w:tcPr>
          <w:p>
            <w:pPr>
              <w:widowControl w:val="0"/>
              <w:jc w:val="center"/>
            </w:pPr>
            <w:r>
              <w:t>Viengysliai, išdėstyti vertikaliai su tarpais</w:t>
            </w:r>
          </w:p>
          <w:p>
            <w:pPr>
              <w:widowControl w:val="0"/>
              <w:jc w:val="center"/>
            </w:pPr>
            <w:r>
              <w:t>(G)</w:t>
            </w:r>
          </w:p>
        </w:tc>
        <w:tc>
          <w:tcPr>
            <w:tcW w:w="1573" w:type="dxa"/>
            <w:gridSpan w:val="2"/>
            <w:vAlign w:val="center"/>
          </w:tcPr>
          <w:p>
            <w:pPr>
              <w:widowControl w:val="0"/>
              <w:jc w:val="center"/>
            </w:pPr>
            <w:r>
              <w:t>Viengysliai, išdėstyti horizontaliai su tarpais</w:t>
            </w:r>
          </w:p>
          <w:p>
            <w:pPr>
              <w:widowControl w:val="0"/>
              <w:jc w:val="center"/>
            </w:pPr>
            <w:r>
              <w:t>(G)</w:t>
            </w:r>
          </w:p>
        </w:tc>
      </w:tr>
      <w:tr>
        <w:trPr>
          <w:cantSplit/>
          <w:trHeight w:val="20"/>
          <w:tblHeader/>
        </w:trPr>
        <w:tc>
          <w:tcPr>
            <w:tcW w:w="1158" w:type="dxa"/>
            <w:vMerge/>
            <w:vAlign w:val="center"/>
          </w:tcPr>
          <w:p>
            <w:pPr>
              <w:widowControl w:val="0"/>
              <w:jc w:val="center"/>
            </w:pPr>
          </w:p>
        </w:tc>
        <w:tc>
          <w:tcPr>
            <w:tcW w:w="1558" w:type="dxa"/>
            <w:gridSpan w:val="2"/>
            <w:vAlign w:val="center"/>
          </w:tcPr>
          <w:p>
            <w:pPr>
              <w:widowControl w:val="0"/>
              <w:jc w:val="center"/>
            </w:pPr>
            <w:r>
              <w:rPr>
                <w:lang w:eastAsia="lt-LT"/>
              </w:rPr>
              <w:drawing>
                <wp:inline distT="0" distB="0" distL="0" distR="0">
                  <wp:extent cx="314325" cy="504825"/>
                  <wp:effectExtent l="0" t="0" r="0" b="0"/>
                  <wp:docPr id="167" name="Picture 167"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 pav"/>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4325" cy="504825"/>
                          </a:xfrm>
                          <a:prstGeom prst="rect">
                            <a:avLst/>
                          </a:prstGeom>
                          <a:noFill/>
                          <a:ln>
                            <a:noFill/>
                          </a:ln>
                        </pic:spPr>
                      </pic:pic>
                    </a:graphicData>
                  </a:graphic>
                </wp:inline>
              </w:drawing>
            </w:r>
          </w:p>
          <w:p>
            <w:pPr>
              <w:widowControl w:val="0"/>
              <w:jc w:val="center"/>
            </w:pPr>
            <w:r>
              <w:rPr>
                <w:vanish/>
              </w:rPr>
              <w:t>(ženklas)</w:t>
            </w:r>
          </w:p>
        </w:tc>
        <w:tc>
          <w:tcPr>
            <w:tcW w:w="1565" w:type="dxa"/>
            <w:gridSpan w:val="2"/>
            <w:vAlign w:val="center"/>
          </w:tcPr>
          <w:p>
            <w:pPr>
              <w:widowControl w:val="0"/>
              <w:jc w:val="center"/>
            </w:pPr>
            <w:r>
              <w:rPr>
                <w:lang w:eastAsia="lt-LT"/>
              </w:rPr>
              <w:drawing>
                <wp:inline distT="0" distB="0" distL="0" distR="0">
                  <wp:extent cx="342900" cy="523875"/>
                  <wp:effectExtent l="0" t="0" r="0" b="0"/>
                  <wp:docPr id="168" name="Picture 168" descr="2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 pav"/>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42900" cy="523875"/>
                          </a:xfrm>
                          <a:prstGeom prst="rect">
                            <a:avLst/>
                          </a:prstGeom>
                          <a:noFill/>
                          <a:ln>
                            <a:noFill/>
                          </a:ln>
                        </pic:spPr>
                      </pic:pic>
                    </a:graphicData>
                  </a:graphic>
                </wp:inline>
              </w:drawing>
            </w:r>
          </w:p>
          <w:p>
            <w:pPr>
              <w:widowControl w:val="0"/>
              <w:jc w:val="center"/>
            </w:pPr>
            <w:r>
              <w:rPr>
                <w:vanish/>
              </w:rPr>
              <w:t>(ženklas)</w:t>
            </w:r>
          </w:p>
        </w:tc>
        <w:tc>
          <w:tcPr>
            <w:tcW w:w="1562" w:type="dxa"/>
            <w:gridSpan w:val="2"/>
            <w:vAlign w:val="center"/>
          </w:tcPr>
          <w:p>
            <w:pPr>
              <w:widowControl w:val="0"/>
              <w:jc w:val="center"/>
            </w:pPr>
            <w:r>
              <w:rPr>
                <w:lang w:eastAsia="lt-LT"/>
              </w:rPr>
              <w:drawing>
                <wp:inline distT="0" distB="0" distL="0" distR="0">
                  <wp:extent cx="352425" cy="495300"/>
                  <wp:effectExtent l="0" t="0" r="0" b="0"/>
                  <wp:docPr id="169" name="Picture 169" descr="3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 pav"/>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2425" cy="495300"/>
                          </a:xfrm>
                          <a:prstGeom prst="rect">
                            <a:avLst/>
                          </a:prstGeom>
                          <a:noFill/>
                          <a:ln>
                            <a:noFill/>
                          </a:ln>
                        </pic:spPr>
                      </pic:pic>
                    </a:graphicData>
                  </a:graphic>
                </wp:inline>
              </w:drawing>
            </w:r>
          </w:p>
          <w:p>
            <w:pPr>
              <w:widowControl w:val="0"/>
              <w:jc w:val="center"/>
            </w:pPr>
            <w:r>
              <w:rPr>
                <w:vanish/>
              </w:rPr>
              <w:t>(ženklas)</w:t>
            </w:r>
          </w:p>
        </w:tc>
        <w:tc>
          <w:tcPr>
            <w:tcW w:w="1567" w:type="dxa"/>
            <w:gridSpan w:val="2"/>
            <w:vAlign w:val="center"/>
          </w:tcPr>
          <w:p>
            <w:pPr>
              <w:widowControl w:val="0"/>
              <w:jc w:val="center"/>
            </w:pPr>
            <w:r>
              <w:rPr>
                <w:lang w:eastAsia="lt-LT"/>
              </w:rPr>
              <w:drawing>
                <wp:inline distT="0" distB="0" distL="0" distR="0">
                  <wp:extent cx="457200" cy="504825"/>
                  <wp:effectExtent l="0" t="0" r="0" b="0"/>
                  <wp:docPr id="170" name="Picture 170" descr="4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4 pav"/>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p>
          <w:p>
            <w:pPr>
              <w:widowControl w:val="0"/>
              <w:jc w:val="center"/>
            </w:pPr>
            <w:r>
              <w:rPr>
                <w:vanish/>
              </w:rPr>
              <w:t>(ženklas)</w:t>
            </w:r>
          </w:p>
        </w:tc>
        <w:tc>
          <w:tcPr>
            <w:tcW w:w="1573" w:type="dxa"/>
            <w:gridSpan w:val="2"/>
            <w:vAlign w:val="center"/>
          </w:tcPr>
          <w:p>
            <w:pPr>
              <w:widowControl w:val="0"/>
              <w:jc w:val="center"/>
            </w:pPr>
            <w:r>
              <w:rPr>
                <w:lang w:eastAsia="lt-LT"/>
              </w:rPr>
              <w:drawing>
                <wp:inline distT="0" distB="0" distL="0" distR="0">
                  <wp:extent cx="476250" cy="504825"/>
                  <wp:effectExtent l="0" t="0" r="0" b="0"/>
                  <wp:docPr id="171" name="Picture 171" descr="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5 pav"/>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p>
          <w:p>
            <w:pPr>
              <w:widowControl w:val="0"/>
              <w:jc w:val="center"/>
            </w:pPr>
            <w:r>
              <w:rPr>
                <w:vanish/>
              </w:rPr>
              <w:t>(ženklas)</w:t>
            </w:r>
          </w:p>
        </w:tc>
      </w:tr>
      <w:tr>
        <w:trPr>
          <w:cantSplit/>
          <w:trHeight w:val="20"/>
          <w:tblHeader/>
        </w:trPr>
        <w:tc>
          <w:tcPr>
            <w:tcW w:w="1158" w:type="dxa"/>
            <w:vMerge/>
            <w:vAlign w:val="center"/>
          </w:tcPr>
          <w:p>
            <w:pPr>
              <w:widowControl w:val="0"/>
              <w:jc w:val="center"/>
            </w:pPr>
          </w:p>
        </w:tc>
        <w:tc>
          <w:tcPr>
            <w:tcW w:w="7825" w:type="dxa"/>
            <w:gridSpan w:val="10"/>
            <w:vAlign w:val="center"/>
          </w:tcPr>
          <w:p>
            <w:pPr>
              <w:widowControl w:val="0"/>
              <w:jc w:val="center"/>
            </w:pPr>
            <w:r>
              <w:t>Leistinoji ilgalaikė srovė, A, esant metalinio apvalkalo įšilimo temperatūrai,</w:t>
            </w:r>
            <w:r>
              <w:rPr>
                <w:vertAlign w:val="superscript"/>
              </w:rPr>
              <w:t xml:space="preserve"> </w:t>
            </w:r>
            <w:r>
              <w:t>oc</w:t>
            </w:r>
          </w:p>
        </w:tc>
      </w:tr>
      <w:tr>
        <w:trPr>
          <w:cantSplit/>
          <w:trHeight w:val="20"/>
        </w:trPr>
        <w:tc>
          <w:tcPr>
            <w:tcW w:w="1158" w:type="dxa"/>
            <w:tcBorders>
              <w:bottom w:val="single" w:sz="2" w:space="0" w:color="auto"/>
            </w:tcBorders>
            <w:vAlign w:val="center"/>
          </w:tcPr>
          <w:p>
            <w:pPr>
              <w:widowControl w:val="0"/>
              <w:jc w:val="center"/>
            </w:pPr>
          </w:p>
        </w:tc>
        <w:tc>
          <w:tcPr>
            <w:tcW w:w="778" w:type="dxa"/>
            <w:tcBorders>
              <w:bottom w:val="single" w:sz="2" w:space="0" w:color="auto"/>
            </w:tcBorders>
            <w:vAlign w:val="center"/>
          </w:tcPr>
          <w:p>
            <w:pPr>
              <w:widowControl w:val="0"/>
              <w:jc w:val="center"/>
            </w:pPr>
            <w:r>
              <w:t>70</w:t>
            </w:r>
          </w:p>
        </w:tc>
        <w:tc>
          <w:tcPr>
            <w:tcW w:w="780" w:type="dxa"/>
            <w:tcBorders>
              <w:bottom w:val="single" w:sz="2" w:space="0" w:color="auto"/>
            </w:tcBorders>
            <w:vAlign w:val="center"/>
          </w:tcPr>
          <w:p>
            <w:pPr>
              <w:widowControl w:val="0"/>
              <w:jc w:val="center"/>
            </w:pPr>
            <w:r>
              <w:t>105</w:t>
            </w:r>
          </w:p>
        </w:tc>
        <w:tc>
          <w:tcPr>
            <w:tcW w:w="785" w:type="dxa"/>
            <w:tcBorders>
              <w:bottom w:val="single" w:sz="2" w:space="0" w:color="auto"/>
            </w:tcBorders>
            <w:vAlign w:val="center"/>
          </w:tcPr>
          <w:p>
            <w:pPr>
              <w:widowControl w:val="0"/>
              <w:jc w:val="center"/>
            </w:pPr>
            <w:r>
              <w:t>70</w:t>
            </w:r>
          </w:p>
        </w:tc>
        <w:tc>
          <w:tcPr>
            <w:tcW w:w="780" w:type="dxa"/>
            <w:tcBorders>
              <w:bottom w:val="single" w:sz="2" w:space="0" w:color="auto"/>
            </w:tcBorders>
            <w:vAlign w:val="center"/>
          </w:tcPr>
          <w:p>
            <w:pPr>
              <w:widowControl w:val="0"/>
              <w:jc w:val="center"/>
            </w:pPr>
            <w:r>
              <w:t>105</w:t>
            </w:r>
          </w:p>
        </w:tc>
        <w:tc>
          <w:tcPr>
            <w:tcW w:w="781" w:type="dxa"/>
            <w:tcBorders>
              <w:bottom w:val="single" w:sz="2" w:space="0" w:color="auto"/>
            </w:tcBorders>
            <w:vAlign w:val="center"/>
          </w:tcPr>
          <w:p>
            <w:pPr>
              <w:widowControl w:val="0"/>
              <w:jc w:val="center"/>
            </w:pPr>
            <w:r>
              <w:t>70</w:t>
            </w:r>
          </w:p>
        </w:tc>
        <w:tc>
          <w:tcPr>
            <w:tcW w:w="781" w:type="dxa"/>
            <w:tcBorders>
              <w:bottom w:val="single" w:sz="2" w:space="0" w:color="auto"/>
            </w:tcBorders>
            <w:vAlign w:val="center"/>
          </w:tcPr>
          <w:p>
            <w:pPr>
              <w:widowControl w:val="0"/>
              <w:jc w:val="center"/>
            </w:pPr>
            <w:r>
              <w:t>105</w:t>
            </w:r>
          </w:p>
        </w:tc>
        <w:tc>
          <w:tcPr>
            <w:tcW w:w="786" w:type="dxa"/>
            <w:tcBorders>
              <w:bottom w:val="single" w:sz="2" w:space="0" w:color="auto"/>
            </w:tcBorders>
            <w:vAlign w:val="center"/>
          </w:tcPr>
          <w:p>
            <w:pPr>
              <w:widowControl w:val="0"/>
              <w:jc w:val="center"/>
            </w:pPr>
            <w:r>
              <w:t>70</w:t>
            </w:r>
          </w:p>
        </w:tc>
        <w:tc>
          <w:tcPr>
            <w:tcW w:w="781" w:type="dxa"/>
            <w:tcBorders>
              <w:bottom w:val="single" w:sz="2" w:space="0" w:color="auto"/>
            </w:tcBorders>
            <w:vAlign w:val="center"/>
          </w:tcPr>
          <w:p>
            <w:pPr>
              <w:widowControl w:val="0"/>
              <w:jc w:val="center"/>
            </w:pPr>
            <w:r>
              <w:t xml:space="preserve">105 </w:t>
            </w:r>
          </w:p>
        </w:tc>
        <w:tc>
          <w:tcPr>
            <w:tcW w:w="781" w:type="dxa"/>
            <w:tcBorders>
              <w:bottom w:val="single" w:sz="2" w:space="0" w:color="auto"/>
            </w:tcBorders>
            <w:vAlign w:val="center"/>
          </w:tcPr>
          <w:p>
            <w:pPr>
              <w:widowControl w:val="0"/>
              <w:jc w:val="center"/>
            </w:pPr>
            <w:r>
              <w:t>70</w:t>
            </w:r>
          </w:p>
        </w:tc>
        <w:tc>
          <w:tcPr>
            <w:tcW w:w="792" w:type="dxa"/>
            <w:vAlign w:val="center"/>
          </w:tcPr>
          <w:p>
            <w:pPr>
              <w:widowControl w:val="0"/>
              <w:jc w:val="center"/>
            </w:pPr>
            <w:r>
              <w:t>105</w:t>
            </w:r>
          </w:p>
        </w:tc>
      </w:tr>
      <w:tr>
        <w:trPr>
          <w:cantSplit/>
          <w:trHeight w:val="20"/>
        </w:trPr>
        <w:tc>
          <w:tcPr>
            <w:tcW w:w="1158" w:type="dxa"/>
            <w:tcBorders>
              <w:right w:val="nil"/>
            </w:tcBorders>
            <w:vAlign w:val="center"/>
          </w:tcPr>
          <w:p>
            <w:pPr>
              <w:widowControl w:val="0"/>
            </w:pPr>
            <w:r>
              <w:t>500 V</w:t>
            </w:r>
          </w:p>
        </w:tc>
        <w:tc>
          <w:tcPr>
            <w:tcW w:w="778" w:type="dxa"/>
            <w:tcBorders>
              <w:left w:val="nil"/>
              <w:right w:val="nil"/>
            </w:tcBorders>
            <w:vAlign w:val="center"/>
          </w:tcPr>
          <w:p>
            <w:pPr>
              <w:widowControl w:val="0"/>
              <w:jc w:val="center"/>
            </w:pPr>
          </w:p>
        </w:tc>
        <w:tc>
          <w:tcPr>
            <w:tcW w:w="780" w:type="dxa"/>
            <w:tcBorders>
              <w:left w:val="nil"/>
              <w:right w:val="nil"/>
            </w:tcBorders>
            <w:vAlign w:val="center"/>
          </w:tcPr>
          <w:p>
            <w:pPr>
              <w:widowControl w:val="0"/>
              <w:jc w:val="center"/>
            </w:pPr>
          </w:p>
        </w:tc>
        <w:tc>
          <w:tcPr>
            <w:tcW w:w="785" w:type="dxa"/>
            <w:tcBorders>
              <w:left w:val="nil"/>
              <w:right w:val="nil"/>
            </w:tcBorders>
            <w:vAlign w:val="center"/>
          </w:tcPr>
          <w:p>
            <w:pPr>
              <w:widowControl w:val="0"/>
              <w:jc w:val="center"/>
            </w:pPr>
          </w:p>
        </w:tc>
        <w:tc>
          <w:tcPr>
            <w:tcW w:w="780" w:type="dxa"/>
            <w:tcBorders>
              <w:left w:val="nil"/>
              <w:right w:val="nil"/>
            </w:tcBorders>
            <w:vAlign w:val="center"/>
          </w:tcPr>
          <w:p>
            <w:pPr>
              <w:widowControl w:val="0"/>
              <w:jc w:val="center"/>
            </w:pPr>
          </w:p>
        </w:tc>
        <w:tc>
          <w:tcPr>
            <w:tcW w:w="781" w:type="dxa"/>
            <w:tcBorders>
              <w:left w:val="nil"/>
              <w:right w:val="nil"/>
            </w:tcBorders>
            <w:vAlign w:val="center"/>
          </w:tcPr>
          <w:p>
            <w:pPr>
              <w:widowControl w:val="0"/>
              <w:jc w:val="center"/>
            </w:pPr>
          </w:p>
        </w:tc>
        <w:tc>
          <w:tcPr>
            <w:tcW w:w="781" w:type="dxa"/>
            <w:tcBorders>
              <w:left w:val="nil"/>
              <w:right w:val="nil"/>
            </w:tcBorders>
            <w:vAlign w:val="center"/>
          </w:tcPr>
          <w:p>
            <w:pPr>
              <w:widowControl w:val="0"/>
              <w:jc w:val="center"/>
            </w:pPr>
          </w:p>
        </w:tc>
        <w:tc>
          <w:tcPr>
            <w:tcW w:w="786" w:type="dxa"/>
            <w:tcBorders>
              <w:left w:val="nil"/>
              <w:right w:val="nil"/>
            </w:tcBorders>
            <w:vAlign w:val="center"/>
          </w:tcPr>
          <w:p>
            <w:pPr>
              <w:widowControl w:val="0"/>
              <w:jc w:val="center"/>
            </w:pPr>
          </w:p>
        </w:tc>
        <w:tc>
          <w:tcPr>
            <w:tcW w:w="781" w:type="dxa"/>
            <w:tcBorders>
              <w:left w:val="nil"/>
              <w:right w:val="nil"/>
            </w:tcBorders>
            <w:vAlign w:val="center"/>
          </w:tcPr>
          <w:p>
            <w:pPr>
              <w:widowControl w:val="0"/>
              <w:jc w:val="center"/>
            </w:pPr>
          </w:p>
        </w:tc>
        <w:tc>
          <w:tcPr>
            <w:tcW w:w="781" w:type="dxa"/>
            <w:tcBorders>
              <w:left w:val="nil"/>
              <w:right w:val="nil"/>
            </w:tcBorders>
            <w:vAlign w:val="center"/>
          </w:tcPr>
          <w:p>
            <w:pPr>
              <w:widowControl w:val="0"/>
              <w:jc w:val="center"/>
            </w:pPr>
          </w:p>
        </w:tc>
        <w:tc>
          <w:tcPr>
            <w:tcW w:w="792" w:type="dxa"/>
            <w:tcBorders>
              <w:left w:val="nil"/>
            </w:tcBorders>
            <w:vAlign w:val="center"/>
          </w:tcPr>
          <w:p>
            <w:pPr>
              <w:widowControl w:val="0"/>
              <w:jc w:val="center"/>
            </w:pPr>
          </w:p>
        </w:tc>
      </w:tr>
      <w:tr>
        <w:trPr>
          <w:cantSplit/>
          <w:trHeight w:val="20"/>
        </w:trPr>
        <w:tc>
          <w:tcPr>
            <w:tcW w:w="1158" w:type="dxa"/>
            <w:vAlign w:val="center"/>
          </w:tcPr>
          <w:p>
            <w:pPr>
              <w:widowControl w:val="0"/>
              <w:jc w:val="center"/>
            </w:pPr>
            <w:r>
              <w:t>1,5</w:t>
            </w:r>
          </w:p>
        </w:tc>
        <w:tc>
          <w:tcPr>
            <w:tcW w:w="778" w:type="dxa"/>
            <w:vAlign w:val="center"/>
          </w:tcPr>
          <w:p>
            <w:pPr>
              <w:widowControl w:val="0"/>
              <w:jc w:val="center"/>
            </w:pPr>
            <w:r>
              <w:t>25</w:t>
            </w:r>
          </w:p>
        </w:tc>
        <w:tc>
          <w:tcPr>
            <w:tcW w:w="780" w:type="dxa"/>
            <w:vAlign w:val="center"/>
          </w:tcPr>
          <w:p>
            <w:pPr>
              <w:widowControl w:val="0"/>
              <w:jc w:val="center"/>
            </w:pPr>
            <w:r>
              <w:t>31</w:t>
            </w:r>
          </w:p>
        </w:tc>
        <w:tc>
          <w:tcPr>
            <w:tcW w:w="785" w:type="dxa"/>
            <w:vAlign w:val="center"/>
          </w:tcPr>
          <w:p>
            <w:pPr>
              <w:widowControl w:val="0"/>
              <w:jc w:val="center"/>
            </w:pPr>
            <w:r>
              <w:t>21</w:t>
            </w:r>
          </w:p>
        </w:tc>
        <w:tc>
          <w:tcPr>
            <w:tcW w:w="780" w:type="dxa"/>
            <w:vAlign w:val="center"/>
          </w:tcPr>
          <w:p>
            <w:pPr>
              <w:widowControl w:val="0"/>
              <w:jc w:val="center"/>
            </w:pPr>
            <w:r>
              <w:t>26</w:t>
            </w:r>
          </w:p>
        </w:tc>
        <w:tc>
          <w:tcPr>
            <w:tcW w:w="781" w:type="dxa"/>
            <w:vAlign w:val="center"/>
          </w:tcPr>
          <w:p>
            <w:pPr>
              <w:widowControl w:val="0"/>
              <w:jc w:val="center"/>
            </w:pPr>
            <w:r>
              <w:t>23</w:t>
            </w:r>
          </w:p>
        </w:tc>
        <w:tc>
          <w:tcPr>
            <w:tcW w:w="781" w:type="dxa"/>
            <w:vAlign w:val="center"/>
          </w:tcPr>
          <w:p>
            <w:pPr>
              <w:widowControl w:val="0"/>
              <w:jc w:val="center"/>
            </w:pPr>
            <w:r>
              <w:t>29</w:t>
            </w:r>
          </w:p>
        </w:tc>
        <w:tc>
          <w:tcPr>
            <w:tcW w:w="786" w:type="dxa"/>
            <w:vAlign w:val="center"/>
          </w:tcPr>
          <w:p>
            <w:pPr>
              <w:widowControl w:val="0"/>
              <w:jc w:val="center"/>
            </w:pPr>
            <w:r>
              <w:t>26</w:t>
            </w:r>
          </w:p>
        </w:tc>
        <w:tc>
          <w:tcPr>
            <w:tcW w:w="781" w:type="dxa"/>
            <w:vAlign w:val="center"/>
          </w:tcPr>
          <w:p>
            <w:pPr>
              <w:widowControl w:val="0"/>
              <w:jc w:val="center"/>
            </w:pPr>
            <w:r>
              <w:t>33</w:t>
            </w:r>
          </w:p>
        </w:tc>
        <w:tc>
          <w:tcPr>
            <w:tcW w:w="781" w:type="dxa"/>
            <w:vAlign w:val="center"/>
          </w:tcPr>
          <w:p>
            <w:pPr>
              <w:widowControl w:val="0"/>
              <w:jc w:val="center"/>
            </w:pPr>
            <w:r>
              <w:t>29</w:t>
            </w:r>
          </w:p>
        </w:tc>
        <w:tc>
          <w:tcPr>
            <w:tcW w:w="792" w:type="dxa"/>
            <w:vAlign w:val="center"/>
          </w:tcPr>
          <w:p>
            <w:pPr>
              <w:widowControl w:val="0"/>
              <w:jc w:val="center"/>
            </w:pPr>
            <w:r>
              <w:t>37</w:t>
            </w:r>
          </w:p>
        </w:tc>
      </w:tr>
      <w:tr>
        <w:trPr>
          <w:cantSplit/>
          <w:trHeight w:val="20"/>
        </w:trPr>
        <w:tc>
          <w:tcPr>
            <w:tcW w:w="1158" w:type="dxa"/>
            <w:vAlign w:val="center"/>
          </w:tcPr>
          <w:p>
            <w:pPr>
              <w:widowControl w:val="0"/>
              <w:jc w:val="center"/>
            </w:pPr>
            <w:r>
              <w:t>2,5</w:t>
            </w:r>
          </w:p>
        </w:tc>
        <w:tc>
          <w:tcPr>
            <w:tcW w:w="778" w:type="dxa"/>
            <w:vAlign w:val="center"/>
          </w:tcPr>
          <w:p>
            <w:pPr>
              <w:widowControl w:val="0"/>
              <w:jc w:val="center"/>
            </w:pPr>
            <w:r>
              <w:t>33</w:t>
            </w:r>
          </w:p>
        </w:tc>
        <w:tc>
          <w:tcPr>
            <w:tcW w:w="780" w:type="dxa"/>
            <w:vAlign w:val="center"/>
          </w:tcPr>
          <w:p>
            <w:pPr>
              <w:widowControl w:val="0"/>
              <w:jc w:val="center"/>
            </w:pPr>
            <w:r>
              <w:t>41</w:t>
            </w:r>
          </w:p>
        </w:tc>
        <w:tc>
          <w:tcPr>
            <w:tcW w:w="785" w:type="dxa"/>
            <w:vAlign w:val="center"/>
          </w:tcPr>
          <w:p>
            <w:pPr>
              <w:widowControl w:val="0"/>
              <w:jc w:val="center"/>
            </w:pPr>
            <w:r>
              <w:t>28</w:t>
            </w:r>
          </w:p>
        </w:tc>
        <w:tc>
          <w:tcPr>
            <w:tcW w:w="780" w:type="dxa"/>
            <w:vAlign w:val="center"/>
          </w:tcPr>
          <w:p>
            <w:pPr>
              <w:widowControl w:val="0"/>
              <w:jc w:val="center"/>
            </w:pPr>
            <w:r>
              <w:t>35</w:t>
            </w:r>
          </w:p>
        </w:tc>
        <w:tc>
          <w:tcPr>
            <w:tcW w:w="781" w:type="dxa"/>
            <w:vAlign w:val="center"/>
          </w:tcPr>
          <w:p>
            <w:pPr>
              <w:widowControl w:val="0"/>
              <w:jc w:val="center"/>
            </w:pPr>
            <w:r>
              <w:t>31</w:t>
            </w:r>
          </w:p>
        </w:tc>
        <w:tc>
          <w:tcPr>
            <w:tcW w:w="781" w:type="dxa"/>
            <w:vAlign w:val="center"/>
          </w:tcPr>
          <w:p>
            <w:pPr>
              <w:widowControl w:val="0"/>
              <w:jc w:val="center"/>
            </w:pPr>
            <w:r>
              <w:t>39</w:t>
            </w:r>
          </w:p>
        </w:tc>
        <w:tc>
          <w:tcPr>
            <w:tcW w:w="786" w:type="dxa"/>
            <w:vAlign w:val="center"/>
          </w:tcPr>
          <w:p>
            <w:pPr>
              <w:widowControl w:val="0"/>
              <w:jc w:val="center"/>
            </w:pPr>
            <w:r>
              <w:t>34</w:t>
            </w:r>
          </w:p>
        </w:tc>
        <w:tc>
          <w:tcPr>
            <w:tcW w:w="781" w:type="dxa"/>
            <w:vAlign w:val="center"/>
          </w:tcPr>
          <w:p>
            <w:pPr>
              <w:widowControl w:val="0"/>
              <w:jc w:val="center"/>
            </w:pPr>
            <w:r>
              <w:t>43</w:t>
            </w:r>
          </w:p>
        </w:tc>
        <w:tc>
          <w:tcPr>
            <w:tcW w:w="781" w:type="dxa"/>
            <w:vAlign w:val="center"/>
          </w:tcPr>
          <w:p>
            <w:pPr>
              <w:widowControl w:val="0"/>
              <w:jc w:val="center"/>
            </w:pPr>
            <w:r>
              <w:t>39</w:t>
            </w:r>
          </w:p>
        </w:tc>
        <w:tc>
          <w:tcPr>
            <w:tcW w:w="792" w:type="dxa"/>
            <w:vAlign w:val="center"/>
          </w:tcPr>
          <w:p>
            <w:pPr>
              <w:widowControl w:val="0"/>
              <w:jc w:val="center"/>
            </w:pPr>
            <w:r>
              <w:t>49</w:t>
            </w:r>
          </w:p>
        </w:tc>
      </w:tr>
      <w:tr>
        <w:trPr>
          <w:cantSplit/>
          <w:trHeight w:val="20"/>
        </w:trPr>
        <w:tc>
          <w:tcPr>
            <w:tcW w:w="1158" w:type="dxa"/>
            <w:vAlign w:val="center"/>
          </w:tcPr>
          <w:p>
            <w:pPr>
              <w:widowControl w:val="0"/>
              <w:jc w:val="center"/>
            </w:pPr>
            <w:r>
              <w:t>4</w:t>
            </w:r>
          </w:p>
        </w:tc>
        <w:tc>
          <w:tcPr>
            <w:tcW w:w="778" w:type="dxa"/>
            <w:vAlign w:val="center"/>
          </w:tcPr>
          <w:p>
            <w:pPr>
              <w:widowControl w:val="0"/>
              <w:jc w:val="center"/>
            </w:pPr>
            <w:r>
              <w:t>44</w:t>
            </w:r>
          </w:p>
        </w:tc>
        <w:tc>
          <w:tcPr>
            <w:tcW w:w="780" w:type="dxa"/>
            <w:vAlign w:val="center"/>
          </w:tcPr>
          <w:p>
            <w:pPr>
              <w:widowControl w:val="0"/>
              <w:jc w:val="center"/>
            </w:pPr>
            <w:r>
              <w:t>54</w:t>
            </w:r>
          </w:p>
        </w:tc>
        <w:tc>
          <w:tcPr>
            <w:tcW w:w="785" w:type="dxa"/>
            <w:vAlign w:val="center"/>
          </w:tcPr>
          <w:p>
            <w:pPr>
              <w:widowControl w:val="0"/>
              <w:jc w:val="center"/>
            </w:pPr>
            <w:r>
              <w:t>37</w:t>
            </w:r>
          </w:p>
        </w:tc>
        <w:tc>
          <w:tcPr>
            <w:tcW w:w="780" w:type="dxa"/>
            <w:vAlign w:val="center"/>
          </w:tcPr>
          <w:p>
            <w:pPr>
              <w:widowControl w:val="0"/>
              <w:jc w:val="center"/>
            </w:pPr>
            <w:r>
              <w:t>46</w:t>
            </w:r>
          </w:p>
        </w:tc>
        <w:tc>
          <w:tcPr>
            <w:tcW w:w="781" w:type="dxa"/>
            <w:vAlign w:val="center"/>
          </w:tcPr>
          <w:p>
            <w:pPr>
              <w:widowControl w:val="0"/>
              <w:jc w:val="center"/>
            </w:pPr>
            <w:r>
              <w:t>41</w:t>
            </w:r>
          </w:p>
        </w:tc>
        <w:tc>
          <w:tcPr>
            <w:tcW w:w="781" w:type="dxa"/>
            <w:vAlign w:val="center"/>
          </w:tcPr>
          <w:p>
            <w:pPr>
              <w:widowControl w:val="0"/>
              <w:jc w:val="center"/>
            </w:pPr>
            <w:r>
              <w:t>51</w:t>
            </w:r>
          </w:p>
        </w:tc>
        <w:tc>
          <w:tcPr>
            <w:tcW w:w="786" w:type="dxa"/>
            <w:vAlign w:val="center"/>
          </w:tcPr>
          <w:p>
            <w:pPr>
              <w:widowControl w:val="0"/>
              <w:jc w:val="center"/>
            </w:pPr>
            <w:r>
              <w:t>45</w:t>
            </w:r>
          </w:p>
        </w:tc>
        <w:tc>
          <w:tcPr>
            <w:tcW w:w="781" w:type="dxa"/>
            <w:vAlign w:val="center"/>
          </w:tcPr>
          <w:p>
            <w:pPr>
              <w:widowControl w:val="0"/>
              <w:jc w:val="center"/>
            </w:pPr>
            <w:r>
              <w:t>56</w:t>
            </w:r>
          </w:p>
        </w:tc>
        <w:tc>
          <w:tcPr>
            <w:tcW w:w="781" w:type="dxa"/>
            <w:vAlign w:val="center"/>
          </w:tcPr>
          <w:p>
            <w:pPr>
              <w:widowControl w:val="0"/>
              <w:jc w:val="center"/>
            </w:pPr>
            <w:r>
              <w:t>51</w:t>
            </w:r>
          </w:p>
        </w:tc>
        <w:tc>
          <w:tcPr>
            <w:tcW w:w="792" w:type="dxa"/>
            <w:vAlign w:val="center"/>
          </w:tcPr>
          <w:p>
            <w:pPr>
              <w:widowControl w:val="0"/>
              <w:jc w:val="center"/>
            </w:pPr>
            <w:r>
              <w:t>64</w:t>
            </w:r>
          </w:p>
        </w:tc>
      </w:tr>
      <w:tr>
        <w:trPr>
          <w:cantSplit/>
          <w:trHeight w:val="20"/>
        </w:trPr>
        <w:tc>
          <w:tcPr>
            <w:tcW w:w="1158" w:type="dxa"/>
            <w:tcBorders>
              <w:right w:val="nil"/>
            </w:tcBorders>
            <w:vAlign w:val="center"/>
          </w:tcPr>
          <w:p>
            <w:pPr>
              <w:widowControl w:val="0"/>
            </w:pPr>
            <w:r>
              <w:t>750 V</w:t>
            </w:r>
          </w:p>
        </w:tc>
        <w:tc>
          <w:tcPr>
            <w:tcW w:w="778" w:type="dxa"/>
            <w:tcBorders>
              <w:left w:val="nil"/>
              <w:right w:val="nil"/>
            </w:tcBorders>
            <w:vAlign w:val="center"/>
          </w:tcPr>
          <w:p>
            <w:pPr>
              <w:widowControl w:val="0"/>
              <w:jc w:val="center"/>
            </w:pPr>
          </w:p>
        </w:tc>
        <w:tc>
          <w:tcPr>
            <w:tcW w:w="780" w:type="dxa"/>
            <w:tcBorders>
              <w:left w:val="nil"/>
              <w:right w:val="nil"/>
            </w:tcBorders>
            <w:vAlign w:val="center"/>
          </w:tcPr>
          <w:p>
            <w:pPr>
              <w:widowControl w:val="0"/>
              <w:jc w:val="center"/>
            </w:pPr>
          </w:p>
        </w:tc>
        <w:tc>
          <w:tcPr>
            <w:tcW w:w="785" w:type="dxa"/>
            <w:tcBorders>
              <w:left w:val="nil"/>
              <w:right w:val="nil"/>
            </w:tcBorders>
            <w:vAlign w:val="center"/>
          </w:tcPr>
          <w:p>
            <w:pPr>
              <w:widowControl w:val="0"/>
              <w:jc w:val="center"/>
            </w:pPr>
          </w:p>
        </w:tc>
        <w:tc>
          <w:tcPr>
            <w:tcW w:w="780" w:type="dxa"/>
            <w:tcBorders>
              <w:left w:val="nil"/>
              <w:right w:val="nil"/>
            </w:tcBorders>
            <w:vAlign w:val="center"/>
          </w:tcPr>
          <w:p>
            <w:pPr>
              <w:widowControl w:val="0"/>
              <w:jc w:val="center"/>
            </w:pPr>
          </w:p>
        </w:tc>
        <w:tc>
          <w:tcPr>
            <w:tcW w:w="781" w:type="dxa"/>
            <w:tcBorders>
              <w:left w:val="nil"/>
              <w:right w:val="nil"/>
            </w:tcBorders>
            <w:vAlign w:val="center"/>
          </w:tcPr>
          <w:p>
            <w:pPr>
              <w:widowControl w:val="0"/>
              <w:jc w:val="center"/>
            </w:pPr>
          </w:p>
        </w:tc>
        <w:tc>
          <w:tcPr>
            <w:tcW w:w="781" w:type="dxa"/>
            <w:tcBorders>
              <w:left w:val="nil"/>
              <w:right w:val="nil"/>
            </w:tcBorders>
            <w:vAlign w:val="center"/>
          </w:tcPr>
          <w:p>
            <w:pPr>
              <w:widowControl w:val="0"/>
              <w:jc w:val="center"/>
            </w:pPr>
          </w:p>
        </w:tc>
        <w:tc>
          <w:tcPr>
            <w:tcW w:w="786" w:type="dxa"/>
            <w:tcBorders>
              <w:left w:val="nil"/>
              <w:right w:val="nil"/>
            </w:tcBorders>
            <w:vAlign w:val="center"/>
          </w:tcPr>
          <w:p>
            <w:pPr>
              <w:widowControl w:val="0"/>
              <w:jc w:val="center"/>
            </w:pPr>
          </w:p>
        </w:tc>
        <w:tc>
          <w:tcPr>
            <w:tcW w:w="781" w:type="dxa"/>
            <w:tcBorders>
              <w:left w:val="nil"/>
              <w:right w:val="nil"/>
            </w:tcBorders>
            <w:vAlign w:val="center"/>
          </w:tcPr>
          <w:p>
            <w:pPr>
              <w:widowControl w:val="0"/>
              <w:jc w:val="center"/>
            </w:pPr>
          </w:p>
        </w:tc>
        <w:tc>
          <w:tcPr>
            <w:tcW w:w="781" w:type="dxa"/>
            <w:tcBorders>
              <w:left w:val="nil"/>
              <w:right w:val="nil"/>
            </w:tcBorders>
            <w:vAlign w:val="center"/>
          </w:tcPr>
          <w:p>
            <w:pPr>
              <w:widowControl w:val="0"/>
              <w:jc w:val="center"/>
            </w:pPr>
          </w:p>
        </w:tc>
        <w:tc>
          <w:tcPr>
            <w:tcW w:w="792" w:type="dxa"/>
            <w:tcBorders>
              <w:left w:val="nil"/>
            </w:tcBorders>
            <w:vAlign w:val="center"/>
          </w:tcPr>
          <w:p>
            <w:pPr>
              <w:widowControl w:val="0"/>
              <w:jc w:val="center"/>
            </w:pPr>
          </w:p>
        </w:tc>
      </w:tr>
      <w:tr>
        <w:trPr>
          <w:cantSplit/>
          <w:trHeight w:val="20"/>
        </w:trPr>
        <w:tc>
          <w:tcPr>
            <w:tcW w:w="1158" w:type="dxa"/>
            <w:vAlign w:val="center"/>
          </w:tcPr>
          <w:p>
            <w:pPr>
              <w:widowControl w:val="0"/>
              <w:jc w:val="center"/>
            </w:pPr>
            <w:r>
              <w:t>1,5</w:t>
            </w:r>
          </w:p>
        </w:tc>
        <w:tc>
          <w:tcPr>
            <w:tcW w:w="778" w:type="dxa"/>
            <w:vAlign w:val="center"/>
          </w:tcPr>
          <w:p>
            <w:pPr>
              <w:widowControl w:val="0"/>
              <w:jc w:val="center"/>
            </w:pPr>
            <w:r>
              <w:t>26</w:t>
            </w:r>
          </w:p>
        </w:tc>
        <w:tc>
          <w:tcPr>
            <w:tcW w:w="780" w:type="dxa"/>
            <w:vAlign w:val="center"/>
          </w:tcPr>
          <w:p>
            <w:pPr>
              <w:widowControl w:val="0"/>
              <w:jc w:val="center"/>
            </w:pPr>
            <w:r>
              <w:t>33</w:t>
            </w:r>
          </w:p>
        </w:tc>
        <w:tc>
          <w:tcPr>
            <w:tcW w:w="785" w:type="dxa"/>
            <w:vAlign w:val="center"/>
          </w:tcPr>
          <w:p>
            <w:pPr>
              <w:widowControl w:val="0"/>
              <w:jc w:val="center"/>
            </w:pPr>
            <w:r>
              <w:t>22</w:t>
            </w:r>
          </w:p>
        </w:tc>
        <w:tc>
          <w:tcPr>
            <w:tcW w:w="780" w:type="dxa"/>
            <w:vAlign w:val="center"/>
          </w:tcPr>
          <w:p>
            <w:pPr>
              <w:widowControl w:val="0"/>
              <w:jc w:val="center"/>
            </w:pPr>
            <w:r>
              <w:t>28</w:t>
            </w:r>
          </w:p>
        </w:tc>
        <w:tc>
          <w:tcPr>
            <w:tcW w:w="781" w:type="dxa"/>
            <w:vAlign w:val="center"/>
          </w:tcPr>
          <w:p>
            <w:pPr>
              <w:widowControl w:val="0"/>
              <w:jc w:val="center"/>
            </w:pPr>
            <w:r>
              <w:t>26</w:t>
            </w:r>
          </w:p>
        </w:tc>
        <w:tc>
          <w:tcPr>
            <w:tcW w:w="781" w:type="dxa"/>
            <w:vAlign w:val="center"/>
          </w:tcPr>
          <w:p>
            <w:pPr>
              <w:widowControl w:val="0"/>
              <w:jc w:val="center"/>
            </w:pPr>
            <w:r>
              <w:t>32</w:t>
            </w:r>
          </w:p>
        </w:tc>
        <w:tc>
          <w:tcPr>
            <w:tcW w:w="786" w:type="dxa"/>
            <w:vAlign w:val="center"/>
          </w:tcPr>
          <w:p>
            <w:pPr>
              <w:widowControl w:val="0"/>
              <w:jc w:val="center"/>
            </w:pPr>
            <w:r>
              <w:t>28</w:t>
            </w:r>
          </w:p>
        </w:tc>
        <w:tc>
          <w:tcPr>
            <w:tcW w:w="781" w:type="dxa"/>
            <w:vAlign w:val="center"/>
          </w:tcPr>
          <w:p>
            <w:pPr>
              <w:widowControl w:val="0"/>
              <w:jc w:val="center"/>
            </w:pPr>
            <w:r>
              <w:t>35</w:t>
            </w:r>
          </w:p>
        </w:tc>
        <w:tc>
          <w:tcPr>
            <w:tcW w:w="781" w:type="dxa"/>
            <w:vAlign w:val="center"/>
          </w:tcPr>
          <w:p>
            <w:pPr>
              <w:widowControl w:val="0"/>
              <w:jc w:val="center"/>
            </w:pPr>
            <w:r>
              <w:t>32</w:t>
            </w:r>
          </w:p>
        </w:tc>
        <w:tc>
          <w:tcPr>
            <w:tcW w:w="792" w:type="dxa"/>
            <w:vAlign w:val="center"/>
          </w:tcPr>
          <w:p>
            <w:pPr>
              <w:widowControl w:val="0"/>
              <w:jc w:val="center"/>
            </w:pPr>
            <w:r>
              <w:t>40</w:t>
            </w:r>
          </w:p>
        </w:tc>
      </w:tr>
      <w:tr>
        <w:trPr>
          <w:cantSplit/>
          <w:trHeight w:val="20"/>
        </w:trPr>
        <w:tc>
          <w:tcPr>
            <w:tcW w:w="1158" w:type="dxa"/>
            <w:vAlign w:val="center"/>
          </w:tcPr>
          <w:p>
            <w:pPr>
              <w:widowControl w:val="0"/>
              <w:jc w:val="center"/>
            </w:pPr>
            <w:r>
              <w:t>2,5</w:t>
            </w:r>
          </w:p>
        </w:tc>
        <w:tc>
          <w:tcPr>
            <w:tcW w:w="778" w:type="dxa"/>
            <w:vAlign w:val="center"/>
          </w:tcPr>
          <w:p>
            <w:pPr>
              <w:widowControl w:val="0"/>
              <w:jc w:val="center"/>
            </w:pPr>
            <w:r>
              <w:t>36</w:t>
            </w:r>
          </w:p>
        </w:tc>
        <w:tc>
          <w:tcPr>
            <w:tcW w:w="780" w:type="dxa"/>
            <w:vAlign w:val="center"/>
          </w:tcPr>
          <w:p>
            <w:pPr>
              <w:widowControl w:val="0"/>
              <w:jc w:val="center"/>
            </w:pPr>
            <w:r>
              <w:t>45</w:t>
            </w:r>
          </w:p>
        </w:tc>
        <w:tc>
          <w:tcPr>
            <w:tcW w:w="785" w:type="dxa"/>
            <w:vAlign w:val="center"/>
          </w:tcPr>
          <w:p>
            <w:pPr>
              <w:widowControl w:val="0"/>
              <w:jc w:val="center"/>
            </w:pPr>
            <w:r>
              <w:t>30</w:t>
            </w:r>
          </w:p>
        </w:tc>
        <w:tc>
          <w:tcPr>
            <w:tcW w:w="780" w:type="dxa"/>
            <w:vAlign w:val="center"/>
          </w:tcPr>
          <w:p>
            <w:pPr>
              <w:widowControl w:val="0"/>
              <w:jc w:val="center"/>
            </w:pPr>
            <w:r>
              <w:t>38</w:t>
            </w:r>
          </w:p>
        </w:tc>
        <w:tc>
          <w:tcPr>
            <w:tcW w:w="781" w:type="dxa"/>
            <w:vAlign w:val="center"/>
          </w:tcPr>
          <w:p>
            <w:pPr>
              <w:widowControl w:val="0"/>
              <w:jc w:val="center"/>
            </w:pPr>
            <w:r>
              <w:t>34</w:t>
            </w:r>
          </w:p>
        </w:tc>
        <w:tc>
          <w:tcPr>
            <w:tcW w:w="781" w:type="dxa"/>
            <w:vAlign w:val="center"/>
          </w:tcPr>
          <w:p>
            <w:pPr>
              <w:widowControl w:val="0"/>
              <w:jc w:val="center"/>
            </w:pPr>
            <w:r>
              <w:t>43</w:t>
            </w:r>
          </w:p>
        </w:tc>
        <w:tc>
          <w:tcPr>
            <w:tcW w:w="786" w:type="dxa"/>
            <w:vAlign w:val="center"/>
          </w:tcPr>
          <w:p>
            <w:pPr>
              <w:widowControl w:val="0"/>
              <w:jc w:val="center"/>
            </w:pPr>
            <w:r>
              <w:t>37</w:t>
            </w:r>
          </w:p>
        </w:tc>
        <w:tc>
          <w:tcPr>
            <w:tcW w:w="781" w:type="dxa"/>
            <w:vAlign w:val="center"/>
          </w:tcPr>
          <w:p>
            <w:pPr>
              <w:widowControl w:val="0"/>
              <w:jc w:val="center"/>
            </w:pPr>
            <w:r>
              <w:t>47</w:t>
            </w:r>
          </w:p>
        </w:tc>
        <w:tc>
          <w:tcPr>
            <w:tcW w:w="781" w:type="dxa"/>
            <w:vAlign w:val="center"/>
          </w:tcPr>
          <w:p>
            <w:pPr>
              <w:widowControl w:val="0"/>
              <w:jc w:val="center"/>
            </w:pPr>
            <w:r>
              <w:t>43</w:t>
            </w:r>
          </w:p>
        </w:tc>
        <w:tc>
          <w:tcPr>
            <w:tcW w:w="792" w:type="dxa"/>
            <w:vAlign w:val="center"/>
          </w:tcPr>
          <w:p>
            <w:pPr>
              <w:widowControl w:val="0"/>
              <w:jc w:val="center"/>
            </w:pPr>
            <w:r>
              <w:t>54</w:t>
            </w:r>
          </w:p>
        </w:tc>
      </w:tr>
      <w:tr>
        <w:trPr>
          <w:cantSplit/>
          <w:trHeight w:val="20"/>
        </w:trPr>
        <w:tc>
          <w:tcPr>
            <w:tcW w:w="1158" w:type="dxa"/>
            <w:vAlign w:val="center"/>
          </w:tcPr>
          <w:p>
            <w:pPr>
              <w:widowControl w:val="0"/>
              <w:jc w:val="center"/>
            </w:pPr>
            <w:r>
              <w:t>4</w:t>
            </w:r>
          </w:p>
        </w:tc>
        <w:tc>
          <w:tcPr>
            <w:tcW w:w="778" w:type="dxa"/>
            <w:vAlign w:val="center"/>
          </w:tcPr>
          <w:p>
            <w:pPr>
              <w:widowControl w:val="0"/>
              <w:jc w:val="center"/>
            </w:pPr>
            <w:r>
              <w:t>47</w:t>
            </w:r>
          </w:p>
        </w:tc>
        <w:tc>
          <w:tcPr>
            <w:tcW w:w="780" w:type="dxa"/>
            <w:vAlign w:val="center"/>
          </w:tcPr>
          <w:p>
            <w:pPr>
              <w:widowControl w:val="0"/>
              <w:jc w:val="center"/>
            </w:pPr>
            <w:r>
              <w:t>60</w:t>
            </w:r>
          </w:p>
        </w:tc>
        <w:tc>
          <w:tcPr>
            <w:tcW w:w="785" w:type="dxa"/>
            <w:vAlign w:val="center"/>
          </w:tcPr>
          <w:p>
            <w:pPr>
              <w:widowControl w:val="0"/>
              <w:jc w:val="center"/>
            </w:pPr>
            <w:r>
              <w:t>40</w:t>
            </w:r>
          </w:p>
        </w:tc>
        <w:tc>
          <w:tcPr>
            <w:tcW w:w="780" w:type="dxa"/>
            <w:vAlign w:val="center"/>
          </w:tcPr>
          <w:p>
            <w:pPr>
              <w:widowControl w:val="0"/>
              <w:jc w:val="center"/>
            </w:pPr>
            <w:r>
              <w:t>50</w:t>
            </w:r>
          </w:p>
        </w:tc>
        <w:tc>
          <w:tcPr>
            <w:tcW w:w="781" w:type="dxa"/>
            <w:vAlign w:val="center"/>
          </w:tcPr>
          <w:p>
            <w:pPr>
              <w:widowControl w:val="0"/>
              <w:jc w:val="center"/>
            </w:pPr>
            <w:r>
              <w:t>45</w:t>
            </w:r>
          </w:p>
        </w:tc>
        <w:tc>
          <w:tcPr>
            <w:tcW w:w="781" w:type="dxa"/>
            <w:vAlign w:val="center"/>
          </w:tcPr>
          <w:p>
            <w:pPr>
              <w:widowControl w:val="0"/>
              <w:jc w:val="center"/>
            </w:pPr>
            <w:r>
              <w:t>56</w:t>
            </w:r>
          </w:p>
        </w:tc>
        <w:tc>
          <w:tcPr>
            <w:tcW w:w="786" w:type="dxa"/>
            <w:vAlign w:val="center"/>
          </w:tcPr>
          <w:p>
            <w:pPr>
              <w:widowControl w:val="0"/>
              <w:jc w:val="center"/>
            </w:pPr>
            <w:r>
              <w:t>49</w:t>
            </w:r>
          </w:p>
        </w:tc>
        <w:tc>
          <w:tcPr>
            <w:tcW w:w="781" w:type="dxa"/>
            <w:vAlign w:val="center"/>
          </w:tcPr>
          <w:p>
            <w:pPr>
              <w:widowControl w:val="0"/>
              <w:jc w:val="center"/>
            </w:pPr>
            <w:r>
              <w:t>61</w:t>
            </w:r>
          </w:p>
        </w:tc>
        <w:tc>
          <w:tcPr>
            <w:tcW w:w="781" w:type="dxa"/>
            <w:vAlign w:val="center"/>
          </w:tcPr>
          <w:p>
            <w:pPr>
              <w:widowControl w:val="0"/>
              <w:jc w:val="center"/>
            </w:pPr>
            <w:r>
              <w:t>56</w:t>
            </w:r>
          </w:p>
        </w:tc>
        <w:tc>
          <w:tcPr>
            <w:tcW w:w="792" w:type="dxa"/>
            <w:vAlign w:val="center"/>
          </w:tcPr>
          <w:p>
            <w:pPr>
              <w:widowControl w:val="0"/>
              <w:jc w:val="center"/>
            </w:pPr>
            <w:r>
              <w:t>70</w:t>
            </w:r>
          </w:p>
        </w:tc>
      </w:tr>
      <w:tr>
        <w:trPr>
          <w:cantSplit/>
          <w:trHeight w:val="20"/>
        </w:trPr>
        <w:tc>
          <w:tcPr>
            <w:tcW w:w="1158" w:type="dxa"/>
            <w:vAlign w:val="center"/>
          </w:tcPr>
          <w:p>
            <w:pPr>
              <w:widowControl w:val="0"/>
              <w:jc w:val="center"/>
            </w:pPr>
            <w:r>
              <w:t>6</w:t>
            </w:r>
          </w:p>
        </w:tc>
        <w:tc>
          <w:tcPr>
            <w:tcW w:w="778" w:type="dxa"/>
            <w:vAlign w:val="center"/>
          </w:tcPr>
          <w:p>
            <w:pPr>
              <w:widowControl w:val="0"/>
              <w:jc w:val="center"/>
            </w:pPr>
            <w:r>
              <w:t>60</w:t>
            </w:r>
          </w:p>
        </w:tc>
        <w:tc>
          <w:tcPr>
            <w:tcW w:w="780" w:type="dxa"/>
            <w:vAlign w:val="center"/>
          </w:tcPr>
          <w:p>
            <w:pPr>
              <w:widowControl w:val="0"/>
              <w:jc w:val="center"/>
            </w:pPr>
            <w:r>
              <w:t>76</w:t>
            </w:r>
          </w:p>
        </w:tc>
        <w:tc>
          <w:tcPr>
            <w:tcW w:w="785" w:type="dxa"/>
            <w:vAlign w:val="center"/>
          </w:tcPr>
          <w:p>
            <w:pPr>
              <w:widowControl w:val="0"/>
              <w:jc w:val="center"/>
            </w:pPr>
            <w:r>
              <w:t>51</w:t>
            </w:r>
          </w:p>
        </w:tc>
        <w:tc>
          <w:tcPr>
            <w:tcW w:w="780" w:type="dxa"/>
            <w:vAlign w:val="center"/>
          </w:tcPr>
          <w:p>
            <w:pPr>
              <w:widowControl w:val="0"/>
              <w:jc w:val="center"/>
            </w:pPr>
            <w:r>
              <w:t>64</w:t>
            </w:r>
          </w:p>
        </w:tc>
        <w:tc>
          <w:tcPr>
            <w:tcW w:w="781" w:type="dxa"/>
            <w:vAlign w:val="center"/>
          </w:tcPr>
          <w:p>
            <w:pPr>
              <w:widowControl w:val="0"/>
              <w:jc w:val="center"/>
            </w:pPr>
            <w:r>
              <w:t>57</w:t>
            </w:r>
          </w:p>
        </w:tc>
        <w:tc>
          <w:tcPr>
            <w:tcW w:w="781" w:type="dxa"/>
            <w:vAlign w:val="center"/>
          </w:tcPr>
          <w:p>
            <w:pPr>
              <w:widowControl w:val="0"/>
              <w:jc w:val="center"/>
            </w:pPr>
            <w:r>
              <w:t>71</w:t>
            </w:r>
          </w:p>
        </w:tc>
        <w:tc>
          <w:tcPr>
            <w:tcW w:w="786" w:type="dxa"/>
            <w:vAlign w:val="center"/>
          </w:tcPr>
          <w:p>
            <w:pPr>
              <w:widowControl w:val="0"/>
              <w:jc w:val="center"/>
            </w:pPr>
            <w:r>
              <w:t>62</w:t>
            </w:r>
          </w:p>
        </w:tc>
        <w:tc>
          <w:tcPr>
            <w:tcW w:w="781" w:type="dxa"/>
            <w:vAlign w:val="center"/>
          </w:tcPr>
          <w:p>
            <w:pPr>
              <w:widowControl w:val="0"/>
              <w:jc w:val="center"/>
            </w:pPr>
            <w:r>
              <w:t>78</w:t>
            </w:r>
          </w:p>
        </w:tc>
        <w:tc>
          <w:tcPr>
            <w:tcW w:w="781" w:type="dxa"/>
            <w:vAlign w:val="center"/>
          </w:tcPr>
          <w:p>
            <w:pPr>
              <w:widowControl w:val="0"/>
              <w:jc w:val="center"/>
            </w:pPr>
            <w:r>
              <w:t>71</w:t>
            </w:r>
          </w:p>
        </w:tc>
        <w:tc>
          <w:tcPr>
            <w:tcW w:w="792" w:type="dxa"/>
            <w:vAlign w:val="center"/>
          </w:tcPr>
          <w:p>
            <w:pPr>
              <w:widowControl w:val="0"/>
              <w:jc w:val="center"/>
            </w:pPr>
            <w:r>
              <w:t>89</w:t>
            </w:r>
          </w:p>
        </w:tc>
      </w:tr>
      <w:tr>
        <w:trPr>
          <w:cantSplit/>
          <w:trHeight w:val="20"/>
        </w:trPr>
        <w:tc>
          <w:tcPr>
            <w:tcW w:w="1158" w:type="dxa"/>
            <w:vAlign w:val="center"/>
          </w:tcPr>
          <w:p>
            <w:pPr>
              <w:widowControl w:val="0"/>
              <w:jc w:val="center"/>
            </w:pPr>
            <w:r>
              <w:t>10</w:t>
            </w:r>
          </w:p>
        </w:tc>
        <w:tc>
          <w:tcPr>
            <w:tcW w:w="778" w:type="dxa"/>
            <w:vAlign w:val="center"/>
          </w:tcPr>
          <w:p>
            <w:pPr>
              <w:widowControl w:val="0"/>
              <w:jc w:val="center"/>
            </w:pPr>
            <w:r>
              <w:t>82</w:t>
            </w:r>
          </w:p>
        </w:tc>
        <w:tc>
          <w:tcPr>
            <w:tcW w:w="780" w:type="dxa"/>
            <w:vAlign w:val="center"/>
          </w:tcPr>
          <w:p>
            <w:pPr>
              <w:widowControl w:val="0"/>
              <w:jc w:val="center"/>
            </w:pPr>
            <w:r>
              <w:t>104</w:t>
            </w:r>
          </w:p>
        </w:tc>
        <w:tc>
          <w:tcPr>
            <w:tcW w:w="785" w:type="dxa"/>
            <w:vAlign w:val="center"/>
          </w:tcPr>
          <w:p>
            <w:pPr>
              <w:widowControl w:val="0"/>
              <w:jc w:val="center"/>
            </w:pPr>
            <w:r>
              <w:t>69</w:t>
            </w:r>
          </w:p>
        </w:tc>
        <w:tc>
          <w:tcPr>
            <w:tcW w:w="780" w:type="dxa"/>
            <w:vAlign w:val="center"/>
          </w:tcPr>
          <w:p>
            <w:pPr>
              <w:widowControl w:val="0"/>
              <w:jc w:val="center"/>
            </w:pPr>
            <w:r>
              <w:t>87</w:t>
            </w:r>
          </w:p>
        </w:tc>
        <w:tc>
          <w:tcPr>
            <w:tcW w:w="781" w:type="dxa"/>
            <w:vAlign w:val="center"/>
          </w:tcPr>
          <w:p>
            <w:pPr>
              <w:widowControl w:val="0"/>
              <w:jc w:val="center"/>
            </w:pPr>
            <w:r>
              <w:t>77</w:t>
            </w:r>
          </w:p>
        </w:tc>
        <w:tc>
          <w:tcPr>
            <w:tcW w:w="781" w:type="dxa"/>
            <w:vAlign w:val="center"/>
          </w:tcPr>
          <w:p>
            <w:pPr>
              <w:widowControl w:val="0"/>
              <w:jc w:val="center"/>
            </w:pPr>
            <w:r>
              <w:t>96</w:t>
            </w:r>
          </w:p>
        </w:tc>
        <w:tc>
          <w:tcPr>
            <w:tcW w:w="786" w:type="dxa"/>
            <w:vAlign w:val="center"/>
          </w:tcPr>
          <w:p>
            <w:pPr>
              <w:widowControl w:val="0"/>
              <w:jc w:val="center"/>
            </w:pPr>
            <w:r>
              <w:t>84</w:t>
            </w:r>
          </w:p>
        </w:tc>
        <w:tc>
          <w:tcPr>
            <w:tcW w:w="781" w:type="dxa"/>
            <w:vAlign w:val="center"/>
          </w:tcPr>
          <w:p>
            <w:pPr>
              <w:widowControl w:val="0"/>
              <w:jc w:val="center"/>
            </w:pPr>
            <w:r>
              <w:t>105</w:t>
            </w:r>
          </w:p>
        </w:tc>
        <w:tc>
          <w:tcPr>
            <w:tcW w:w="781" w:type="dxa"/>
            <w:vAlign w:val="center"/>
          </w:tcPr>
          <w:p>
            <w:pPr>
              <w:widowControl w:val="0"/>
              <w:jc w:val="center"/>
            </w:pPr>
            <w:r>
              <w:t>95</w:t>
            </w:r>
          </w:p>
        </w:tc>
        <w:tc>
          <w:tcPr>
            <w:tcW w:w="792" w:type="dxa"/>
            <w:vAlign w:val="center"/>
          </w:tcPr>
          <w:p>
            <w:pPr>
              <w:widowControl w:val="0"/>
              <w:jc w:val="center"/>
            </w:pPr>
            <w:r>
              <w:t>120</w:t>
            </w:r>
          </w:p>
        </w:tc>
      </w:tr>
      <w:tr>
        <w:trPr>
          <w:cantSplit/>
          <w:trHeight w:val="20"/>
        </w:trPr>
        <w:tc>
          <w:tcPr>
            <w:tcW w:w="1158" w:type="dxa"/>
            <w:vAlign w:val="center"/>
          </w:tcPr>
          <w:p>
            <w:pPr>
              <w:widowControl w:val="0"/>
              <w:jc w:val="center"/>
            </w:pPr>
            <w:r>
              <w:t>16</w:t>
            </w:r>
          </w:p>
        </w:tc>
        <w:tc>
          <w:tcPr>
            <w:tcW w:w="778" w:type="dxa"/>
            <w:vAlign w:val="center"/>
          </w:tcPr>
          <w:p>
            <w:pPr>
              <w:widowControl w:val="0"/>
              <w:jc w:val="center"/>
            </w:pPr>
            <w:r>
              <w:t>109</w:t>
            </w:r>
          </w:p>
        </w:tc>
        <w:tc>
          <w:tcPr>
            <w:tcW w:w="780" w:type="dxa"/>
            <w:vAlign w:val="center"/>
          </w:tcPr>
          <w:p>
            <w:pPr>
              <w:widowControl w:val="0"/>
              <w:jc w:val="center"/>
            </w:pPr>
            <w:r>
              <w:t>137</w:t>
            </w:r>
          </w:p>
        </w:tc>
        <w:tc>
          <w:tcPr>
            <w:tcW w:w="785" w:type="dxa"/>
            <w:vAlign w:val="center"/>
          </w:tcPr>
          <w:p>
            <w:pPr>
              <w:widowControl w:val="0"/>
              <w:jc w:val="center"/>
            </w:pPr>
            <w:r>
              <w:t>92</w:t>
            </w:r>
          </w:p>
        </w:tc>
        <w:tc>
          <w:tcPr>
            <w:tcW w:w="780" w:type="dxa"/>
            <w:vAlign w:val="center"/>
          </w:tcPr>
          <w:p>
            <w:pPr>
              <w:widowControl w:val="0"/>
              <w:jc w:val="center"/>
            </w:pPr>
            <w:r>
              <w:t>115</w:t>
            </w:r>
          </w:p>
        </w:tc>
        <w:tc>
          <w:tcPr>
            <w:tcW w:w="781" w:type="dxa"/>
            <w:vAlign w:val="center"/>
          </w:tcPr>
          <w:p>
            <w:pPr>
              <w:widowControl w:val="0"/>
              <w:jc w:val="center"/>
            </w:pPr>
            <w:r>
              <w:t>102</w:t>
            </w:r>
          </w:p>
        </w:tc>
        <w:tc>
          <w:tcPr>
            <w:tcW w:w="781" w:type="dxa"/>
            <w:vAlign w:val="center"/>
          </w:tcPr>
          <w:p>
            <w:pPr>
              <w:widowControl w:val="0"/>
              <w:jc w:val="center"/>
            </w:pPr>
            <w:r>
              <w:t>127</w:t>
            </w:r>
          </w:p>
        </w:tc>
        <w:tc>
          <w:tcPr>
            <w:tcW w:w="786" w:type="dxa"/>
            <w:vAlign w:val="center"/>
          </w:tcPr>
          <w:p>
            <w:pPr>
              <w:widowControl w:val="0"/>
              <w:jc w:val="center"/>
            </w:pPr>
            <w:r>
              <w:t>110</w:t>
            </w:r>
          </w:p>
        </w:tc>
        <w:tc>
          <w:tcPr>
            <w:tcW w:w="781" w:type="dxa"/>
            <w:vAlign w:val="center"/>
          </w:tcPr>
          <w:p>
            <w:pPr>
              <w:widowControl w:val="0"/>
              <w:jc w:val="center"/>
            </w:pPr>
            <w:r>
              <w:t>137</w:t>
            </w:r>
          </w:p>
        </w:tc>
        <w:tc>
          <w:tcPr>
            <w:tcW w:w="781" w:type="dxa"/>
            <w:vAlign w:val="center"/>
          </w:tcPr>
          <w:p>
            <w:pPr>
              <w:widowControl w:val="0"/>
              <w:jc w:val="center"/>
            </w:pPr>
            <w:r>
              <w:t>125</w:t>
            </w:r>
          </w:p>
        </w:tc>
        <w:tc>
          <w:tcPr>
            <w:tcW w:w="792" w:type="dxa"/>
            <w:vAlign w:val="center"/>
          </w:tcPr>
          <w:p>
            <w:pPr>
              <w:widowControl w:val="0"/>
              <w:jc w:val="center"/>
            </w:pPr>
            <w:r>
              <w:t>157</w:t>
            </w:r>
          </w:p>
        </w:tc>
      </w:tr>
      <w:tr>
        <w:trPr>
          <w:cantSplit/>
          <w:trHeight w:val="20"/>
        </w:trPr>
        <w:tc>
          <w:tcPr>
            <w:tcW w:w="1158" w:type="dxa"/>
            <w:vAlign w:val="center"/>
          </w:tcPr>
          <w:p>
            <w:pPr>
              <w:widowControl w:val="0"/>
              <w:jc w:val="center"/>
            </w:pPr>
            <w:r>
              <w:t>25</w:t>
            </w:r>
          </w:p>
        </w:tc>
        <w:tc>
          <w:tcPr>
            <w:tcW w:w="778" w:type="dxa"/>
            <w:vAlign w:val="center"/>
          </w:tcPr>
          <w:p>
            <w:pPr>
              <w:widowControl w:val="0"/>
              <w:jc w:val="center"/>
            </w:pPr>
            <w:r>
              <w:t>142</w:t>
            </w:r>
          </w:p>
        </w:tc>
        <w:tc>
          <w:tcPr>
            <w:tcW w:w="780" w:type="dxa"/>
            <w:vAlign w:val="center"/>
          </w:tcPr>
          <w:p>
            <w:pPr>
              <w:widowControl w:val="0"/>
              <w:jc w:val="center"/>
            </w:pPr>
            <w:r>
              <w:t>179</w:t>
            </w:r>
          </w:p>
        </w:tc>
        <w:tc>
          <w:tcPr>
            <w:tcW w:w="785" w:type="dxa"/>
            <w:vAlign w:val="center"/>
          </w:tcPr>
          <w:p>
            <w:pPr>
              <w:widowControl w:val="0"/>
              <w:jc w:val="center"/>
            </w:pPr>
            <w:r>
              <w:t>120</w:t>
            </w:r>
          </w:p>
        </w:tc>
        <w:tc>
          <w:tcPr>
            <w:tcW w:w="780" w:type="dxa"/>
            <w:vAlign w:val="center"/>
          </w:tcPr>
          <w:p>
            <w:pPr>
              <w:widowControl w:val="0"/>
              <w:jc w:val="center"/>
            </w:pPr>
            <w:r>
              <w:t>150</w:t>
            </w:r>
          </w:p>
        </w:tc>
        <w:tc>
          <w:tcPr>
            <w:tcW w:w="781" w:type="dxa"/>
            <w:vAlign w:val="center"/>
          </w:tcPr>
          <w:p>
            <w:pPr>
              <w:widowControl w:val="0"/>
              <w:jc w:val="center"/>
            </w:pPr>
            <w:r>
              <w:t>132</w:t>
            </w:r>
          </w:p>
        </w:tc>
        <w:tc>
          <w:tcPr>
            <w:tcW w:w="781" w:type="dxa"/>
            <w:vAlign w:val="center"/>
          </w:tcPr>
          <w:p>
            <w:pPr>
              <w:widowControl w:val="0"/>
              <w:jc w:val="center"/>
            </w:pPr>
            <w:r>
              <w:t>164</w:t>
            </w:r>
          </w:p>
        </w:tc>
        <w:tc>
          <w:tcPr>
            <w:tcW w:w="786" w:type="dxa"/>
            <w:vAlign w:val="center"/>
          </w:tcPr>
          <w:p>
            <w:pPr>
              <w:widowControl w:val="0"/>
              <w:jc w:val="center"/>
            </w:pPr>
            <w:r>
              <w:t>142</w:t>
            </w:r>
          </w:p>
        </w:tc>
        <w:tc>
          <w:tcPr>
            <w:tcW w:w="781" w:type="dxa"/>
            <w:vAlign w:val="center"/>
          </w:tcPr>
          <w:p>
            <w:pPr>
              <w:widowControl w:val="0"/>
              <w:jc w:val="center"/>
            </w:pPr>
            <w:r>
              <w:t>178</w:t>
            </w:r>
          </w:p>
        </w:tc>
        <w:tc>
          <w:tcPr>
            <w:tcW w:w="781" w:type="dxa"/>
            <w:vAlign w:val="center"/>
          </w:tcPr>
          <w:p>
            <w:pPr>
              <w:widowControl w:val="0"/>
              <w:jc w:val="center"/>
            </w:pPr>
            <w:r>
              <w:t>162</w:t>
            </w:r>
          </w:p>
        </w:tc>
        <w:tc>
          <w:tcPr>
            <w:tcW w:w="792" w:type="dxa"/>
            <w:vAlign w:val="center"/>
          </w:tcPr>
          <w:p>
            <w:pPr>
              <w:widowControl w:val="0"/>
              <w:jc w:val="center"/>
            </w:pPr>
            <w:r>
              <w:t>204</w:t>
            </w:r>
          </w:p>
        </w:tc>
      </w:tr>
      <w:tr>
        <w:trPr>
          <w:cantSplit/>
          <w:trHeight w:val="20"/>
        </w:trPr>
        <w:tc>
          <w:tcPr>
            <w:tcW w:w="1158" w:type="dxa"/>
            <w:vAlign w:val="center"/>
          </w:tcPr>
          <w:p>
            <w:pPr>
              <w:widowControl w:val="0"/>
              <w:jc w:val="center"/>
            </w:pPr>
            <w:r>
              <w:t>35</w:t>
            </w:r>
          </w:p>
        </w:tc>
        <w:tc>
          <w:tcPr>
            <w:tcW w:w="778" w:type="dxa"/>
            <w:vAlign w:val="center"/>
          </w:tcPr>
          <w:p>
            <w:pPr>
              <w:widowControl w:val="0"/>
              <w:jc w:val="center"/>
            </w:pPr>
            <w:r>
              <w:t>174</w:t>
            </w:r>
          </w:p>
        </w:tc>
        <w:tc>
          <w:tcPr>
            <w:tcW w:w="780" w:type="dxa"/>
            <w:vAlign w:val="center"/>
          </w:tcPr>
          <w:p>
            <w:pPr>
              <w:widowControl w:val="0"/>
              <w:jc w:val="center"/>
            </w:pPr>
            <w:r>
              <w:t>220</w:t>
            </w:r>
          </w:p>
        </w:tc>
        <w:tc>
          <w:tcPr>
            <w:tcW w:w="785" w:type="dxa"/>
            <w:vAlign w:val="center"/>
          </w:tcPr>
          <w:p>
            <w:pPr>
              <w:widowControl w:val="0"/>
              <w:jc w:val="center"/>
            </w:pPr>
            <w:r>
              <w:t>147</w:t>
            </w:r>
          </w:p>
        </w:tc>
        <w:tc>
          <w:tcPr>
            <w:tcW w:w="780" w:type="dxa"/>
            <w:vAlign w:val="center"/>
          </w:tcPr>
          <w:p>
            <w:pPr>
              <w:widowControl w:val="0"/>
              <w:jc w:val="center"/>
            </w:pPr>
            <w:r>
              <w:t>184</w:t>
            </w:r>
          </w:p>
        </w:tc>
        <w:tc>
          <w:tcPr>
            <w:tcW w:w="781" w:type="dxa"/>
            <w:vAlign w:val="center"/>
          </w:tcPr>
          <w:p>
            <w:pPr>
              <w:widowControl w:val="0"/>
              <w:jc w:val="center"/>
            </w:pPr>
            <w:r>
              <w:t>161</w:t>
            </w:r>
          </w:p>
        </w:tc>
        <w:tc>
          <w:tcPr>
            <w:tcW w:w="781" w:type="dxa"/>
            <w:vAlign w:val="center"/>
          </w:tcPr>
          <w:p>
            <w:pPr>
              <w:widowControl w:val="0"/>
              <w:jc w:val="center"/>
            </w:pPr>
            <w:r>
              <w:t>200</w:t>
            </w:r>
          </w:p>
        </w:tc>
        <w:tc>
          <w:tcPr>
            <w:tcW w:w="786" w:type="dxa"/>
            <w:vAlign w:val="center"/>
          </w:tcPr>
          <w:p>
            <w:pPr>
              <w:widowControl w:val="0"/>
              <w:jc w:val="center"/>
            </w:pPr>
            <w:r>
              <w:t>173</w:t>
            </w:r>
          </w:p>
        </w:tc>
        <w:tc>
          <w:tcPr>
            <w:tcW w:w="781" w:type="dxa"/>
            <w:vAlign w:val="center"/>
          </w:tcPr>
          <w:p>
            <w:pPr>
              <w:widowControl w:val="0"/>
              <w:jc w:val="center"/>
            </w:pPr>
            <w:r>
              <w:t>216</w:t>
            </w:r>
          </w:p>
        </w:tc>
        <w:tc>
          <w:tcPr>
            <w:tcW w:w="781" w:type="dxa"/>
            <w:vAlign w:val="center"/>
          </w:tcPr>
          <w:p>
            <w:pPr>
              <w:widowControl w:val="0"/>
              <w:jc w:val="center"/>
            </w:pPr>
            <w:r>
              <w:t>197</w:t>
            </w:r>
          </w:p>
        </w:tc>
        <w:tc>
          <w:tcPr>
            <w:tcW w:w="792" w:type="dxa"/>
            <w:vAlign w:val="center"/>
          </w:tcPr>
          <w:p>
            <w:pPr>
              <w:widowControl w:val="0"/>
              <w:jc w:val="center"/>
            </w:pPr>
            <w:r>
              <w:t>248</w:t>
            </w:r>
          </w:p>
        </w:tc>
      </w:tr>
      <w:tr>
        <w:trPr>
          <w:cantSplit/>
          <w:trHeight w:val="20"/>
        </w:trPr>
        <w:tc>
          <w:tcPr>
            <w:tcW w:w="1158" w:type="dxa"/>
            <w:vAlign w:val="center"/>
          </w:tcPr>
          <w:p>
            <w:pPr>
              <w:widowControl w:val="0"/>
              <w:jc w:val="center"/>
            </w:pPr>
            <w:r>
              <w:t>50</w:t>
            </w:r>
          </w:p>
        </w:tc>
        <w:tc>
          <w:tcPr>
            <w:tcW w:w="778" w:type="dxa"/>
            <w:vAlign w:val="center"/>
          </w:tcPr>
          <w:p>
            <w:pPr>
              <w:widowControl w:val="0"/>
              <w:jc w:val="center"/>
            </w:pPr>
            <w:r>
              <w:t>215</w:t>
            </w:r>
          </w:p>
        </w:tc>
        <w:tc>
          <w:tcPr>
            <w:tcW w:w="780" w:type="dxa"/>
            <w:vAlign w:val="center"/>
          </w:tcPr>
          <w:p>
            <w:pPr>
              <w:widowControl w:val="0"/>
              <w:jc w:val="center"/>
            </w:pPr>
            <w:r>
              <w:t>272</w:t>
            </w:r>
          </w:p>
        </w:tc>
        <w:tc>
          <w:tcPr>
            <w:tcW w:w="785" w:type="dxa"/>
            <w:vAlign w:val="center"/>
          </w:tcPr>
          <w:p>
            <w:pPr>
              <w:widowControl w:val="0"/>
              <w:jc w:val="center"/>
            </w:pPr>
            <w:r>
              <w:t>182</w:t>
            </w:r>
          </w:p>
        </w:tc>
        <w:tc>
          <w:tcPr>
            <w:tcW w:w="780" w:type="dxa"/>
            <w:vAlign w:val="center"/>
          </w:tcPr>
          <w:p>
            <w:pPr>
              <w:widowControl w:val="0"/>
              <w:jc w:val="center"/>
            </w:pPr>
            <w:r>
              <w:t>228</w:t>
            </w:r>
          </w:p>
        </w:tc>
        <w:tc>
          <w:tcPr>
            <w:tcW w:w="781" w:type="dxa"/>
            <w:vAlign w:val="center"/>
          </w:tcPr>
          <w:p>
            <w:pPr>
              <w:widowControl w:val="0"/>
              <w:jc w:val="center"/>
            </w:pPr>
            <w:r>
              <w:t>198</w:t>
            </w:r>
          </w:p>
        </w:tc>
        <w:tc>
          <w:tcPr>
            <w:tcW w:w="781" w:type="dxa"/>
            <w:vAlign w:val="center"/>
          </w:tcPr>
          <w:p>
            <w:pPr>
              <w:widowControl w:val="0"/>
              <w:jc w:val="center"/>
            </w:pPr>
            <w:r>
              <w:t>247</w:t>
            </w:r>
          </w:p>
        </w:tc>
        <w:tc>
          <w:tcPr>
            <w:tcW w:w="786" w:type="dxa"/>
            <w:vAlign w:val="center"/>
          </w:tcPr>
          <w:p>
            <w:pPr>
              <w:widowControl w:val="0"/>
              <w:jc w:val="center"/>
            </w:pPr>
            <w:r>
              <w:t>213</w:t>
            </w:r>
          </w:p>
        </w:tc>
        <w:tc>
          <w:tcPr>
            <w:tcW w:w="781" w:type="dxa"/>
            <w:vAlign w:val="center"/>
          </w:tcPr>
          <w:p>
            <w:pPr>
              <w:widowControl w:val="0"/>
              <w:jc w:val="center"/>
            </w:pPr>
            <w:r>
              <w:t>266</w:t>
            </w:r>
          </w:p>
        </w:tc>
        <w:tc>
          <w:tcPr>
            <w:tcW w:w="781" w:type="dxa"/>
            <w:vAlign w:val="center"/>
          </w:tcPr>
          <w:p>
            <w:pPr>
              <w:widowControl w:val="0"/>
              <w:jc w:val="center"/>
            </w:pPr>
            <w:r>
              <w:t>242</w:t>
            </w:r>
          </w:p>
        </w:tc>
        <w:tc>
          <w:tcPr>
            <w:tcW w:w="792" w:type="dxa"/>
            <w:vAlign w:val="center"/>
          </w:tcPr>
          <w:p>
            <w:pPr>
              <w:widowControl w:val="0"/>
              <w:jc w:val="center"/>
            </w:pPr>
            <w:r>
              <w:t>304</w:t>
            </w:r>
          </w:p>
        </w:tc>
      </w:tr>
      <w:tr>
        <w:trPr>
          <w:cantSplit/>
          <w:trHeight w:val="20"/>
        </w:trPr>
        <w:tc>
          <w:tcPr>
            <w:tcW w:w="1158" w:type="dxa"/>
            <w:vAlign w:val="center"/>
          </w:tcPr>
          <w:p>
            <w:pPr>
              <w:widowControl w:val="0"/>
              <w:jc w:val="center"/>
            </w:pPr>
            <w:r>
              <w:t>70</w:t>
            </w:r>
          </w:p>
        </w:tc>
        <w:tc>
          <w:tcPr>
            <w:tcW w:w="778" w:type="dxa"/>
            <w:vAlign w:val="center"/>
          </w:tcPr>
          <w:p>
            <w:pPr>
              <w:widowControl w:val="0"/>
              <w:jc w:val="center"/>
            </w:pPr>
            <w:r>
              <w:t>264</w:t>
            </w:r>
          </w:p>
        </w:tc>
        <w:tc>
          <w:tcPr>
            <w:tcW w:w="780" w:type="dxa"/>
            <w:vAlign w:val="center"/>
          </w:tcPr>
          <w:p>
            <w:pPr>
              <w:widowControl w:val="0"/>
              <w:jc w:val="center"/>
            </w:pPr>
            <w:r>
              <w:t>333</w:t>
            </w:r>
          </w:p>
        </w:tc>
        <w:tc>
          <w:tcPr>
            <w:tcW w:w="785" w:type="dxa"/>
            <w:vAlign w:val="center"/>
          </w:tcPr>
          <w:p>
            <w:pPr>
              <w:widowControl w:val="0"/>
              <w:jc w:val="center"/>
            </w:pPr>
            <w:r>
              <w:t>223</w:t>
            </w:r>
          </w:p>
        </w:tc>
        <w:tc>
          <w:tcPr>
            <w:tcW w:w="780" w:type="dxa"/>
            <w:vAlign w:val="center"/>
          </w:tcPr>
          <w:p>
            <w:pPr>
              <w:widowControl w:val="0"/>
              <w:jc w:val="center"/>
            </w:pPr>
            <w:r>
              <w:t>279</w:t>
            </w:r>
          </w:p>
        </w:tc>
        <w:tc>
          <w:tcPr>
            <w:tcW w:w="781" w:type="dxa"/>
            <w:vAlign w:val="center"/>
          </w:tcPr>
          <w:p>
            <w:pPr>
              <w:widowControl w:val="0"/>
              <w:jc w:val="center"/>
            </w:pPr>
            <w:r>
              <w:t>241</w:t>
            </w:r>
          </w:p>
        </w:tc>
        <w:tc>
          <w:tcPr>
            <w:tcW w:w="781" w:type="dxa"/>
            <w:vAlign w:val="center"/>
          </w:tcPr>
          <w:p>
            <w:pPr>
              <w:widowControl w:val="0"/>
              <w:jc w:val="center"/>
            </w:pPr>
            <w:r>
              <w:t>300</w:t>
            </w:r>
          </w:p>
        </w:tc>
        <w:tc>
          <w:tcPr>
            <w:tcW w:w="786" w:type="dxa"/>
            <w:vAlign w:val="center"/>
          </w:tcPr>
          <w:p>
            <w:pPr>
              <w:widowControl w:val="0"/>
              <w:jc w:val="center"/>
            </w:pPr>
            <w:r>
              <w:t>259</w:t>
            </w:r>
          </w:p>
        </w:tc>
        <w:tc>
          <w:tcPr>
            <w:tcW w:w="781" w:type="dxa"/>
            <w:vAlign w:val="center"/>
          </w:tcPr>
          <w:p>
            <w:pPr>
              <w:widowControl w:val="0"/>
              <w:jc w:val="center"/>
            </w:pPr>
            <w:r>
              <w:t>323</w:t>
            </w:r>
          </w:p>
        </w:tc>
        <w:tc>
          <w:tcPr>
            <w:tcW w:w="781" w:type="dxa"/>
            <w:vAlign w:val="center"/>
          </w:tcPr>
          <w:p>
            <w:pPr>
              <w:widowControl w:val="0"/>
              <w:jc w:val="center"/>
            </w:pPr>
            <w:r>
              <w:t>294</w:t>
            </w:r>
          </w:p>
        </w:tc>
        <w:tc>
          <w:tcPr>
            <w:tcW w:w="792" w:type="dxa"/>
            <w:vAlign w:val="center"/>
          </w:tcPr>
          <w:p>
            <w:pPr>
              <w:widowControl w:val="0"/>
              <w:jc w:val="center"/>
            </w:pPr>
            <w:r>
              <w:t>370</w:t>
            </w:r>
          </w:p>
        </w:tc>
      </w:tr>
      <w:tr>
        <w:trPr>
          <w:cantSplit/>
          <w:trHeight w:val="20"/>
        </w:trPr>
        <w:tc>
          <w:tcPr>
            <w:tcW w:w="1158" w:type="dxa"/>
            <w:vAlign w:val="center"/>
          </w:tcPr>
          <w:p>
            <w:pPr>
              <w:widowControl w:val="0"/>
              <w:jc w:val="center"/>
            </w:pPr>
            <w:r>
              <w:t>95</w:t>
            </w:r>
          </w:p>
        </w:tc>
        <w:tc>
          <w:tcPr>
            <w:tcW w:w="778" w:type="dxa"/>
            <w:vAlign w:val="center"/>
          </w:tcPr>
          <w:p>
            <w:pPr>
              <w:widowControl w:val="0"/>
              <w:jc w:val="center"/>
            </w:pPr>
            <w:r>
              <w:t>317</w:t>
            </w:r>
          </w:p>
        </w:tc>
        <w:tc>
          <w:tcPr>
            <w:tcW w:w="780" w:type="dxa"/>
            <w:vAlign w:val="center"/>
          </w:tcPr>
          <w:p>
            <w:pPr>
              <w:widowControl w:val="0"/>
              <w:jc w:val="center"/>
            </w:pPr>
            <w:r>
              <w:t>400</w:t>
            </w:r>
          </w:p>
        </w:tc>
        <w:tc>
          <w:tcPr>
            <w:tcW w:w="785" w:type="dxa"/>
            <w:vAlign w:val="center"/>
          </w:tcPr>
          <w:p>
            <w:pPr>
              <w:widowControl w:val="0"/>
              <w:jc w:val="center"/>
            </w:pPr>
            <w:r>
              <w:t>267</w:t>
            </w:r>
          </w:p>
        </w:tc>
        <w:tc>
          <w:tcPr>
            <w:tcW w:w="780" w:type="dxa"/>
            <w:vAlign w:val="center"/>
          </w:tcPr>
          <w:p>
            <w:pPr>
              <w:widowControl w:val="0"/>
              <w:jc w:val="center"/>
            </w:pPr>
            <w:r>
              <w:t>335</w:t>
            </w:r>
          </w:p>
        </w:tc>
        <w:tc>
          <w:tcPr>
            <w:tcW w:w="781" w:type="dxa"/>
            <w:vAlign w:val="center"/>
          </w:tcPr>
          <w:p>
            <w:pPr>
              <w:widowControl w:val="0"/>
              <w:jc w:val="center"/>
            </w:pPr>
            <w:r>
              <w:t>289</w:t>
            </w:r>
          </w:p>
        </w:tc>
        <w:tc>
          <w:tcPr>
            <w:tcW w:w="781" w:type="dxa"/>
            <w:vAlign w:val="center"/>
          </w:tcPr>
          <w:p>
            <w:pPr>
              <w:widowControl w:val="0"/>
              <w:jc w:val="center"/>
            </w:pPr>
            <w:r>
              <w:t>359</w:t>
            </w:r>
          </w:p>
        </w:tc>
        <w:tc>
          <w:tcPr>
            <w:tcW w:w="786" w:type="dxa"/>
            <w:vAlign w:val="center"/>
          </w:tcPr>
          <w:p>
            <w:pPr>
              <w:widowControl w:val="0"/>
              <w:jc w:val="center"/>
            </w:pPr>
            <w:r>
              <w:t>309</w:t>
            </w:r>
          </w:p>
        </w:tc>
        <w:tc>
          <w:tcPr>
            <w:tcW w:w="781" w:type="dxa"/>
            <w:vAlign w:val="center"/>
          </w:tcPr>
          <w:p>
            <w:pPr>
              <w:widowControl w:val="0"/>
              <w:jc w:val="center"/>
            </w:pPr>
            <w:r>
              <w:t>385</w:t>
            </w:r>
          </w:p>
        </w:tc>
        <w:tc>
          <w:tcPr>
            <w:tcW w:w="781" w:type="dxa"/>
            <w:vAlign w:val="center"/>
          </w:tcPr>
          <w:p>
            <w:pPr>
              <w:widowControl w:val="0"/>
              <w:jc w:val="center"/>
            </w:pPr>
            <w:r>
              <w:t>351</w:t>
            </w:r>
          </w:p>
        </w:tc>
        <w:tc>
          <w:tcPr>
            <w:tcW w:w="792" w:type="dxa"/>
            <w:vAlign w:val="center"/>
          </w:tcPr>
          <w:p>
            <w:pPr>
              <w:widowControl w:val="0"/>
              <w:jc w:val="center"/>
            </w:pPr>
            <w:r>
              <w:t>441</w:t>
            </w:r>
          </w:p>
        </w:tc>
      </w:tr>
      <w:tr>
        <w:trPr>
          <w:cantSplit/>
          <w:trHeight w:val="20"/>
        </w:trPr>
        <w:tc>
          <w:tcPr>
            <w:tcW w:w="1158" w:type="dxa"/>
            <w:vAlign w:val="center"/>
          </w:tcPr>
          <w:p>
            <w:pPr>
              <w:widowControl w:val="0"/>
              <w:jc w:val="center"/>
            </w:pPr>
            <w:r>
              <w:t>120</w:t>
            </w:r>
          </w:p>
        </w:tc>
        <w:tc>
          <w:tcPr>
            <w:tcW w:w="778" w:type="dxa"/>
            <w:vAlign w:val="center"/>
          </w:tcPr>
          <w:p>
            <w:pPr>
              <w:widowControl w:val="0"/>
              <w:jc w:val="center"/>
            </w:pPr>
            <w:r>
              <w:t>364</w:t>
            </w:r>
          </w:p>
        </w:tc>
        <w:tc>
          <w:tcPr>
            <w:tcW w:w="780" w:type="dxa"/>
            <w:vAlign w:val="center"/>
          </w:tcPr>
          <w:p>
            <w:pPr>
              <w:widowControl w:val="0"/>
              <w:jc w:val="center"/>
            </w:pPr>
            <w:r>
              <w:t>460</w:t>
            </w:r>
          </w:p>
        </w:tc>
        <w:tc>
          <w:tcPr>
            <w:tcW w:w="785" w:type="dxa"/>
            <w:vAlign w:val="center"/>
          </w:tcPr>
          <w:p>
            <w:pPr>
              <w:widowControl w:val="0"/>
              <w:jc w:val="center"/>
            </w:pPr>
            <w:r>
              <w:t>308</w:t>
            </w:r>
          </w:p>
        </w:tc>
        <w:tc>
          <w:tcPr>
            <w:tcW w:w="780" w:type="dxa"/>
            <w:vAlign w:val="center"/>
          </w:tcPr>
          <w:p>
            <w:pPr>
              <w:widowControl w:val="0"/>
              <w:jc w:val="center"/>
            </w:pPr>
            <w:r>
              <w:t>385</w:t>
            </w:r>
          </w:p>
        </w:tc>
        <w:tc>
          <w:tcPr>
            <w:tcW w:w="781" w:type="dxa"/>
            <w:vAlign w:val="center"/>
          </w:tcPr>
          <w:p>
            <w:pPr>
              <w:widowControl w:val="0"/>
              <w:jc w:val="center"/>
            </w:pPr>
            <w:r>
              <w:t>331</w:t>
            </w:r>
          </w:p>
        </w:tc>
        <w:tc>
          <w:tcPr>
            <w:tcW w:w="781" w:type="dxa"/>
            <w:vAlign w:val="center"/>
          </w:tcPr>
          <w:p>
            <w:pPr>
              <w:widowControl w:val="0"/>
              <w:jc w:val="center"/>
            </w:pPr>
            <w:r>
              <w:t>411</w:t>
            </w:r>
          </w:p>
        </w:tc>
        <w:tc>
          <w:tcPr>
            <w:tcW w:w="786" w:type="dxa"/>
            <w:vAlign w:val="center"/>
          </w:tcPr>
          <w:p>
            <w:pPr>
              <w:widowControl w:val="0"/>
              <w:jc w:val="center"/>
            </w:pPr>
            <w:r>
              <w:t>353</w:t>
            </w:r>
          </w:p>
        </w:tc>
        <w:tc>
          <w:tcPr>
            <w:tcW w:w="781" w:type="dxa"/>
            <w:vAlign w:val="center"/>
          </w:tcPr>
          <w:p>
            <w:pPr>
              <w:widowControl w:val="0"/>
              <w:jc w:val="center"/>
            </w:pPr>
            <w:r>
              <w:t>441</w:t>
            </w:r>
          </w:p>
        </w:tc>
        <w:tc>
          <w:tcPr>
            <w:tcW w:w="781" w:type="dxa"/>
            <w:vAlign w:val="center"/>
          </w:tcPr>
          <w:p>
            <w:pPr>
              <w:widowControl w:val="0"/>
              <w:jc w:val="center"/>
            </w:pPr>
            <w:r>
              <w:t>402</w:t>
            </w:r>
          </w:p>
        </w:tc>
        <w:tc>
          <w:tcPr>
            <w:tcW w:w="792" w:type="dxa"/>
            <w:vAlign w:val="center"/>
          </w:tcPr>
          <w:p>
            <w:pPr>
              <w:widowControl w:val="0"/>
              <w:jc w:val="center"/>
            </w:pPr>
            <w:r>
              <w:t>505</w:t>
            </w:r>
          </w:p>
        </w:tc>
      </w:tr>
      <w:tr>
        <w:trPr>
          <w:cantSplit/>
          <w:trHeight w:val="20"/>
        </w:trPr>
        <w:tc>
          <w:tcPr>
            <w:tcW w:w="1158" w:type="dxa"/>
            <w:vAlign w:val="center"/>
          </w:tcPr>
          <w:p>
            <w:pPr>
              <w:widowControl w:val="0"/>
              <w:jc w:val="center"/>
            </w:pPr>
            <w:r>
              <w:t>150</w:t>
            </w:r>
          </w:p>
        </w:tc>
        <w:tc>
          <w:tcPr>
            <w:tcW w:w="778" w:type="dxa"/>
            <w:vAlign w:val="center"/>
          </w:tcPr>
          <w:p>
            <w:pPr>
              <w:widowControl w:val="0"/>
              <w:jc w:val="center"/>
            </w:pPr>
            <w:r>
              <w:t>416</w:t>
            </w:r>
          </w:p>
        </w:tc>
        <w:tc>
          <w:tcPr>
            <w:tcW w:w="780" w:type="dxa"/>
            <w:vAlign w:val="center"/>
          </w:tcPr>
          <w:p>
            <w:pPr>
              <w:widowControl w:val="0"/>
              <w:jc w:val="center"/>
            </w:pPr>
            <w:r>
              <w:t>526</w:t>
            </w:r>
          </w:p>
        </w:tc>
        <w:tc>
          <w:tcPr>
            <w:tcW w:w="785" w:type="dxa"/>
            <w:vAlign w:val="center"/>
          </w:tcPr>
          <w:p>
            <w:pPr>
              <w:widowControl w:val="0"/>
              <w:jc w:val="center"/>
            </w:pPr>
            <w:r>
              <w:t>352</w:t>
            </w:r>
          </w:p>
        </w:tc>
        <w:tc>
          <w:tcPr>
            <w:tcW w:w="780" w:type="dxa"/>
            <w:vAlign w:val="center"/>
          </w:tcPr>
          <w:p>
            <w:pPr>
              <w:widowControl w:val="0"/>
              <w:jc w:val="center"/>
            </w:pPr>
            <w:r>
              <w:t>441</w:t>
            </w:r>
          </w:p>
        </w:tc>
        <w:tc>
          <w:tcPr>
            <w:tcW w:w="781" w:type="dxa"/>
            <w:vAlign w:val="center"/>
          </w:tcPr>
          <w:p>
            <w:pPr>
              <w:widowControl w:val="0"/>
              <w:jc w:val="center"/>
            </w:pPr>
            <w:r>
              <w:t>377</w:t>
            </w:r>
          </w:p>
        </w:tc>
        <w:tc>
          <w:tcPr>
            <w:tcW w:w="781" w:type="dxa"/>
            <w:vAlign w:val="center"/>
          </w:tcPr>
          <w:p>
            <w:pPr>
              <w:widowControl w:val="0"/>
              <w:jc w:val="center"/>
            </w:pPr>
            <w:r>
              <w:t>469</w:t>
            </w:r>
          </w:p>
        </w:tc>
        <w:tc>
          <w:tcPr>
            <w:tcW w:w="786" w:type="dxa"/>
            <w:vAlign w:val="center"/>
          </w:tcPr>
          <w:p>
            <w:pPr>
              <w:widowControl w:val="0"/>
              <w:jc w:val="center"/>
            </w:pPr>
            <w:r>
              <w:t>400</w:t>
            </w:r>
          </w:p>
        </w:tc>
        <w:tc>
          <w:tcPr>
            <w:tcW w:w="781" w:type="dxa"/>
            <w:vAlign w:val="center"/>
          </w:tcPr>
          <w:p>
            <w:pPr>
              <w:widowControl w:val="0"/>
              <w:jc w:val="center"/>
            </w:pPr>
            <w:r>
              <w:t>498</w:t>
            </w:r>
          </w:p>
        </w:tc>
        <w:tc>
          <w:tcPr>
            <w:tcW w:w="781" w:type="dxa"/>
            <w:vAlign w:val="center"/>
          </w:tcPr>
          <w:p>
            <w:pPr>
              <w:widowControl w:val="0"/>
              <w:jc w:val="center"/>
            </w:pPr>
            <w:r>
              <w:t>454</w:t>
            </w:r>
          </w:p>
        </w:tc>
        <w:tc>
          <w:tcPr>
            <w:tcW w:w="792" w:type="dxa"/>
            <w:vAlign w:val="center"/>
          </w:tcPr>
          <w:p>
            <w:pPr>
              <w:widowControl w:val="0"/>
              <w:jc w:val="center"/>
            </w:pPr>
            <w:r>
              <w:t>565</w:t>
            </w:r>
          </w:p>
        </w:tc>
      </w:tr>
      <w:tr>
        <w:trPr>
          <w:cantSplit/>
          <w:trHeight w:val="20"/>
        </w:trPr>
        <w:tc>
          <w:tcPr>
            <w:tcW w:w="1158" w:type="dxa"/>
            <w:vAlign w:val="center"/>
          </w:tcPr>
          <w:p>
            <w:pPr>
              <w:widowControl w:val="0"/>
              <w:jc w:val="center"/>
            </w:pPr>
            <w:r>
              <w:t>185</w:t>
            </w:r>
          </w:p>
        </w:tc>
        <w:tc>
          <w:tcPr>
            <w:tcW w:w="778" w:type="dxa"/>
            <w:vAlign w:val="center"/>
          </w:tcPr>
          <w:p>
            <w:pPr>
              <w:widowControl w:val="0"/>
              <w:jc w:val="center"/>
            </w:pPr>
            <w:r>
              <w:t>472</w:t>
            </w:r>
          </w:p>
        </w:tc>
        <w:tc>
          <w:tcPr>
            <w:tcW w:w="780" w:type="dxa"/>
            <w:vAlign w:val="center"/>
          </w:tcPr>
          <w:p>
            <w:pPr>
              <w:widowControl w:val="0"/>
              <w:jc w:val="center"/>
            </w:pPr>
            <w:r>
              <w:t>596</w:t>
            </w:r>
          </w:p>
        </w:tc>
        <w:tc>
          <w:tcPr>
            <w:tcW w:w="785" w:type="dxa"/>
            <w:vAlign w:val="center"/>
          </w:tcPr>
          <w:p>
            <w:pPr>
              <w:widowControl w:val="0"/>
              <w:jc w:val="center"/>
            </w:pPr>
            <w:r>
              <w:t>399</w:t>
            </w:r>
          </w:p>
        </w:tc>
        <w:tc>
          <w:tcPr>
            <w:tcW w:w="780" w:type="dxa"/>
            <w:vAlign w:val="center"/>
          </w:tcPr>
          <w:p>
            <w:pPr>
              <w:widowControl w:val="0"/>
              <w:jc w:val="center"/>
            </w:pPr>
            <w:r>
              <w:t>500</w:t>
            </w:r>
          </w:p>
        </w:tc>
        <w:tc>
          <w:tcPr>
            <w:tcW w:w="781" w:type="dxa"/>
            <w:vAlign w:val="center"/>
          </w:tcPr>
          <w:p>
            <w:pPr>
              <w:widowControl w:val="0"/>
              <w:jc w:val="center"/>
            </w:pPr>
            <w:r>
              <w:t>426</w:t>
            </w:r>
          </w:p>
        </w:tc>
        <w:tc>
          <w:tcPr>
            <w:tcW w:w="781" w:type="dxa"/>
            <w:vAlign w:val="center"/>
          </w:tcPr>
          <w:p>
            <w:pPr>
              <w:widowControl w:val="0"/>
              <w:jc w:val="center"/>
            </w:pPr>
            <w:r>
              <w:t>530</w:t>
            </w:r>
          </w:p>
        </w:tc>
        <w:tc>
          <w:tcPr>
            <w:tcW w:w="786" w:type="dxa"/>
            <w:vAlign w:val="center"/>
          </w:tcPr>
          <w:p>
            <w:pPr>
              <w:widowControl w:val="0"/>
              <w:jc w:val="center"/>
            </w:pPr>
            <w:r>
              <w:t>446</w:t>
            </w:r>
          </w:p>
        </w:tc>
        <w:tc>
          <w:tcPr>
            <w:tcW w:w="781" w:type="dxa"/>
            <w:vAlign w:val="center"/>
          </w:tcPr>
          <w:p>
            <w:pPr>
              <w:widowControl w:val="0"/>
              <w:jc w:val="center"/>
            </w:pPr>
            <w:r>
              <w:t>557</w:t>
            </w:r>
          </w:p>
        </w:tc>
        <w:tc>
          <w:tcPr>
            <w:tcW w:w="781" w:type="dxa"/>
            <w:vAlign w:val="center"/>
          </w:tcPr>
          <w:p>
            <w:pPr>
              <w:widowControl w:val="0"/>
              <w:jc w:val="center"/>
            </w:pPr>
            <w:r>
              <w:t>507</w:t>
            </w:r>
          </w:p>
        </w:tc>
        <w:tc>
          <w:tcPr>
            <w:tcW w:w="792" w:type="dxa"/>
            <w:vAlign w:val="center"/>
          </w:tcPr>
          <w:p>
            <w:pPr>
              <w:widowControl w:val="0"/>
              <w:jc w:val="center"/>
            </w:pPr>
            <w:r>
              <w:t>629</w:t>
            </w:r>
          </w:p>
        </w:tc>
      </w:tr>
      <w:tr>
        <w:trPr>
          <w:cantSplit/>
          <w:trHeight w:val="20"/>
        </w:trPr>
        <w:tc>
          <w:tcPr>
            <w:tcW w:w="1158" w:type="dxa"/>
            <w:vAlign w:val="center"/>
          </w:tcPr>
          <w:p>
            <w:pPr>
              <w:widowControl w:val="0"/>
              <w:jc w:val="center"/>
            </w:pPr>
            <w:r>
              <w:t>240</w:t>
            </w:r>
          </w:p>
        </w:tc>
        <w:tc>
          <w:tcPr>
            <w:tcW w:w="778" w:type="dxa"/>
            <w:vAlign w:val="center"/>
          </w:tcPr>
          <w:p>
            <w:pPr>
              <w:widowControl w:val="0"/>
              <w:jc w:val="center"/>
            </w:pPr>
            <w:r>
              <w:t>552</w:t>
            </w:r>
          </w:p>
        </w:tc>
        <w:tc>
          <w:tcPr>
            <w:tcW w:w="780" w:type="dxa"/>
            <w:vAlign w:val="center"/>
          </w:tcPr>
          <w:p>
            <w:pPr>
              <w:widowControl w:val="0"/>
              <w:jc w:val="center"/>
            </w:pPr>
            <w:r>
              <w:t>697</w:t>
            </w:r>
          </w:p>
        </w:tc>
        <w:tc>
          <w:tcPr>
            <w:tcW w:w="785" w:type="dxa"/>
            <w:vAlign w:val="center"/>
          </w:tcPr>
          <w:p>
            <w:pPr>
              <w:widowControl w:val="0"/>
              <w:jc w:val="center"/>
            </w:pPr>
            <w:r>
              <w:t>456</w:t>
            </w:r>
          </w:p>
        </w:tc>
        <w:tc>
          <w:tcPr>
            <w:tcW w:w="780" w:type="dxa"/>
            <w:vAlign w:val="center"/>
          </w:tcPr>
          <w:p>
            <w:pPr>
              <w:widowControl w:val="0"/>
              <w:jc w:val="center"/>
            </w:pPr>
            <w:r>
              <w:t>584</w:t>
            </w:r>
          </w:p>
        </w:tc>
        <w:tc>
          <w:tcPr>
            <w:tcW w:w="781" w:type="dxa"/>
            <w:vAlign w:val="center"/>
          </w:tcPr>
          <w:p>
            <w:pPr>
              <w:widowControl w:val="0"/>
              <w:jc w:val="center"/>
            </w:pPr>
            <w:r>
              <w:t>496</w:t>
            </w:r>
          </w:p>
        </w:tc>
        <w:tc>
          <w:tcPr>
            <w:tcW w:w="781" w:type="dxa"/>
            <w:vAlign w:val="center"/>
          </w:tcPr>
          <w:p>
            <w:pPr>
              <w:widowControl w:val="0"/>
              <w:jc w:val="center"/>
            </w:pPr>
            <w:r>
              <w:t>617</w:t>
            </w:r>
          </w:p>
        </w:tc>
        <w:tc>
          <w:tcPr>
            <w:tcW w:w="786" w:type="dxa"/>
            <w:vAlign w:val="center"/>
          </w:tcPr>
          <w:p>
            <w:pPr>
              <w:widowControl w:val="0"/>
              <w:jc w:val="center"/>
            </w:pPr>
            <w:r>
              <w:t>497</w:t>
            </w:r>
          </w:p>
        </w:tc>
        <w:tc>
          <w:tcPr>
            <w:tcW w:w="781" w:type="dxa"/>
            <w:vAlign w:val="center"/>
          </w:tcPr>
          <w:p>
            <w:pPr>
              <w:widowControl w:val="0"/>
              <w:jc w:val="center"/>
            </w:pPr>
            <w:r>
              <w:t>624</w:t>
            </w:r>
          </w:p>
        </w:tc>
        <w:tc>
          <w:tcPr>
            <w:tcW w:w="781" w:type="dxa"/>
            <w:vAlign w:val="center"/>
          </w:tcPr>
          <w:p>
            <w:pPr>
              <w:widowControl w:val="0"/>
              <w:jc w:val="center"/>
            </w:pPr>
            <w:r>
              <w:t>565</w:t>
            </w:r>
          </w:p>
        </w:tc>
        <w:tc>
          <w:tcPr>
            <w:tcW w:w="792" w:type="dxa"/>
            <w:vAlign w:val="center"/>
          </w:tcPr>
          <w:p>
            <w:pPr>
              <w:widowControl w:val="0"/>
              <w:jc w:val="center"/>
            </w:pPr>
            <w:r>
              <w:t>704</w:t>
            </w:r>
          </w:p>
        </w:tc>
      </w:tr>
    </w:tbl>
    <w:p>
      <w:pPr>
        <w:widowControl w:val="0"/>
        <w:ind w:firstLine="567"/>
        <w:jc w:val="both"/>
        <w:rPr>
          <w:b/>
        </w:rPr>
      </w:pPr>
    </w:p>
    <w:p>
      <w:pPr>
        <w:widowControl w:val="0"/>
        <w:ind w:firstLine="567"/>
        <w:jc w:val="both"/>
        <w:rPr>
          <w:b/>
        </w:rPr>
      </w:pPr>
      <w:r>
        <w:rPr>
          <w:b/>
        </w:rPr>
        <w:t>7 lentelė. Varinių ir aliumininių laidininkų PVC izoliacija leistinoji ilgalaikė srovė</w:t>
      </w:r>
    </w:p>
    <w:p>
      <w:pPr>
        <w:widowControl w:val="0"/>
        <w:ind w:firstLine="567"/>
        <w:jc w:val="both"/>
      </w:pPr>
    </w:p>
    <w:p>
      <w:pPr>
        <w:widowControl w:val="0"/>
        <w:ind w:firstLine="567"/>
        <w:jc w:val="both"/>
      </w:pPr>
      <w:r>
        <w:t xml:space="preserve">Temperatūra: laidininko +70 </w:t>
      </w:r>
      <w:r>
        <w:rPr>
          <w:vertAlign w:val="superscript"/>
        </w:rPr>
        <w:t>o</w:t>
      </w:r>
      <w:r>
        <w:t xml:space="preserve">C, oro +30 </w:t>
      </w:r>
      <w:r>
        <w:rPr>
          <w:vertAlign w:val="superscript"/>
        </w:rPr>
        <w:t>o</w:t>
      </w:r>
      <w:r>
        <w:t>C.</w:t>
      </w:r>
    </w:p>
    <w:p>
      <w:pPr>
        <w:widowControl w:val="0"/>
        <w:ind w:firstLine="567"/>
        <w:jc w:val="both"/>
      </w:pPr>
      <w:r>
        <w:t>Taikoma E, F ir G instaliacijos būdams pagal 2 priedo 1 lentelę.</w:t>
      </w:r>
    </w:p>
    <w:p>
      <w:pPr>
        <w:rPr>
          <w:lang w:val="en-GB"/>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2" w:type="dxa"/>
          <w:right w:w="92" w:type="dxa"/>
        </w:tblCellMar>
        <w:tblLook w:val="0000" w:firstRow="0" w:lastRow="0" w:firstColumn="0" w:lastColumn="0" w:noHBand="0" w:noVBand="0"/>
      </w:tblPr>
      <w:tblGrid>
        <w:gridCol w:w="204"/>
        <w:gridCol w:w="288"/>
        <w:gridCol w:w="300"/>
        <w:gridCol w:w="279"/>
        <w:gridCol w:w="1087"/>
        <w:gridCol w:w="1184"/>
        <w:gridCol w:w="987"/>
        <w:gridCol w:w="1184"/>
        <w:gridCol w:w="204"/>
        <w:gridCol w:w="984"/>
        <w:gridCol w:w="1187"/>
        <w:gridCol w:w="366"/>
        <w:gridCol w:w="204"/>
        <w:gridCol w:w="204"/>
        <w:gridCol w:w="204"/>
        <w:gridCol w:w="204"/>
      </w:tblGrid>
      <w:tr>
        <w:trPr>
          <w:cantSplit/>
          <w:trHeight w:val="20"/>
        </w:trPr>
        <w:tc>
          <w:tcPr>
            <w:tcW w:w="1071" w:type="dxa"/>
            <w:gridSpan w:val="4"/>
            <w:vMerge w:val="restart"/>
            <w:vAlign w:val="center"/>
          </w:tcPr>
          <w:p>
            <w:pPr>
              <w:widowControl w:val="0"/>
              <w:jc w:val="center"/>
            </w:pPr>
            <w:r>
              <w:t>Laidininko skerspjūvis, mm</w:t>
            </w:r>
            <w:r>
              <w:rPr>
                <w:vertAlign w:val="superscript"/>
              </w:rPr>
              <w:t>2</w:t>
            </w:r>
          </w:p>
        </w:tc>
        <w:tc>
          <w:tcPr>
            <w:tcW w:w="7999" w:type="dxa"/>
            <w:gridSpan w:val="12"/>
            <w:tcBorders>
              <w:bottom w:val="single" w:sz="4" w:space="0" w:color="auto"/>
            </w:tcBorders>
            <w:vAlign w:val="center"/>
          </w:tcPr>
          <w:p>
            <w:pPr>
              <w:widowControl w:val="0"/>
              <w:jc w:val="center"/>
            </w:pPr>
            <w:r>
              <w:t>Instaliacijos būdas</w:t>
            </w:r>
          </w:p>
        </w:tc>
      </w:tr>
      <w:tr>
        <w:trPr>
          <w:cantSplit/>
          <w:trHeight w:val="20"/>
        </w:trPr>
        <w:tc>
          <w:tcPr>
            <w:tcW w:w="1071" w:type="dxa"/>
            <w:gridSpan w:val="4"/>
            <w:vMerge/>
            <w:vAlign w:val="center"/>
          </w:tcPr>
          <w:p>
            <w:pPr>
              <w:widowControl w:val="0"/>
              <w:jc w:val="center"/>
            </w:pPr>
          </w:p>
        </w:tc>
        <w:tc>
          <w:tcPr>
            <w:tcW w:w="2271" w:type="dxa"/>
            <w:gridSpan w:val="2"/>
            <w:vAlign w:val="center"/>
          </w:tcPr>
          <w:p>
            <w:pPr>
              <w:widowControl w:val="0"/>
              <w:jc w:val="center"/>
            </w:pPr>
            <w:r>
              <w:t>Daugiagysliai</w:t>
            </w:r>
          </w:p>
        </w:tc>
        <w:tc>
          <w:tcPr>
            <w:tcW w:w="5728" w:type="dxa"/>
            <w:gridSpan w:val="10"/>
            <w:vAlign w:val="center"/>
          </w:tcPr>
          <w:p>
            <w:pPr>
              <w:widowControl w:val="0"/>
              <w:jc w:val="center"/>
            </w:pPr>
            <w:r>
              <w:t>Viengysliai</w:t>
            </w:r>
          </w:p>
        </w:tc>
      </w:tr>
      <w:tr>
        <w:trPr>
          <w:cantSplit/>
          <w:trHeight w:val="20"/>
        </w:trPr>
        <w:tc>
          <w:tcPr>
            <w:tcW w:w="1071" w:type="dxa"/>
            <w:gridSpan w:val="4"/>
            <w:vMerge/>
            <w:vAlign w:val="center"/>
          </w:tcPr>
          <w:p>
            <w:pPr>
              <w:widowControl w:val="0"/>
              <w:jc w:val="center"/>
            </w:pPr>
          </w:p>
        </w:tc>
        <w:tc>
          <w:tcPr>
            <w:tcW w:w="1087" w:type="dxa"/>
            <w:vMerge w:val="restart"/>
            <w:vAlign w:val="center"/>
          </w:tcPr>
          <w:p>
            <w:pPr>
              <w:widowControl w:val="0"/>
              <w:jc w:val="center"/>
            </w:pPr>
            <w:r>
              <w:t xml:space="preserve">Du </w:t>
            </w:r>
          </w:p>
          <w:p>
            <w:pPr>
              <w:widowControl w:val="0"/>
              <w:jc w:val="center"/>
            </w:pPr>
            <w:r>
              <w:t>laidininkai</w:t>
            </w:r>
          </w:p>
          <w:p>
            <w:pPr>
              <w:widowControl w:val="0"/>
              <w:jc w:val="center"/>
            </w:pPr>
            <w:r>
              <w:t>(E)</w:t>
            </w:r>
          </w:p>
        </w:tc>
        <w:tc>
          <w:tcPr>
            <w:tcW w:w="1184" w:type="dxa"/>
            <w:vMerge w:val="restart"/>
            <w:vAlign w:val="center"/>
          </w:tcPr>
          <w:p>
            <w:pPr>
              <w:widowControl w:val="0"/>
              <w:jc w:val="center"/>
            </w:pPr>
            <w:r>
              <w:t xml:space="preserve">Trys </w:t>
            </w:r>
          </w:p>
          <w:p>
            <w:pPr>
              <w:widowControl w:val="0"/>
              <w:jc w:val="center"/>
            </w:pPr>
            <w:r>
              <w:t>laidininkai</w:t>
            </w:r>
          </w:p>
          <w:p>
            <w:pPr>
              <w:widowControl w:val="0"/>
              <w:jc w:val="center"/>
            </w:pPr>
            <w:r>
              <w:t>(E)</w:t>
            </w:r>
          </w:p>
        </w:tc>
        <w:tc>
          <w:tcPr>
            <w:tcW w:w="987" w:type="dxa"/>
            <w:vMerge w:val="restart"/>
            <w:vAlign w:val="center"/>
          </w:tcPr>
          <w:p>
            <w:pPr>
              <w:widowControl w:val="0"/>
              <w:jc w:val="center"/>
            </w:pPr>
            <w:r>
              <w:t>Du</w:t>
            </w:r>
          </w:p>
          <w:p>
            <w:pPr>
              <w:widowControl w:val="0"/>
              <w:jc w:val="center"/>
            </w:pPr>
            <w:r>
              <w:t>laidininkai be tarpų</w:t>
            </w:r>
          </w:p>
          <w:p>
            <w:pPr>
              <w:widowControl w:val="0"/>
              <w:jc w:val="center"/>
            </w:pPr>
            <w:r>
              <w:t>(F)</w:t>
            </w:r>
          </w:p>
        </w:tc>
        <w:tc>
          <w:tcPr>
            <w:tcW w:w="1184" w:type="dxa"/>
            <w:vMerge w:val="restart"/>
            <w:vAlign w:val="center"/>
          </w:tcPr>
          <w:p>
            <w:pPr>
              <w:widowControl w:val="0"/>
              <w:jc w:val="center"/>
            </w:pPr>
            <w:r>
              <w:t>Trys</w:t>
            </w:r>
          </w:p>
          <w:p>
            <w:pPr>
              <w:widowControl w:val="0"/>
              <w:jc w:val="center"/>
            </w:pPr>
            <w:r>
              <w:t>laidininkai, išdėstyti dobilo lapo forma</w:t>
            </w:r>
          </w:p>
          <w:p>
            <w:pPr>
              <w:widowControl w:val="0"/>
              <w:jc w:val="center"/>
            </w:pPr>
            <w:r>
              <w:t>(F)</w:t>
            </w:r>
          </w:p>
        </w:tc>
        <w:tc>
          <w:tcPr>
            <w:tcW w:w="204" w:type="dxa"/>
            <w:tcBorders>
              <w:right w:val="nil"/>
            </w:tcBorders>
            <w:vAlign w:val="center"/>
          </w:tcPr>
          <w:p>
            <w:pPr>
              <w:widowControl w:val="0"/>
              <w:jc w:val="center"/>
            </w:pPr>
          </w:p>
        </w:tc>
        <w:tc>
          <w:tcPr>
            <w:tcW w:w="3149" w:type="dxa"/>
            <w:gridSpan w:val="6"/>
            <w:tcBorders>
              <w:left w:val="nil"/>
              <w:right w:val="nil"/>
            </w:tcBorders>
            <w:vAlign w:val="center"/>
          </w:tcPr>
          <w:p>
            <w:pPr>
              <w:widowControl w:val="0"/>
              <w:jc w:val="center"/>
            </w:pPr>
            <w:r>
              <w:t>Trys laidininkai</w:t>
            </w:r>
          </w:p>
        </w:tc>
        <w:tc>
          <w:tcPr>
            <w:tcW w:w="204" w:type="dxa"/>
            <w:tcBorders>
              <w:left w:val="nil"/>
            </w:tcBorders>
            <w:vAlign w:val="center"/>
          </w:tcPr>
          <w:p>
            <w:pPr>
              <w:widowControl w:val="0"/>
              <w:jc w:val="center"/>
            </w:pPr>
          </w:p>
        </w:tc>
      </w:tr>
      <w:tr>
        <w:trPr>
          <w:cantSplit/>
          <w:trHeight w:val="20"/>
        </w:trPr>
        <w:tc>
          <w:tcPr>
            <w:tcW w:w="1071" w:type="dxa"/>
            <w:gridSpan w:val="4"/>
            <w:vMerge/>
            <w:vAlign w:val="center"/>
          </w:tcPr>
          <w:p>
            <w:pPr>
              <w:widowControl w:val="0"/>
              <w:jc w:val="center"/>
            </w:pPr>
          </w:p>
        </w:tc>
        <w:tc>
          <w:tcPr>
            <w:tcW w:w="1087" w:type="dxa"/>
            <w:vMerge/>
            <w:vAlign w:val="center"/>
          </w:tcPr>
          <w:p>
            <w:pPr>
              <w:widowControl w:val="0"/>
              <w:jc w:val="center"/>
            </w:pPr>
          </w:p>
        </w:tc>
        <w:tc>
          <w:tcPr>
            <w:tcW w:w="1184" w:type="dxa"/>
            <w:vMerge/>
            <w:vAlign w:val="center"/>
          </w:tcPr>
          <w:p>
            <w:pPr>
              <w:widowControl w:val="0"/>
              <w:jc w:val="center"/>
            </w:pPr>
          </w:p>
        </w:tc>
        <w:tc>
          <w:tcPr>
            <w:tcW w:w="987" w:type="dxa"/>
            <w:vMerge/>
            <w:vAlign w:val="center"/>
          </w:tcPr>
          <w:p>
            <w:pPr>
              <w:widowControl w:val="0"/>
              <w:jc w:val="center"/>
            </w:pPr>
          </w:p>
        </w:tc>
        <w:tc>
          <w:tcPr>
            <w:tcW w:w="1184" w:type="dxa"/>
            <w:vMerge/>
            <w:vAlign w:val="center"/>
          </w:tcPr>
          <w:p>
            <w:pPr>
              <w:widowControl w:val="0"/>
              <w:jc w:val="center"/>
            </w:pPr>
          </w:p>
        </w:tc>
        <w:tc>
          <w:tcPr>
            <w:tcW w:w="1188" w:type="dxa"/>
            <w:gridSpan w:val="2"/>
            <w:vAlign w:val="center"/>
          </w:tcPr>
          <w:p>
            <w:pPr>
              <w:widowControl w:val="0"/>
              <w:jc w:val="center"/>
            </w:pPr>
            <w:r>
              <w:t>Išdėstyti be tarpų, horizontaliai arba vertikaliai (F)</w:t>
            </w:r>
          </w:p>
        </w:tc>
        <w:tc>
          <w:tcPr>
            <w:tcW w:w="1187" w:type="dxa"/>
            <w:vAlign w:val="center"/>
          </w:tcPr>
          <w:p>
            <w:pPr>
              <w:widowControl w:val="0"/>
              <w:jc w:val="center"/>
            </w:pPr>
            <w:r>
              <w:t>Išdėstyti horizontaliai su tarpais</w:t>
            </w:r>
          </w:p>
          <w:p>
            <w:pPr>
              <w:widowControl w:val="0"/>
              <w:jc w:val="center"/>
            </w:pPr>
            <w:r>
              <w:t>(G)</w:t>
            </w:r>
          </w:p>
        </w:tc>
        <w:tc>
          <w:tcPr>
            <w:tcW w:w="1182" w:type="dxa"/>
            <w:gridSpan w:val="5"/>
            <w:vAlign w:val="center"/>
          </w:tcPr>
          <w:p>
            <w:pPr>
              <w:widowControl w:val="0"/>
              <w:jc w:val="center"/>
            </w:pPr>
            <w:r>
              <w:t>Išdėstyti vertikaliai su tarpais</w:t>
            </w:r>
          </w:p>
          <w:p>
            <w:pPr>
              <w:widowControl w:val="0"/>
              <w:jc w:val="center"/>
            </w:pPr>
            <w:r>
              <w:t>(G)</w:t>
            </w:r>
          </w:p>
        </w:tc>
      </w:tr>
      <w:tr>
        <w:trPr>
          <w:cantSplit/>
          <w:trHeight w:val="20"/>
        </w:trPr>
        <w:tc>
          <w:tcPr>
            <w:tcW w:w="1071" w:type="dxa"/>
            <w:gridSpan w:val="4"/>
            <w:vMerge/>
            <w:vAlign w:val="center"/>
          </w:tcPr>
          <w:p>
            <w:pPr>
              <w:widowControl w:val="0"/>
              <w:jc w:val="center"/>
            </w:pPr>
          </w:p>
        </w:tc>
        <w:tc>
          <w:tcPr>
            <w:tcW w:w="1087" w:type="dxa"/>
            <w:vAlign w:val="center"/>
          </w:tcPr>
          <w:p>
            <w:pPr>
              <w:widowControl w:val="0"/>
              <w:jc w:val="center"/>
            </w:pPr>
            <w:r>
              <w:rPr>
                <w:lang w:eastAsia="lt-LT"/>
              </w:rPr>
              <w:drawing>
                <wp:inline distT="0" distB="0" distL="0" distR="0">
                  <wp:extent cx="314325" cy="495300"/>
                  <wp:effectExtent l="0" t="0" r="0" b="0"/>
                  <wp:docPr id="172" name="Picture 172"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 pav"/>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p>
          <w:p>
            <w:pPr>
              <w:widowControl w:val="0"/>
              <w:jc w:val="center"/>
            </w:pPr>
            <w:r>
              <w:rPr>
                <w:vanish/>
              </w:rPr>
              <w:t>(ženklas)</w:t>
            </w:r>
          </w:p>
        </w:tc>
        <w:tc>
          <w:tcPr>
            <w:tcW w:w="1184" w:type="dxa"/>
            <w:vAlign w:val="center"/>
          </w:tcPr>
          <w:p>
            <w:pPr>
              <w:widowControl w:val="0"/>
              <w:jc w:val="center"/>
            </w:pPr>
            <w:r>
              <w:rPr>
                <w:lang w:eastAsia="lt-LT"/>
              </w:rPr>
              <w:drawing>
                <wp:inline distT="0" distB="0" distL="0" distR="0">
                  <wp:extent cx="342900" cy="523875"/>
                  <wp:effectExtent l="0" t="0" r="0" b="0"/>
                  <wp:docPr id="173" name="Picture 173" descr="2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2 pav"/>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2900" cy="523875"/>
                          </a:xfrm>
                          <a:prstGeom prst="rect">
                            <a:avLst/>
                          </a:prstGeom>
                          <a:noFill/>
                          <a:ln>
                            <a:noFill/>
                          </a:ln>
                        </pic:spPr>
                      </pic:pic>
                    </a:graphicData>
                  </a:graphic>
                </wp:inline>
              </w:drawing>
            </w:r>
          </w:p>
          <w:p>
            <w:pPr>
              <w:widowControl w:val="0"/>
              <w:jc w:val="center"/>
            </w:pPr>
            <w:r>
              <w:rPr>
                <w:vanish/>
              </w:rPr>
              <w:t>(ženklas)</w:t>
            </w:r>
          </w:p>
        </w:tc>
        <w:tc>
          <w:tcPr>
            <w:tcW w:w="987" w:type="dxa"/>
            <w:vAlign w:val="center"/>
          </w:tcPr>
          <w:p>
            <w:pPr>
              <w:widowControl w:val="0"/>
              <w:jc w:val="center"/>
            </w:pPr>
            <w:r>
              <w:rPr>
                <w:lang w:eastAsia="lt-LT"/>
              </w:rPr>
              <w:drawing>
                <wp:inline distT="0" distB="0" distL="0" distR="0">
                  <wp:extent cx="266700" cy="495300"/>
                  <wp:effectExtent l="0" t="0" r="0" b="0"/>
                  <wp:docPr id="174" name="Picture 174" descr="3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3 pav"/>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66700" cy="495300"/>
                          </a:xfrm>
                          <a:prstGeom prst="rect">
                            <a:avLst/>
                          </a:prstGeom>
                          <a:noFill/>
                          <a:ln>
                            <a:noFill/>
                          </a:ln>
                        </pic:spPr>
                      </pic:pic>
                    </a:graphicData>
                  </a:graphic>
                </wp:inline>
              </w:drawing>
            </w:r>
          </w:p>
          <w:p>
            <w:pPr>
              <w:widowControl w:val="0"/>
              <w:jc w:val="center"/>
            </w:pPr>
            <w:r>
              <w:rPr>
                <w:vanish/>
              </w:rPr>
              <w:t>(ženklas)</w:t>
            </w:r>
          </w:p>
        </w:tc>
        <w:tc>
          <w:tcPr>
            <w:tcW w:w="1184" w:type="dxa"/>
            <w:vAlign w:val="center"/>
          </w:tcPr>
          <w:p>
            <w:pPr>
              <w:widowControl w:val="0"/>
              <w:jc w:val="center"/>
            </w:pPr>
            <w:r>
              <w:rPr>
                <w:lang w:eastAsia="lt-LT"/>
              </w:rPr>
              <w:drawing>
                <wp:inline distT="0" distB="0" distL="0" distR="0">
                  <wp:extent cx="285750" cy="504825"/>
                  <wp:effectExtent l="0" t="0" r="0" b="0"/>
                  <wp:docPr id="175" name="Picture 175" descr="4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4 pav"/>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5750" cy="504825"/>
                          </a:xfrm>
                          <a:prstGeom prst="rect">
                            <a:avLst/>
                          </a:prstGeom>
                          <a:noFill/>
                          <a:ln>
                            <a:noFill/>
                          </a:ln>
                        </pic:spPr>
                      </pic:pic>
                    </a:graphicData>
                  </a:graphic>
                </wp:inline>
              </w:drawing>
            </w:r>
          </w:p>
          <w:p>
            <w:pPr>
              <w:widowControl w:val="0"/>
              <w:jc w:val="center"/>
            </w:pPr>
            <w:r>
              <w:rPr>
                <w:vanish/>
              </w:rPr>
              <w:t>(ženklas)</w:t>
            </w:r>
          </w:p>
        </w:tc>
        <w:tc>
          <w:tcPr>
            <w:tcW w:w="1188" w:type="dxa"/>
            <w:gridSpan w:val="2"/>
            <w:vAlign w:val="center"/>
          </w:tcPr>
          <w:p>
            <w:pPr>
              <w:widowControl w:val="0"/>
              <w:jc w:val="center"/>
            </w:pPr>
            <w:r>
              <w:rPr>
                <w:lang w:eastAsia="lt-LT"/>
              </w:rPr>
              <w:drawing>
                <wp:inline distT="0" distB="0" distL="0" distR="0">
                  <wp:extent cx="352425" cy="495300"/>
                  <wp:effectExtent l="0" t="0" r="0" b="0"/>
                  <wp:docPr id="176" name="Picture 176" descr="3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3 pav"/>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52425" cy="495300"/>
                          </a:xfrm>
                          <a:prstGeom prst="rect">
                            <a:avLst/>
                          </a:prstGeom>
                          <a:noFill/>
                          <a:ln>
                            <a:noFill/>
                          </a:ln>
                        </pic:spPr>
                      </pic:pic>
                    </a:graphicData>
                  </a:graphic>
                </wp:inline>
              </w:drawing>
            </w:r>
          </w:p>
          <w:p>
            <w:pPr>
              <w:widowControl w:val="0"/>
              <w:jc w:val="center"/>
            </w:pPr>
            <w:r>
              <w:rPr>
                <w:vanish/>
              </w:rPr>
              <w:t>(ženklas)</w:t>
            </w:r>
          </w:p>
        </w:tc>
        <w:tc>
          <w:tcPr>
            <w:tcW w:w="1187" w:type="dxa"/>
            <w:vAlign w:val="center"/>
          </w:tcPr>
          <w:p>
            <w:pPr>
              <w:widowControl w:val="0"/>
              <w:jc w:val="center"/>
            </w:pPr>
            <w:r>
              <w:rPr>
                <w:lang w:eastAsia="lt-LT"/>
              </w:rPr>
              <w:drawing>
                <wp:inline distT="0" distB="0" distL="0" distR="0">
                  <wp:extent cx="428625" cy="447675"/>
                  <wp:effectExtent l="0" t="0" r="0" b="0"/>
                  <wp:docPr id="177" name="Picture 177" descr="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5 pav"/>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p>
            <w:pPr>
              <w:widowControl w:val="0"/>
              <w:jc w:val="center"/>
            </w:pPr>
            <w:r>
              <w:rPr>
                <w:vanish/>
              </w:rPr>
              <w:t>(ženklas)</w:t>
            </w:r>
          </w:p>
        </w:tc>
        <w:tc>
          <w:tcPr>
            <w:tcW w:w="1182" w:type="dxa"/>
            <w:gridSpan w:val="5"/>
            <w:vAlign w:val="center"/>
          </w:tcPr>
          <w:p>
            <w:pPr>
              <w:widowControl w:val="0"/>
              <w:jc w:val="center"/>
            </w:pPr>
            <w:r>
              <w:rPr>
                <w:lang w:eastAsia="lt-LT"/>
              </w:rPr>
              <w:drawing>
                <wp:inline distT="0" distB="0" distL="0" distR="0">
                  <wp:extent cx="419100" cy="466725"/>
                  <wp:effectExtent l="0" t="0" r="0" b="0"/>
                  <wp:docPr id="178" name="Picture 178" descr="4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4 pav"/>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p>
            <w:pPr>
              <w:widowControl w:val="0"/>
              <w:jc w:val="center"/>
            </w:pPr>
            <w:r>
              <w:rPr>
                <w:vanish/>
              </w:rPr>
              <w:t>(ženklas)</w:t>
            </w:r>
          </w:p>
        </w:tc>
      </w:tr>
      <w:tr>
        <w:trPr>
          <w:cantSplit/>
          <w:trHeight w:val="20"/>
        </w:trPr>
        <w:tc>
          <w:tcPr>
            <w:tcW w:w="204" w:type="dxa"/>
            <w:tcBorders>
              <w:right w:val="nil"/>
            </w:tcBorders>
            <w:vAlign w:val="center"/>
          </w:tcPr>
          <w:p>
            <w:pPr>
              <w:widowControl w:val="0"/>
              <w:jc w:val="center"/>
            </w:pPr>
          </w:p>
        </w:tc>
        <w:tc>
          <w:tcPr>
            <w:tcW w:w="288" w:type="dxa"/>
            <w:tcBorders>
              <w:left w:val="nil"/>
              <w:right w:val="nil"/>
            </w:tcBorders>
            <w:vAlign w:val="center"/>
          </w:tcPr>
          <w:p>
            <w:pPr>
              <w:widowControl w:val="0"/>
              <w:jc w:val="center"/>
            </w:pPr>
          </w:p>
        </w:tc>
        <w:tc>
          <w:tcPr>
            <w:tcW w:w="300" w:type="dxa"/>
            <w:tcBorders>
              <w:left w:val="nil"/>
              <w:right w:val="nil"/>
            </w:tcBorders>
            <w:vAlign w:val="center"/>
          </w:tcPr>
          <w:p>
            <w:pPr>
              <w:widowControl w:val="0"/>
              <w:jc w:val="center"/>
            </w:pPr>
          </w:p>
        </w:tc>
        <w:tc>
          <w:tcPr>
            <w:tcW w:w="7462" w:type="dxa"/>
            <w:gridSpan w:val="9"/>
            <w:tcBorders>
              <w:left w:val="nil"/>
              <w:right w:val="nil"/>
            </w:tcBorders>
            <w:vAlign w:val="center"/>
          </w:tcPr>
          <w:p>
            <w:pPr>
              <w:widowControl w:val="0"/>
              <w:jc w:val="center"/>
            </w:pPr>
            <w:r>
              <w:t>Varinių laidininkų leistinoji ilgalaikė srovė, A</w:t>
            </w:r>
          </w:p>
        </w:tc>
        <w:tc>
          <w:tcPr>
            <w:tcW w:w="204" w:type="dxa"/>
            <w:tcBorders>
              <w:left w:val="nil"/>
              <w:right w:val="nil"/>
            </w:tcBorders>
            <w:vAlign w:val="center"/>
          </w:tcPr>
          <w:p>
            <w:pPr>
              <w:widowControl w:val="0"/>
              <w:jc w:val="center"/>
            </w:pPr>
          </w:p>
        </w:tc>
        <w:tc>
          <w:tcPr>
            <w:tcW w:w="204" w:type="dxa"/>
            <w:tcBorders>
              <w:left w:val="nil"/>
              <w:right w:val="nil"/>
            </w:tcBorders>
            <w:vAlign w:val="center"/>
          </w:tcPr>
          <w:p>
            <w:pPr>
              <w:widowControl w:val="0"/>
              <w:jc w:val="center"/>
            </w:pPr>
          </w:p>
        </w:tc>
        <w:tc>
          <w:tcPr>
            <w:tcW w:w="204" w:type="dxa"/>
            <w:tcBorders>
              <w:left w:val="nil"/>
              <w:right w:val="nil"/>
            </w:tcBorders>
            <w:vAlign w:val="center"/>
          </w:tcPr>
          <w:p>
            <w:pPr>
              <w:widowControl w:val="0"/>
              <w:jc w:val="center"/>
            </w:pPr>
          </w:p>
        </w:tc>
        <w:tc>
          <w:tcPr>
            <w:tcW w:w="204" w:type="dxa"/>
            <w:tcBorders>
              <w:left w:val="nil"/>
            </w:tcBorders>
            <w:vAlign w:val="center"/>
          </w:tcPr>
          <w:p>
            <w:pPr>
              <w:widowControl w:val="0"/>
              <w:jc w:val="center"/>
            </w:pPr>
          </w:p>
        </w:tc>
      </w:tr>
      <w:tr>
        <w:trPr>
          <w:cantSplit/>
          <w:trHeight w:val="20"/>
        </w:trPr>
        <w:tc>
          <w:tcPr>
            <w:tcW w:w="1071" w:type="dxa"/>
            <w:gridSpan w:val="4"/>
            <w:vAlign w:val="center"/>
          </w:tcPr>
          <w:p>
            <w:pPr>
              <w:widowControl w:val="0"/>
              <w:jc w:val="center"/>
            </w:pPr>
            <w:r>
              <w:t>1,5</w:t>
            </w:r>
          </w:p>
        </w:tc>
        <w:tc>
          <w:tcPr>
            <w:tcW w:w="1087" w:type="dxa"/>
            <w:vAlign w:val="center"/>
          </w:tcPr>
          <w:p>
            <w:pPr>
              <w:widowControl w:val="0"/>
              <w:jc w:val="center"/>
            </w:pPr>
            <w:r>
              <w:t>22</w:t>
            </w:r>
          </w:p>
        </w:tc>
        <w:tc>
          <w:tcPr>
            <w:tcW w:w="1184" w:type="dxa"/>
            <w:vAlign w:val="center"/>
          </w:tcPr>
          <w:p>
            <w:pPr>
              <w:widowControl w:val="0"/>
              <w:jc w:val="center"/>
            </w:pPr>
            <w:r>
              <w:t>18,5</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2,5</w:t>
            </w:r>
          </w:p>
        </w:tc>
        <w:tc>
          <w:tcPr>
            <w:tcW w:w="1087" w:type="dxa"/>
            <w:vAlign w:val="center"/>
          </w:tcPr>
          <w:p>
            <w:pPr>
              <w:widowControl w:val="0"/>
              <w:jc w:val="center"/>
            </w:pPr>
            <w:r>
              <w:t>30</w:t>
            </w:r>
          </w:p>
        </w:tc>
        <w:tc>
          <w:tcPr>
            <w:tcW w:w="1184" w:type="dxa"/>
            <w:vAlign w:val="center"/>
          </w:tcPr>
          <w:p>
            <w:pPr>
              <w:widowControl w:val="0"/>
              <w:jc w:val="center"/>
            </w:pPr>
            <w:r>
              <w:t>25</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4</w:t>
            </w:r>
          </w:p>
        </w:tc>
        <w:tc>
          <w:tcPr>
            <w:tcW w:w="1087" w:type="dxa"/>
            <w:vAlign w:val="center"/>
          </w:tcPr>
          <w:p>
            <w:pPr>
              <w:widowControl w:val="0"/>
              <w:jc w:val="center"/>
            </w:pPr>
            <w:r>
              <w:t>40</w:t>
            </w:r>
          </w:p>
        </w:tc>
        <w:tc>
          <w:tcPr>
            <w:tcW w:w="1184" w:type="dxa"/>
            <w:vAlign w:val="center"/>
          </w:tcPr>
          <w:p>
            <w:pPr>
              <w:widowControl w:val="0"/>
              <w:jc w:val="center"/>
            </w:pPr>
            <w:r>
              <w:t>34</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6</w:t>
            </w:r>
          </w:p>
        </w:tc>
        <w:tc>
          <w:tcPr>
            <w:tcW w:w="1087" w:type="dxa"/>
            <w:vAlign w:val="center"/>
          </w:tcPr>
          <w:p>
            <w:pPr>
              <w:widowControl w:val="0"/>
              <w:jc w:val="center"/>
            </w:pPr>
            <w:r>
              <w:t>51</w:t>
            </w:r>
          </w:p>
        </w:tc>
        <w:tc>
          <w:tcPr>
            <w:tcW w:w="1184" w:type="dxa"/>
            <w:vAlign w:val="center"/>
          </w:tcPr>
          <w:p>
            <w:pPr>
              <w:widowControl w:val="0"/>
              <w:jc w:val="center"/>
            </w:pPr>
            <w:r>
              <w:t>43</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10</w:t>
            </w:r>
          </w:p>
        </w:tc>
        <w:tc>
          <w:tcPr>
            <w:tcW w:w="1087" w:type="dxa"/>
            <w:vAlign w:val="center"/>
          </w:tcPr>
          <w:p>
            <w:pPr>
              <w:widowControl w:val="0"/>
              <w:jc w:val="center"/>
            </w:pPr>
            <w:r>
              <w:t>70</w:t>
            </w:r>
          </w:p>
        </w:tc>
        <w:tc>
          <w:tcPr>
            <w:tcW w:w="1184" w:type="dxa"/>
            <w:vAlign w:val="center"/>
          </w:tcPr>
          <w:p>
            <w:pPr>
              <w:widowControl w:val="0"/>
              <w:jc w:val="center"/>
            </w:pPr>
            <w:r>
              <w:t>60</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16</w:t>
            </w:r>
          </w:p>
        </w:tc>
        <w:tc>
          <w:tcPr>
            <w:tcW w:w="1087" w:type="dxa"/>
            <w:vAlign w:val="center"/>
          </w:tcPr>
          <w:p>
            <w:pPr>
              <w:widowControl w:val="0"/>
              <w:jc w:val="center"/>
            </w:pPr>
            <w:r>
              <w:t>94</w:t>
            </w:r>
          </w:p>
        </w:tc>
        <w:tc>
          <w:tcPr>
            <w:tcW w:w="1184" w:type="dxa"/>
            <w:vAlign w:val="center"/>
          </w:tcPr>
          <w:p>
            <w:pPr>
              <w:widowControl w:val="0"/>
              <w:jc w:val="center"/>
            </w:pPr>
            <w:r>
              <w:t>80</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25</w:t>
            </w:r>
          </w:p>
        </w:tc>
        <w:tc>
          <w:tcPr>
            <w:tcW w:w="1087" w:type="dxa"/>
            <w:vAlign w:val="center"/>
          </w:tcPr>
          <w:p>
            <w:pPr>
              <w:widowControl w:val="0"/>
              <w:jc w:val="center"/>
            </w:pPr>
            <w:r>
              <w:t>119</w:t>
            </w:r>
          </w:p>
        </w:tc>
        <w:tc>
          <w:tcPr>
            <w:tcW w:w="1184" w:type="dxa"/>
            <w:vAlign w:val="center"/>
          </w:tcPr>
          <w:p>
            <w:pPr>
              <w:widowControl w:val="0"/>
              <w:jc w:val="center"/>
            </w:pPr>
            <w:r>
              <w:t>101</w:t>
            </w:r>
          </w:p>
        </w:tc>
        <w:tc>
          <w:tcPr>
            <w:tcW w:w="987" w:type="dxa"/>
            <w:vAlign w:val="center"/>
          </w:tcPr>
          <w:p>
            <w:pPr>
              <w:widowControl w:val="0"/>
              <w:jc w:val="center"/>
            </w:pPr>
            <w:r>
              <w:t>131</w:t>
            </w:r>
          </w:p>
        </w:tc>
        <w:tc>
          <w:tcPr>
            <w:tcW w:w="1184" w:type="dxa"/>
            <w:vAlign w:val="center"/>
          </w:tcPr>
          <w:p>
            <w:pPr>
              <w:widowControl w:val="0"/>
              <w:jc w:val="center"/>
            </w:pPr>
            <w:r>
              <w:t>110</w:t>
            </w:r>
          </w:p>
        </w:tc>
        <w:tc>
          <w:tcPr>
            <w:tcW w:w="1188" w:type="dxa"/>
            <w:gridSpan w:val="2"/>
            <w:vAlign w:val="center"/>
          </w:tcPr>
          <w:p>
            <w:pPr>
              <w:widowControl w:val="0"/>
              <w:jc w:val="center"/>
            </w:pPr>
            <w:r>
              <w:t>114</w:t>
            </w:r>
          </w:p>
        </w:tc>
        <w:tc>
          <w:tcPr>
            <w:tcW w:w="1187" w:type="dxa"/>
            <w:vAlign w:val="center"/>
          </w:tcPr>
          <w:p>
            <w:pPr>
              <w:widowControl w:val="0"/>
              <w:jc w:val="center"/>
            </w:pPr>
            <w:r>
              <w:t>146</w:t>
            </w:r>
          </w:p>
        </w:tc>
        <w:tc>
          <w:tcPr>
            <w:tcW w:w="1182" w:type="dxa"/>
            <w:gridSpan w:val="5"/>
            <w:vAlign w:val="center"/>
          </w:tcPr>
          <w:p>
            <w:pPr>
              <w:widowControl w:val="0"/>
              <w:jc w:val="center"/>
            </w:pPr>
            <w:r>
              <w:t>130</w:t>
            </w:r>
          </w:p>
        </w:tc>
      </w:tr>
      <w:tr>
        <w:trPr>
          <w:cantSplit/>
          <w:trHeight w:val="20"/>
        </w:trPr>
        <w:tc>
          <w:tcPr>
            <w:tcW w:w="1071" w:type="dxa"/>
            <w:gridSpan w:val="4"/>
            <w:vAlign w:val="center"/>
          </w:tcPr>
          <w:p>
            <w:pPr>
              <w:widowControl w:val="0"/>
              <w:jc w:val="center"/>
            </w:pPr>
            <w:r>
              <w:t>35</w:t>
            </w:r>
          </w:p>
        </w:tc>
        <w:tc>
          <w:tcPr>
            <w:tcW w:w="1087" w:type="dxa"/>
            <w:vAlign w:val="center"/>
          </w:tcPr>
          <w:p>
            <w:pPr>
              <w:widowControl w:val="0"/>
              <w:jc w:val="center"/>
            </w:pPr>
            <w:r>
              <w:t>148</w:t>
            </w:r>
          </w:p>
        </w:tc>
        <w:tc>
          <w:tcPr>
            <w:tcW w:w="1184" w:type="dxa"/>
            <w:vAlign w:val="center"/>
          </w:tcPr>
          <w:p>
            <w:pPr>
              <w:widowControl w:val="0"/>
              <w:jc w:val="center"/>
            </w:pPr>
            <w:r>
              <w:t>126</w:t>
            </w:r>
          </w:p>
        </w:tc>
        <w:tc>
          <w:tcPr>
            <w:tcW w:w="987" w:type="dxa"/>
            <w:vAlign w:val="center"/>
          </w:tcPr>
          <w:p>
            <w:pPr>
              <w:widowControl w:val="0"/>
              <w:jc w:val="center"/>
            </w:pPr>
            <w:r>
              <w:t>162</w:t>
            </w:r>
          </w:p>
        </w:tc>
        <w:tc>
          <w:tcPr>
            <w:tcW w:w="1184" w:type="dxa"/>
            <w:vAlign w:val="center"/>
          </w:tcPr>
          <w:p>
            <w:pPr>
              <w:widowControl w:val="0"/>
              <w:jc w:val="center"/>
            </w:pPr>
            <w:r>
              <w:t>137</w:t>
            </w:r>
          </w:p>
        </w:tc>
        <w:tc>
          <w:tcPr>
            <w:tcW w:w="1188" w:type="dxa"/>
            <w:gridSpan w:val="2"/>
            <w:vAlign w:val="center"/>
          </w:tcPr>
          <w:p>
            <w:pPr>
              <w:widowControl w:val="0"/>
              <w:jc w:val="center"/>
            </w:pPr>
            <w:r>
              <w:t>143</w:t>
            </w:r>
          </w:p>
        </w:tc>
        <w:tc>
          <w:tcPr>
            <w:tcW w:w="1187" w:type="dxa"/>
            <w:vAlign w:val="center"/>
          </w:tcPr>
          <w:p>
            <w:pPr>
              <w:widowControl w:val="0"/>
              <w:jc w:val="center"/>
            </w:pPr>
            <w:r>
              <w:t>181</w:t>
            </w:r>
          </w:p>
        </w:tc>
        <w:tc>
          <w:tcPr>
            <w:tcW w:w="1182" w:type="dxa"/>
            <w:gridSpan w:val="5"/>
            <w:vAlign w:val="center"/>
          </w:tcPr>
          <w:p>
            <w:pPr>
              <w:widowControl w:val="0"/>
              <w:jc w:val="center"/>
            </w:pPr>
            <w:r>
              <w:t>162</w:t>
            </w:r>
          </w:p>
        </w:tc>
      </w:tr>
      <w:tr>
        <w:trPr>
          <w:cantSplit/>
          <w:trHeight w:val="20"/>
        </w:trPr>
        <w:tc>
          <w:tcPr>
            <w:tcW w:w="1071" w:type="dxa"/>
            <w:gridSpan w:val="4"/>
            <w:vAlign w:val="center"/>
          </w:tcPr>
          <w:p>
            <w:pPr>
              <w:widowControl w:val="0"/>
              <w:jc w:val="center"/>
            </w:pPr>
            <w:r>
              <w:t>50</w:t>
            </w:r>
          </w:p>
        </w:tc>
        <w:tc>
          <w:tcPr>
            <w:tcW w:w="1087" w:type="dxa"/>
            <w:vAlign w:val="center"/>
          </w:tcPr>
          <w:p>
            <w:pPr>
              <w:widowControl w:val="0"/>
              <w:jc w:val="center"/>
            </w:pPr>
            <w:r>
              <w:t>180</w:t>
            </w:r>
          </w:p>
        </w:tc>
        <w:tc>
          <w:tcPr>
            <w:tcW w:w="1184" w:type="dxa"/>
            <w:vAlign w:val="center"/>
          </w:tcPr>
          <w:p>
            <w:pPr>
              <w:widowControl w:val="0"/>
              <w:jc w:val="center"/>
            </w:pPr>
            <w:r>
              <w:t>153</w:t>
            </w:r>
          </w:p>
        </w:tc>
        <w:tc>
          <w:tcPr>
            <w:tcW w:w="987" w:type="dxa"/>
            <w:vAlign w:val="center"/>
          </w:tcPr>
          <w:p>
            <w:pPr>
              <w:widowControl w:val="0"/>
              <w:jc w:val="center"/>
            </w:pPr>
            <w:r>
              <w:t>196</w:t>
            </w:r>
          </w:p>
        </w:tc>
        <w:tc>
          <w:tcPr>
            <w:tcW w:w="1184" w:type="dxa"/>
            <w:vAlign w:val="center"/>
          </w:tcPr>
          <w:p>
            <w:pPr>
              <w:widowControl w:val="0"/>
              <w:jc w:val="center"/>
            </w:pPr>
            <w:r>
              <w:t>167</w:t>
            </w:r>
          </w:p>
        </w:tc>
        <w:tc>
          <w:tcPr>
            <w:tcW w:w="1188" w:type="dxa"/>
            <w:gridSpan w:val="2"/>
            <w:vAlign w:val="center"/>
          </w:tcPr>
          <w:p>
            <w:pPr>
              <w:widowControl w:val="0"/>
              <w:jc w:val="center"/>
            </w:pPr>
            <w:r>
              <w:t>174</w:t>
            </w:r>
          </w:p>
        </w:tc>
        <w:tc>
          <w:tcPr>
            <w:tcW w:w="1187" w:type="dxa"/>
            <w:vAlign w:val="center"/>
          </w:tcPr>
          <w:p>
            <w:pPr>
              <w:widowControl w:val="0"/>
              <w:jc w:val="center"/>
            </w:pPr>
            <w:r>
              <w:t>219</w:t>
            </w:r>
          </w:p>
        </w:tc>
        <w:tc>
          <w:tcPr>
            <w:tcW w:w="1182" w:type="dxa"/>
            <w:gridSpan w:val="5"/>
            <w:vAlign w:val="center"/>
          </w:tcPr>
          <w:p>
            <w:pPr>
              <w:widowControl w:val="0"/>
              <w:jc w:val="center"/>
            </w:pPr>
            <w:r>
              <w:t>197</w:t>
            </w:r>
          </w:p>
        </w:tc>
      </w:tr>
      <w:tr>
        <w:trPr>
          <w:cantSplit/>
          <w:trHeight w:val="20"/>
        </w:trPr>
        <w:tc>
          <w:tcPr>
            <w:tcW w:w="1071" w:type="dxa"/>
            <w:gridSpan w:val="4"/>
            <w:vAlign w:val="center"/>
          </w:tcPr>
          <w:p>
            <w:pPr>
              <w:widowControl w:val="0"/>
              <w:jc w:val="center"/>
            </w:pPr>
            <w:r>
              <w:t>70</w:t>
            </w:r>
          </w:p>
        </w:tc>
        <w:tc>
          <w:tcPr>
            <w:tcW w:w="1087" w:type="dxa"/>
            <w:vAlign w:val="center"/>
          </w:tcPr>
          <w:p>
            <w:pPr>
              <w:widowControl w:val="0"/>
              <w:jc w:val="center"/>
            </w:pPr>
            <w:r>
              <w:t>232</w:t>
            </w:r>
          </w:p>
        </w:tc>
        <w:tc>
          <w:tcPr>
            <w:tcW w:w="1184" w:type="dxa"/>
            <w:vAlign w:val="center"/>
          </w:tcPr>
          <w:p>
            <w:pPr>
              <w:widowControl w:val="0"/>
              <w:jc w:val="center"/>
            </w:pPr>
            <w:r>
              <w:t>196</w:t>
            </w:r>
          </w:p>
        </w:tc>
        <w:tc>
          <w:tcPr>
            <w:tcW w:w="987" w:type="dxa"/>
            <w:vAlign w:val="center"/>
          </w:tcPr>
          <w:p>
            <w:pPr>
              <w:widowControl w:val="0"/>
              <w:jc w:val="center"/>
            </w:pPr>
            <w:r>
              <w:t>251</w:t>
            </w:r>
          </w:p>
        </w:tc>
        <w:tc>
          <w:tcPr>
            <w:tcW w:w="1184" w:type="dxa"/>
            <w:vAlign w:val="center"/>
          </w:tcPr>
          <w:p>
            <w:pPr>
              <w:widowControl w:val="0"/>
              <w:jc w:val="center"/>
            </w:pPr>
            <w:r>
              <w:t>216</w:t>
            </w:r>
          </w:p>
        </w:tc>
        <w:tc>
          <w:tcPr>
            <w:tcW w:w="1188" w:type="dxa"/>
            <w:gridSpan w:val="2"/>
            <w:vAlign w:val="center"/>
          </w:tcPr>
          <w:p>
            <w:pPr>
              <w:widowControl w:val="0"/>
              <w:jc w:val="center"/>
            </w:pPr>
            <w:r>
              <w:t>225</w:t>
            </w:r>
          </w:p>
        </w:tc>
        <w:tc>
          <w:tcPr>
            <w:tcW w:w="1187" w:type="dxa"/>
            <w:vAlign w:val="center"/>
          </w:tcPr>
          <w:p>
            <w:pPr>
              <w:widowControl w:val="0"/>
              <w:jc w:val="center"/>
            </w:pPr>
            <w:r>
              <w:t>281</w:t>
            </w:r>
          </w:p>
        </w:tc>
        <w:tc>
          <w:tcPr>
            <w:tcW w:w="1182" w:type="dxa"/>
            <w:gridSpan w:val="5"/>
            <w:vAlign w:val="center"/>
          </w:tcPr>
          <w:p>
            <w:pPr>
              <w:widowControl w:val="0"/>
              <w:jc w:val="center"/>
            </w:pPr>
            <w:r>
              <w:t>254</w:t>
            </w:r>
          </w:p>
        </w:tc>
      </w:tr>
      <w:tr>
        <w:trPr>
          <w:cantSplit/>
          <w:trHeight w:val="20"/>
        </w:trPr>
        <w:tc>
          <w:tcPr>
            <w:tcW w:w="1071" w:type="dxa"/>
            <w:gridSpan w:val="4"/>
            <w:vAlign w:val="center"/>
          </w:tcPr>
          <w:p>
            <w:pPr>
              <w:widowControl w:val="0"/>
              <w:jc w:val="center"/>
            </w:pPr>
            <w:r>
              <w:t>95</w:t>
            </w:r>
          </w:p>
        </w:tc>
        <w:tc>
          <w:tcPr>
            <w:tcW w:w="1087" w:type="dxa"/>
            <w:vAlign w:val="center"/>
          </w:tcPr>
          <w:p>
            <w:pPr>
              <w:widowControl w:val="0"/>
              <w:jc w:val="center"/>
            </w:pPr>
            <w:r>
              <w:t>282</w:t>
            </w:r>
          </w:p>
        </w:tc>
        <w:tc>
          <w:tcPr>
            <w:tcW w:w="1184" w:type="dxa"/>
            <w:vAlign w:val="center"/>
          </w:tcPr>
          <w:p>
            <w:pPr>
              <w:widowControl w:val="0"/>
              <w:jc w:val="center"/>
            </w:pPr>
            <w:r>
              <w:t>238</w:t>
            </w:r>
          </w:p>
        </w:tc>
        <w:tc>
          <w:tcPr>
            <w:tcW w:w="987" w:type="dxa"/>
            <w:vAlign w:val="center"/>
          </w:tcPr>
          <w:p>
            <w:pPr>
              <w:widowControl w:val="0"/>
              <w:jc w:val="center"/>
            </w:pPr>
            <w:r>
              <w:t>304</w:t>
            </w:r>
          </w:p>
        </w:tc>
        <w:tc>
          <w:tcPr>
            <w:tcW w:w="1184" w:type="dxa"/>
            <w:vAlign w:val="center"/>
          </w:tcPr>
          <w:p>
            <w:pPr>
              <w:widowControl w:val="0"/>
              <w:jc w:val="center"/>
            </w:pPr>
            <w:r>
              <w:t>264</w:t>
            </w:r>
          </w:p>
        </w:tc>
        <w:tc>
          <w:tcPr>
            <w:tcW w:w="1188" w:type="dxa"/>
            <w:gridSpan w:val="2"/>
            <w:vAlign w:val="center"/>
          </w:tcPr>
          <w:p>
            <w:pPr>
              <w:widowControl w:val="0"/>
              <w:jc w:val="center"/>
            </w:pPr>
            <w:r>
              <w:t>275</w:t>
            </w:r>
          </w:p>
        </w:tc>
        <w:tc>
          <w:tcPr>
            <w:tcW w:w="1187" w:type="dxa"/>
            <w:vAlign w:val="center"/>
          </w:tcPr>
          <w:p>
            <w:pPr>
              <w:widowControl w:val="0"/>
              <w:jc w:val="center"/>
            </w:pPr>
            <w:r>
              <w:t>341</w:t>
            </w:r>
          </w:p>
        </w:tc>
        <w:tc>
          <w:tcPr>
            <w:tcW w:w="1182" w:type="dxa"/>
            <w:gridSpan w:val="5"/>
            <w:vAlign w:val="center"/>
          </w:tcPr>
          <w:p>
            <w:pPr>
              <w:widowControl w:val="0"/>
              <w:jc w:val="center"/>
            </w:pPr>
            <w:r>
              <w:t>311</w:t>
            </w:r>
          </w:p>
        </w:tc>
      </w:tr>
      <w:tr>
        <w:trPr>
          <w:cantSplit/>
          <w:trHeight w:val="20"/>
        </w:trPr>
        <w:tc>
          <w:tcPr>
            <w:tcW w:w="1071" w:type="dxa"/>
            <w:gridSpan w:val="4"/>
            <w:vAlign w:val="center"/>
          </w:tcPr>
          <w:p>
            <w:pPr>
              <w:widowControl w:val="0"/>
              <w:jc w:val="center"/>
            </w:pPr>
            <w:r>
              <w:t>120</w:t>
            </w:r>
          </w:p>
        </w:tc>
        <w:tc>
          <w:tcPr>
            <w:tcW w:w="1087" w:type="dxa"/>
            <w:vAlign w:val="center"/>
          </w:tcPr>
          <w:p>
            <w:pPr>
              <w:widowControl w:val="0"/>
              <w:jc w:val="center"/>
            </w:pPr>
            <w:r>
              <w:t>326</w:t>
            </w:r>
          </w:p>
        </w:tc>
        <w:tc>
          <w:tcPr>
            <w:tcW w:w="1184" w:type="dxa"/>
            <w:vAlign w:val="center"/>
          </w:tcPr>
          <w:p>
            <w:pPr>
              <w:widowControl w:val="0"/>
              <w:jc w:val="center"/>
            </w:pPr>
            <w:r>
              <w:t>276</w:t>
            </w:r>
          </w:p>
        </w:tc>
        <w:tc>
          <w:tcPr>
            <w:tcW w:w="987" w:type="dxa"/>
            <w:vAlign w:val="center"/>
          </w:tcPr>
          <w:p>
            <w:pPr>
              <w:widowControl w:val="0"/>
              <w:jc w:val="center"/>
            </w:pPr>
            <w:r>
              <w:t>352</w:t>
            </w:r>
          </w:p>
        </w:tc>
        <w:tc>
          <w:tcPr>
            <w:tcW w:w="1184" w:type="dxa"/>
            <w:vAlign w:val="center"/>
          </w:tcPr>
          <w:p>
            <w:pPr>
              <w:widowControl w:val="0"/>
              <w:jc w:val="center"/>
            </w:pPr>
            <w:r>
              <w:t>308</w:t>
            </w:r>
          </w:p>
        </w:tc>
        <w:tc>
          <w:tcPr>
            <w:tcW w:w="1188" w:type="dxa"/>
            <w:gridSpan w:val="2"/>
            <w:vAlign w:val="center"/>
          </w:tcPr>
          <w:p>
            <w:pPr>
              <w:widowControl w:val="0"/>
              <w:jc w:val="center"/>
            </w:pPr>
            <w:r>
              <w:t>321</w:t>
            </w:r>
          </w:p>
        </w:tc>
        <w:tc>
          <w:tcPr>
            <w:tcW w:w="1187" w:type="dxa"/>
            <w:vAlign w:val="center"/>
          </w:tcPr>
          <w:p>
            <w:pPr>
              <w:widowControl w:val="0"/>
              <w:jc w:val="center"/>
            </w:pPr>
            <w:r>
              <w:t>396</w:t>
            </w:r>
          </w:p>
        </w:tc>
        <w:tc>
          <w:tcPr>
            <w:tcW w:w="1182" w:type="dxa"/>
            <w:gridSpan w:val="5"/>
            <w:vAlign w:val="center"/>
          </w:tcPr>
          <w:p>
            <w:pPr>
              <w:widowControl w:val="0"/>
              <w:jc w:val="center"/>
            </w:pPr>
            <w:r>
              <w:t>362</w:t>
            </w:r>
          </w:p>
        </w:tc>
      </w:tr>
      <w:tr>
        <w:trPr>
          <w:cantSplit/>
          <w:trHeight w:val="20"/>
        </w:trPr>
        <w:tc>
          <w:tcPr>
            <w:tcW w:w="1071" w:type="dxa"/>
            <w:gridSpan w:val="4"/>
            <w:vAlign w:val="center"/>
          </w:tcPr>
          <w:p>
            <w:pPr>
              <w:widowControl w:val="0"/>
              <w:jc w:val="center"/>
            </w:pPr>
            <w:r>
              <w:t>150</w:t>
            </w:r>
          </w:p>
        </w:tc>
        <w:tc>
          <w:tcPr>
            <w:tcW w:w="1087" w:type="dxa"/>
            <w:vAlign w:val="center"/>
          </w:tcPr>
          <w:p>
            <w:pPr>
              <w:widowControl w:val="0"/>
              <w:jc w:val="center"/>
            </w:pPr>
            <w:r>
              <w:t>379</w:t>
            </w:r>
          </w:p>
        </w:tc>
        <w:tc>
          <w:tcPr>
            <w:tcW w:w="1184" w:type="dxa"/>
            <w:vAlign w:val="center"/>
          </w:tcPr>
          <w:p>
            <w:pPr>
              <w:widowControl w:val="0"/>
              <w:jc w:val="center"/>
            </w:pPr>
            <w:r>
              <w:t>319</w:t>
            </w:r>
          </w:p>
        </w:tc>
        <w:tc>
          <w:tcPr>
            <w:tcW w:w="987" w:type="dxa"/>
            <w:vAlign w:val="center"/>
          </w:tcPr>
          <w:p>
            <w:pPr>
              <w:widowControl w:val="0"/>
              <w:jc w:val="center"/>
            </w:pPr>
            <w:r>
              <w:t>406</w:t>
            </w:r>
          </w:p>
        </w:tc>
        <w:tc>
          <w:tcPr>
            <w:tcW w:w="1184" w:type="dxa"/>
            <w:vAlign w:val="center"/>
          </w:tcPr>
          <w:p>
            <w:pPr>
              <w:widowControl w:val="0"/>
              <w:jc w:val="center"/>
            </w:pPr>
            <w:r>
              <w:t>356</w:t>
            </w:r>
          </w:p>
        </w:tc>
        <w:tc>
          <w:tcPr>
            <w:tcW w:w="1188" w:type="dxa"/>
            <w:gridSpan w:val="2"/>
            <w:vAlign w:val="center"/>
          </w:tcPr>
          <w:p>
            <w:pPr>
              <w:widowControl w:val="0"/>
              <w:jc w:val="center"/>
            </w:pPr>
            <w:r>
              <w:t>372</w:t>
            </w:r>
          </w:p>
        </w:tc>
        <w:tc>
          <w:tcPr>
            <w:tcW w:w="1187" w:type="dxa"/>
            <w:vAlign w:val="center"/>
          </w:tcPr>
          <w:p>
            <w:pPr>
              <w:widowControl w:val="0"/>
              <w:jc w:val="center"/>
            </w:pPr>
            <w:r>
              <w:t>456</w:t>
            </w:r>
          </w:p>
        </w:tc>
        <w:tc>
          <w:tcPr>
            <w:tcW w:w="1182" w:type="dxa"/>
            <w:gridSpan w:val="5"/>
            <w:vAlign w:val="center"/>
          </w:tcPr>
          <w:p>
            <w:pPr>
              <w:widowControl w:val="0"/>
              <w:jc w:val="center"/>
            </w:pPr>
            <w:r>
              <w:t>419</w:t>
            </w:r>
          </w:p>
        </w:tc>
      </w:tr>
      <w:tr>
        <w:trPr>
          <w:cantSplit/>
          <w:trHeight w:val="20"/>
        </w:trPr>
        <w:tc>
          <w:tcPr>
            <w:tcW w:w="1071" w:type="dxa"/>
            <w:gridSpan w:val="4"/>
            <w:vAlign w:val="center"/>
          </w:tcPr>
          <w:p>
            <w:pPr>
              <w:widowControl w:val="0"/>
              <w:jc w:val="center"/>
            </w:pPr>
            <w:r>
              <w:t>185</w:t>
            </w:r>
          </w:p>
        </w:tc>
        <w:tc>
          <w:tcPr>
            <w:tcW w:w="1087" w:type="dxa"/>
            <w:vAlign w:val="center"/>
          </w:tcPr>
          <w:p>
            <w:pPr>
              <w:widowControl w:val="0"/>
              <w:jc w:val="center"/>
            </w:pPr>
            <w:r>
              <w:t>434</w:t>
            </w:r>
          </w:p>
        </w:tc>
        <w:tc>
          <w:tcPr>
            <w:tcW w:w="1184" w:type="dxa"/>
            <w:vAlign w:val="center"/>
          </w:tcPr>
          <w:p>
            <w:pPr>
              <w:widowControl w:val="0"/>
              <w:jc w:val="center"/>
            </w:pPr>
            <w:r>
              <w:t>364</w:t>
            </w:r>
          </w:p>
        </w:tc>
        <w:tc>
          <w:tcPr>
            <w:tcW w:w="987" w:type="dxa"/>
            <w:vAlign w:val="center"/>
          </w:tcPr>
          <w:p>
            <w:pPr>
              <w:widowControl w:val="0"/>
              <w:jc w:val="center"/>
            </w:pPr>
            <w:r>
              <w:t>463</w:t>
            </w:r>
          </w:p>
        </w:tc>
        <w:tc>
          <w:tcPr>
            <w:tcW w:w="1184" w:type="dxa"/>
            <w:vAlign w:val="center"/>
          </w:tcPr>
          <w:p>
            <w:pPr>
              <w:widowControl w:val="0"/>
              <w:jc w:val="center"/>
            </w:pPr>
            <w:r>
              <w:t>409</w:t>
            </w:r>
          </w:p>
        </w:tc>
        <w:tc>
          <w:tcPr>
            <w:tcW w:w="1188" w:type="dxa"/>
            <w:gridSpan w:val="2"/>
            <w:vAlign w:val="center"/>
          </w:tcPr>
          <w:p>
            <w:pPr>
              <w:widowControl w:val="0"/>
              <w:jc w:val="center"/>
            </w:pPr>
            <w:r>
              <w:t>427</w:t>
            </w:r>
          </w:p>
        </w:tc>
        <w:tc>
          <w:tcPr>
            <w:tcW w:w="1187" w:type="dxa"/>
            <w:vAlign w:val="center"/>
          </w:tcPr>
          <w:p>
            <w:pPr>
              <w:widowControl w:val="0"/>
              <w:jc w:val="center"/>
            </w:pPr>
            <w:r>
              <w:t>521</w:t>
            </w:r>
          </w:p>
        </w:tc>
        <w:tc>
          <w:tcPr>
            <w:tcW w:w="1182" w:type="dxa"/>
            <w:gridSpan w:val="5"/>
            <w:vAlign w:val="center"/>
          </w:tcPr>
          <w:p>
            <w:pPr>
              <w:widowControl w:val="0"/>
              <w:jc w:val="center"/>
            </w:pPr>
            <w:r>
              <w:t>480</w:t>
            </w:r>
          </w:p>
        </w:tc>
      </w:tr>
      <w:tr>
        <w:trPr>
          <w:cantSplit/>
          <w:trHeight w:val="20"/>
        </w:trPr>
        <w:tc>
          <w:tcPr>
            <w:tcW w:w="1071" w:type="dxa"/>
            <w:gridSpan w:val="4"/>
            <w:vAlign w:val="center"/>
          </w:tcPr>
          <w:p>
            <w:pPr>
              <w:widowControl w:val="0"/>
              <w:jc w:val="center"/>
            </w:pPr>
            <w:r>
              <w:t>240</w:t>
            </w:r>
          </w:p>
        </w:tc>
        <w:tc>
          <w:tcPr>
            <w:tcW w:w="1087" w:type="dxa"/>
            <w:vAlign w:val="center"/>
          </w:tcPr>
          <w:p>
            <w:pPr>
              <w:widowControl w:val="0"/>
              <w:jc w:val="center"/>
            </w:pPr>
            <w:r>
              <w:t>514</w:t>
            </w:r>
          </w:p>
        </w:tc>
        <w:tc>
          <w:tcPr>
            <w:tcW w:w="1184" w:type="dxa"/>
            <w:vAlign w:val="center"/>
          </w:tcPr>
          <w:p>
            <w:pPr>
              <w:widowControl w:val="0"/>
              <w:jc w:val="center"/>
            </w:pPr>
            <w:r>
              <w:t>430</w:t>
            </w:r>
          </w:p>
        </w:tc>
        <w:tc>
          <w:tcPr>
            <w:tcW w:w="987" w:type="dxa"/>
            <w:vAlign w:val="center"/>
          </w:tcPr>
          <w:p>
            <w:pPr>
              <w:widowControl w:val="0"/>
              <w:jc w:val="center"/>
            </w:pPr>
            <w:r>
              <w:t>546</w:t>
            </w:r>
          </w:p>
        </w:tc>
        <w:tc>
          <w:tcPr>
            <w:tcW w:w="1184" w:type="dxa"/>
            <w:vAlign w:val="center"/>
          </w:tcPr>
          <w:p>
            <w:pPr>
              <w:widowControl w:val="0"/>
              <w:jc w:val="center"/>
            </w:pPr>
            <w:r>
              <w:t>485</w:t>
            </w:r>
          </w:p>
        </w:tc>
        <w:tc>
          <w:tcPr>
            <w:tcW w:w="1188" w:type="dxa"/>
            <w:gridSpan w:val="2"/>
            <w:vAlign w:val="center"/>
          </w:tcPr>
          <w:p>
            <w:pPr>
              <w:widowControl w:val="0"/>
              <w:jc w:val="center"/>
            </w:pPr>
            <w:r>
              <w:t>507</w:t>
            </w:r>
          </w:p>
        </w:tc>
        <w:tc>
          <w:tcPr>
            <w:tcW w:w="1187" w:type="dxa"/>
            <w:vAlign w:val="center"/>
          </w:tcPr>
          <w:p>
            <w:pPr>
              <w:widowControl w:val="0"/>
              <w:jc w:val="center"/>
            </w:pPr>
            <w:r>
              <w:t>615</w:t>
            </w:r>
          </w:p>
        </w:tc>
        <w:tc>
          <w:tcPr>
            <w:tcW w:w="1182" w:type="dxa"/>
            <w:gridSpan w:val="5"/>
            <w:vAlign w:val="center"/>
          </w:tcPr>
          <w:p>
            <w:pPr>
              <w:widowControl w:val="0"/>
              <w:jc w:val="center"/>
            </w:pPr>
            <w:r>
              <w:t>569</w:t>
            </w:r>
          </w:p>
        </w:tc>
      </w:tr>
      <w:tr>
        <w:trPr>
          <w:cantSplit/>
          <w:trHeight w:val="20"/>
        </w:trPr>
        <w:tc>
          <w:tcPr>
            <w:tcW w:w="1071" w:type="dxa"/>
            <w:gridSpan w:val="4"/>
            <w:vAlign w:val="center"/>
          </w:tcPr>
          <w:p>
            <w:pPr>
              <w:widowControl w:val="0"/>
              <w:jc w:val="center"/>
            </w:pPr>
            <w:r>
              <w:t>300</w:t>
            </w:r>
          </w:p>
        </w:tc>
        <w:tc>
          <w:tcPr>
            <w:tcW w:w="1087" w:type="dxa"/>
            <w:vAlign w:val="center"/>
          </w:tcPr>
          <w:p>
            <w:pPr>
              <w:widowControl w:val="0"/>
              <w:jc w:val="center"/>
            </w:pPr>
            <w:r>
              <w:t>593</w:t>
            </w:r>
          </w:p>
        </w:tc>
        <w:tc>
          <w:tcPr>
            <w:tcW w:w="1184" w:type="dxa"/>
            <w:vAlign w:val="center"/>
          </w:tcPr>
          <w:p>
            <w:pPr>
              <w:widowControl w:val="0"/>
              <w:jc w:val="center"/>
            </w:pPr>
            <w:r>
              <w:t>497</w:t>
            </w:r>
          </w:p>
        </w:tc>
        <w:tc>
          <w:tcPr>
            <w:tcW w:w="987" w:type="dxa"/>
            <w:vAlign w:val="center"/>
          </w:tcPr>
          <w:p>
            <w:pPr>
              <w:widowControl w:val="0"/>
              <w:jc w:val="center"/>
            </w:pPr>
            <w:r>
              <w:t>629</w:t>
            </w:r>
          </w:p>
        </w:tc>
        <w:tc>
          <w:tcPr>
            <w:tcW w:w="1184" w:type="dxa"/>
            <w:vAlign w:val="center"/>
          </w:tcPr>
          <w:p>
            <w:pPr>
              <w:widowControl w:val="0"/>
              <w:jc w:val="center"/>
            </w:pPr>
            <w:r>
              <w:t>561</w:t>
            </w:r>
          </w:p>
        </w:tc>
        <w:tc>
          <w:tcPr>
            <w:tcW w:w="1188" w:type="dxa"/>
            <w:gridSpan w:val="2"/>
            <w:vAlign w:val="center"/>
          </w:tcPr>
          <w:p>
            <w:pPr>
              <w:widowControl w:val="0"/>
              <w:jc w:val="center"/>
            </w:pPr>
            <w:r>
              <w:t>587</w:t>
            </w:r>
          </w:p>
        </w:tc>
        <w:tc>
          <w:tcPr>
            <w:tcW w:w="1187" w:type="dxa"/>
            <w:vAlign w:val="center"/>
          </w:tcPr>
          <w:p>
            <w:pPr>
              <w:widowControl w:val="0"/>
              <w:jc w:val="center"/>
            </w:pPr>
            <w:r>
              <w:t>709</w:t>
            </w:r>
          </w:p>
        </w:tc>
        <w:tc>
          <w:tcPr>
            <w:tcW w:w="1182" w:type="dxa"/>
            <w:gridSpan w:val="5"/>
            <w:vAlign w:val="center"/>
          </w:tcPr>
          <w:p>
            <w:pPr>
              <w:widowControl w:val="0"/>
              <w:jc w:val="center"/>
            </w:pPr>
            <w:r>
              <w:t>659</w:t>
            </w:r>
          </w:p>
        </w:tc>
      </w:tr>
      <w:tr>
        <w:trPr>
          <w:cantSplit/>
          <w:trHeight w:val="20"/>
        </w:trPr>
        <w:tc>
          <w:tcPr>
            <w:tcW w:w="1071" w:type="dxa"/>
            <w:gridSpan w:val="4"/>
            <w:vAlign w:val="center"/>
          </w:tcPr>
          <w:p>
            <w:pPr>
              <w:widowControl w:val="0"/>
              <w:jc w:val="center"/>
            </w:pPr>
            <w:r>
              <w:t>400</w:t>
            </w:r>
          </w:p>
        </w:tc>
        <w:tc>
          <w:tcPr>
            <w:tcW w:w="1087" w:type="dxa"/>
            <w:vAlign w:val="center"/>
          </w:tcPr>
          <w:p>
            <w:pPr>
              <w:widowControl w:val="0"/>
              <w:jc w:val="center"/>
            </w:pPr>
            <w:r>
              <w:t>–</w:t>
            </w:r>
          </w:p>
        </w:tc>
        <w:tc>
          <w:tcPr>
            <w:tcW w:w="1184" w:type="dxa"/>
            <w:vAlign w:val="center"/>
          </w:tcPr>
          <w:p>
            <w:pPr>
              <w:widowControl w:val="0"/>
              <w:jc w:val="center"/>
            </w:pPr>
            <w:r>
              <w:t>–</w:t>
            </w:r>
          </w:p>
        </w:tc>
        <w:tc>
          <w:tcPr>
            <w:tcW w:w="987" w:type="dxa"/>
            <w:vAlign w:val="center"/>
          </w:tcPr>
          <w:p>
            <w:pPr>
              <w:widowControl w:val="0"/>
              <w:jc w:val="center"/>
            </w:pPr>
            <w:r>
              <w:t>754</w:t>
            </w:r>
          </w:p>
        </w:tc>
        <w:tc>
          <w:tcPr>
            <w:tcW w:w="1184" w:type="dxa"/>
            <w:vAlign w:val="center"/>
          </w:tcPr>
          <w:p>
            <w:pPr>
              <w:widowControl w:val="0"/>
              <w:jc w:val="center"/>
            </w:pPr>
            <w:r>
              <w:t>656</w:t>
            </w:r>
          </w:p>
        </w:tc>
        <w:tc>
          <w:tcPr>
            <w:tcW w:w="1188" w:type="dxa"/>
            <w:gridSpan w:val="2"/>
            <w:vAlign w:val="center"/>
          </w:tcPr>
          <w:p>
            <w:pPr>
              <w:widowControl w:val="0"/>
              <w:jc w:val="center"/>
            </w:pPr>
            <w:r>
              <w:t>689</w:t>
            </w:r>
          </w:p>
        </w:tc>
        <w:tc>
          <w:tcPr>
            <w:tcW w:w="1187" w:type="dxa"/>
            <w:vAlign w:val="center"/>
          </w:tcPr>
          <w:p>
            <w:pPr>
              <w:widowControl w:val="0"/>
              <w:jc w:val="center"/>
            </w:pPr>
            <w:r>
              <w:t>852</w:t>
            </w:r>
          </w:p>
        </w:tc>
        <w:tc>
          <w:tcPr>
            <w:tcW w:w="1182" w:type="dxa"/>
            <w:gridSpan w:val="5"/>
            <w:vAlign w:val="center"/>
          </w:tcPr>
          <w:p>
            <w:pPr>
              <w:widowControl w:val="0"/>
              <w:jc w:val="center"/>
            </w:pPr>
            <w:r>
              <w:t>795</w:t>
            </w:r>
          </w:p>
        </w:tc>
      </w:tr>
      <w:tr>
        <w:trPr>
          <w:cantSplit/>
          <w:trHeight w:val="20"/>
        </w:trPr>
        <w:tc>
          <w:tcPr>
            <w:tcW w:w="1071" w:type="dxa"/>
            <w:gridSpan w:val="4"/>
            <w:vAlign w:val="center"/>
          </w:tcPr>
          <w:p>
            <w:pPr>
              <w:widowControl w:val="0"/>
              <w:jc w:val="center"/>
            </w:pPr>
            <w:r>
              <w:t>500</w:t>
            </w:r>
          </w:p>
        </w:tc>
        <w:tc>
          <w:tcPr>
            <w:tcW w:w="1087" w:type="dxa"/>
            <w:vAlign w:val="center"/>
          </w:tcPr>
          <w:p>
            <w:pPr>
              <w:widowControl w:val="0"/>
              <w:jc w:val="center"/>
            </w:pPr>
            <w:r>
              <w:t>–</w:t>
            </w:r>
          </w:p>
        </w:tc>
        <w:tc>
          <w:tcPr>
            <w:tcW w:w="1184" w:type="dxa"/>
            <w:vAlign w:val="center"/>
          </w:tcPr>
          <w:p>
            <w:pPr>
              <w:widowControl w:val="0"/>
              <w:jc w:val="center"/>
            </w:pPr>
            <w:r>
              <w:t>–</w:t>
            </w:r>
          </w:p>
        </w:tc>
        <w:tc>
          <w:tcPr>
            <w:tcW w:w="987" w:type="dxa"/>
            <w:vAlign w:val="center"/>
          </w:tcPr>
          <w:p>
            <w:pPr>
              <w:widowControl w:val="0"/>
              <w:jc w:val="center"/>
            </w:pPr>
            <w:r>
              <w:t>868</w:t>
            </w:r>
          </w:p>
        </w:tc>
        <w:tc>
          <w:tcPr>
            <w:tcW w:w="1184" w:type="dxa"/>
            <w:vAlign w:val="center"/>
          </w:tcPr>
          <w:p>
            <w:pPr>
              <w:widowControl w:val="0"/>
              <w:jc w:val="center"/>
            </w:pPr>
            <w:r>
              <w:t>749</w:t>
            </w:r>
          </w:p>
        </w:tc>
        <w:tc>
          <w:tcPr>
            <w:tcW w:w="1188" w:type="dxa"/>
            <w:gridSpan w:val="2"/>
            <w:vAlign w:val="center"/>
          </w:tcPr>
          <w:p>
            <w:pPr>
              <w:widowControl w:val="0"/>
              <w:jc w:val="center"/>
            </w:pPr>
            <w:r>
              <w:t>789</w:t>
            </w:r>
          </w:p>
        </w:tc>
        <w:tc>
          <w:tcPr>
            <w:tcW w:w="1187" w:type="dxa"/>
            <w:vAlign w:val="center"/>
          </w:tcPr>
          <w:p>
            <w:pPr>
              <w:widowControl w:val="0"/>
              <w:jc w:val="center"/>
            </w:pPr>
            <w:r>
              <w:t>982</w:t>
            </w:r>
          </w:p>
        </w:tc>
        <w:tc>
          <w:tcPr>
            <w:tcW w:w="1182" w:type="dxa"/>
            <w:gridSpan w:val="5"/>
            <w:vAlign w:val="center"/>
          </w:tcPr>
          <w:p>
            <w:pPr>
              <w:widowControl w:val="0"/>
              <w:jc w:val="center"/>
            </w:pPr>
            <w:r>
              <w:t>620</w:t>
            </w:r>
          </w:p>
        </w:tc>
      </w:tr>
      <w:tr>
        <w:trPr>
          <w:cantSplit/>
          <w:trHeight w:val="20"/>
        </w:trPr>
        <w:tc>
          <w:tcPr>
            <w:tcW w:w="1071" w:type="dxa"/>
            <w:gridSpan w:val="4"/>
            <w:tcBorders>
              <w:bottom w:val="single" w:sz="4" w:space="0" w:color="auto"/>
            </w:tcBorders>
            <w:vAlign w:val="center"/>
          </w:tcPr>
          <w:p>
            <w:pPr>
              <w:widowControl w:val="0"/>
              <w:jc w:val="center"/>
            </w:pPr>
            <w:r>
              <w:t>630</w:t>
            </w:r>
          </w:p>
        </w:tc>
        <w:tc>
          <w:tcPr>
            <w:tcW w:w="1087" w:type="dxa"/>
            <w:tcBorders>
              <w:bottom w:val="single" w:sz="4" w:space="0" w:color="auto"/>
            </w:tcBorders>
            <w:vAlign w:val="center"/>
          </w:tcPr>
          <w:p>
            <w:pPr>
              <w:widowControl w:val="0"/>
              <w:jc w:val="center"/>
            </w:pPr>
            <w:r>
              <w:t>–</w:t>
            </w:r>
          </w:p>
        </w:tc>
        <w:tc>
          <w:tcPr>
            <w:tcW w:w="1184" w:type="dxa"/>
            <w:tcBorders>
              <w:bottom w:val="single" w:sz="4" w:space="0" w:color="auto"/>
            </w:tcBorders>
            <w:vAlign w:val="center"/>
          </w:tcPr>
          <w:p>
            <w:pPr>
              <w:widowControl w:val="0"/>
              <w:jc w:val="center"/>
            </w:pPr>
            <w:r>
              <w:t>–</w:t>
            </w:r>
          </w:p>
        </w:tc>
        <w:tc>
          <w:tcPr>
            <w:tcW w:w="987" w:type="dxa"/>
            <w:tcBorders>
              <w:bottom w:val="single" w:sz="4" w:space="0" w:color="auto"/>
            </w:tcBorders>
            <w:vAlign w:val="center"/>
          </w:tcPr>
          <w:p>
            <w:pPr>
              <w:widowControl w:val="0"/>
              <w:jc w:val="center"/>
            </w:pPr>
            <w:r>
              <w:t>1005</w:t>
            </w:r>
          </w:p>
        </w:tc>
        <w:tc>
          <w:tcPr>
            <w:tcW w:w="1184" w:type="dxa"/>
            <w:tcBorders>
              <w:bottom w:val="single" w:sz="4" w:space="0" w:color="auto"/>
            </w:tcBorders>
            <w:vAlign w:val="center"/>
          </w:tcPr>
          <w:p>
            <w:pPr>
              <w:widowControl w:val="0"/>
              <w:jc w:val="center"/>
            </w:pPr>
            <w:r>
              <w:t>855</w:t>
            </w:r>
          </w:p>
        </w:tc>
        <w:tc>
          <w:tcPr>
            <w:tcW w:w="1188" w:type="dxa"/>
            <w:gridSpan w:val="2"/>
            <w:tcBorders>
              <w:bottom w:val="single" w:sz="4" w:space="0" w:color="auto"/>
            </w:tcBorders>
            <w:vAlign w:val="center"/>
          </w:tcPr>
          <w:p>
            <w:pPr>
              <w:widowControl w:val="0"/>
              <w:jc w:val="center"/>
            </w:pPr>
            <w:r>
              <w:t>905</w:t>
            </w:r>
          </w:p>
        </w:tc>
        <w:tc>
          <w:tcPr>
            <w:tcW w:w="1187" w:type="dxa"/>
            <w:tcBorders>
              <w:bottom w:val="single" w:sz="4" w:space="0" w:color="auto"/>
            </w:tcBorders>
            <w:vAlign w:val="center"/>
          </w:tcPr>
          <w:p>
            <w:pPr>
              <w:widowControl w:val="0"/>
              <w:jc w:val="center"/>
            </w:pPr>
            <w:r>
              <w:t>1138</w:t>
            </w:r>
          </w:p>
        </w:tc>
        <w:tc>
          <w:tcPr>
            <w:tcW w:w="1182" w:type="dxa"/>
            <w:gridSpan w:val="5"/>
            <w:vAlign w:val="center"/>
          </w:tcPr>
          <w:p>
            <w:pPr>
              <w:widowControl w:val="0"/>
              <w:jc w:val="center"/>
            </w:pPr>
            <w:r>
              <w:t>1070</w:t>
            </w:r>
          </w:p>
        </w:tc>
      </w:tr>
      <w:tr>
        <w:trPr>
          <w:cantSplit/>
          <w:trHeight w:val="20"/>
        </w:trPr>
        <w:tc>
          <w:tcPr>
            <w:tcW w:w="204" w:type="dxa"/>
            <w:tcBorders>
              <w:right w:val="nil"/>
            </w:tcBorders>
            <w:vAlign w:val="center"/>
          </w:tcPr>
          <w:p>
            <w:pPr>
              <w:widowControl w:val="0"/>
              <w:jc w:val="center"/>
            </w:pPr>
          </w:p>
        </w:tc>
        <w:tc>
          <w:tcPr>
            <w:tcW w:w="288" w:type="dxa"/>
            <w:tcBorders>
              <w:left w:val="nil"/>
              <w:right w:val="nil"/>
            </w:tcBorders>
            <w:vAlign w:val="center"/>
          </w:tcPr>
          <w:p>
            <w:pPr>
              <w:widowControl w:val="0"/>
              <w:jc w:val="center"/>
            </w:pPr>
          </w:p>
        </w:tc>
        <w:tc>
          <w:tcPr>
            <w:tcW w:w="300" w:type="dxa"/>
            <w:tcBorders>
              <w:left w:val="nil"/>
              <w:right w:val="nil"/>
            </w:tcBorders>
            <w:vAlign w:val="center"/>
          </w:tcPr>
          <w:p>
            <w:pPr>
              <w:widowControl w:val="0"/>
              <w:jc w:val="center"/>
            </w:pPr>
          </w:p>
        </w:tc>
        <w:tc>
          <w:tcPr>
            <w:tcW w:w="7462" w:type="dxa"/>
            <w:gridSpan w:val="9"/>
            <w:tcBorders>
              <w:left w:val="nil"/>
              <w:right w:val="nil"/>
            </w:tcBorders>
            <w:vAlign w:val="center"/>
          </w:tcPr>
          <w:p>
            <w:pPr>
              <w:widowControl w:val="0"/>
              <w:jc w:val="center"/>
            </w:pPr>
            <w:r>
              <w:t>Aliumininių laidininkų leistinoji ilgalaikė srovė, A</w:t>
            </w:r>
          </w:p>
        </w:tc>
        <w:tc>
          <w:tcPr>
            <w:tcW w:w="204" w:type="dxa"/>
            <w:tcBorders>
              <w:left w:val="nil"/>
              <w:right w:val="nil"/>
            </w:tcBorders>
            <w:vAlign w:val="center"/>
          </w:tcPr>
          <w:p>
            <w:pPr>
              <w:widowControl w:val="0"/>
              <w:jc w:val="center"/>
            </w:pPr>
          </w:p>
        </w:tc>
        <w:tc>
          <w:tcPr>
            <w:tcW w:w="204" w:type="dxa"/>
            <w:tcBorders>
              <w:left w:val="nil"/>
              <w:right w:val="nil"/>
            </w:tcBorders>
            <w:vAlign w:val="center"/>
          </w:tcPr>
          <w:p>
            <w:pPr>
              <w:widowControl w:val="0"/>
              <w:jc w:val="center"/>
            </w:pPr>
          </w:p>
        </w:tc>
        <w:tc>
          <w:tcPr>
            <w:tcW w:w="204" w:type="dxa"/>
            <w:tcBorders>
              <w:left w:val="nil"/>
              <w:right w:val="nil"/>
            </w:tcBorders>
            <w:vAlign w:val="center"/>
          </w:tcPr>
          <w:p>
            <w:pPr>
              <w:widowControl w:val="0"/>
              <w:jc w:val="center"/>
            </w:pPr>
          </w:p>
        </w:tc>
        <w:tc>
          <w:tcPr>
            <w:tcW w:w="204" w:type="dxa"/>
            <w:tcBorders>
              <w:left w:val="nil"/>
            </w:tcBorders>
            <w:vAlign w:val="center"/>
          </w:tcPr>
          <w:p>
            <w:pPr>
              <w:widowControl w:val="0"/>
              <w:jc w:val="center"/>
            </w:pPr>
          </w:p>
        </w:tc>
      </w:tr>
      <w:tr>
        <w:trPr>
          <w:cantSplit/>
          <w:trHeight w:val="20"/>
        </w:trPr>
        <w:tc>
          <w:tcPr>
            <w:tcW w:w="1071" w:type="dxa"/>
            <w:gridSpan w:val="4"/>
            <w:vAlign w:val="center"/>
          </w:tcPr>
          <w:p>
            <w:pPr>
              <w:widowControl w:val="0"/>
              <w:jc w:val="center"/>
            </w:pPr>
            <w:r>
              <w:t>2,5</w:t>
            </w:r>
          </w:p>
        </w:tc>
        <w:tc>
          <w:tcPr>
            <w:tcW w:w="1087" w:type="dxa"/>
            <w:vAlign w:val="center"/>
          </w:tcPr>
          <w:p>
            <w:pPr>
              <w:widowControl w:val="0"/>
              <w:jc w:val="center"/>
            </w:pPr>
            <w:r>
              <w:t>23</w:t>
            </w:r>
          </w:p>
        </w:tc>
        <w:tc>
          <w:tcPr>
            <w:tcW w:w="1184" w:type="dxa"/>
            <w:vAlign w:val="center"/>
          </w:tcPr>
          <w:p>
            <w:pPr>
              <w:widowControl w:val="0"/>
              <w:jc w:val="center"/>
            </w:pPr>
            <w:r>
              <w:t>19,5</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4</w:t>
            </w:r>
          </w:p>
        </w:tc>
        <w:tc>
          <w:tcPr>
            <w:tcW w:w="1087" w:type="dxa"/>
            <w:vAlign w:val="center"/>
          </w:tcPr>
          <w:p>
            <w:pPr>
              <w:widowControl w:val="0"/>
              <w:jc w:val="center"/>
            </w:pPr>
            <w:r>
              <w:t>31</w:t>
            </w:r>
          </w:p>
        </w:tc>
        <w:tc>
          <w:tcPr>
            <w:tcW w:w="1184" w:type="dxa"/>
            <w:vAlign w:val="center"/>
          </w:tcPr>
          <w:p>
            <w:pPr>
              <w:widowControl w:val="0"/>
              <w:jc w:val="center"/>
            </w:pPr>
            <w:r>
              <w:t>26</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6</w:t>
            </w:r>
          </w:p>
        </w:tc>
        <w:tc>
          <w:tcPr>
            <w:tcW w:w="1087" w:type="dxa"/>
            <w:vAlign w:val="center"/>
          </w:tcPr>
          <w:p>
            <w:pPr>
              <w:widowControl w:val="0"/>
              <w:jc w:val="center"/>
            </w:pPr>
            <w:r>
              <w:t>39</w:t>
            </w:r>
          </w:p>
        </w:tc>
        <w:tc>
          <w:tcPr>
            <w:tcW w:w="1184" w:type="dxa"/>
            <w:vAlign w:val="center"/>
          </w:tcPr>
          <w:p>
            <w:pPr>
              <w:widowControl w:val="0"/>
              <w:jc w:val="center"/>
            </w:pPr>
            <w:r>
              <w:t>33</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10</w:t>
            </w:r>
          </w:p>
        </w:tc>
        <w:tc>
          <w:tcPr>
            <w:tcW w:w="1087" w:type="dxa"/>
            <w:vAlign w:val="center"/>
          </w:tcPr>
          <w:p>
            <w:pPr>
              <w:widowControl w:val="0"/>
              <w:jc w:val="center"/>
            </w:pPr>
            <w:r>
              <w:t>54</w:t>
            </w:r>
          </w:p>
        </w:tc>
        <w:tc>
          <w:tcPr>
            <w:tcW w:w="1184" w:type="dxa"/>
            <w:vAlign w:val="center"/>
          </w:tcPr>
          <w:p>
            <w:pPr>
              <w:widowControl w:val="0"/>
              <w:jc w:val="center"/>
            </w:pPr>
            <w:r>
              <w:t>46</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16</w:t>
            </w:r>
          </w:p>
        </w:tc>
        <w:tc>
          <w:tcPr>
            <w:tcW w:w="1087" w:type="dxa"/>
            <w:vAlign w:val="center"/>
          </w:tcPr>
          <w:p>
            <w:pPr>
              <w:widowControl w:val="0"/>
              <w:jc w:val="center"/>
            </w:pPr>
            <w:r>
              <w:t>73</w:t>
            </w:r>
          </w:p>
        </w:tc>
        <w:tc>
          <w:tcPr>
            <w:tcW w:w="1184" w:type="dxa"/>
            <w:vAlign w:val="center"/>
          </w:tcPr>
          <w:p>
            <w:pPr>
              <w:widowControl w:val="0"/>
              <w:jc w:val="center"/>
            </w:pPr>
            <w:r>
              <w:t>61</w:t>
            </w:r>
          </w:p>
        </w:tc>
        <w:tc>
          <w:tcPr>
            <w:tcW w:w="987" w:type="dxa"/>
            <w:vAlign w:val="center"/>
          </w:tcPr>
          <w:p>
            <w:pPr>
              <w:widowControl w:val="0"/>
              <w:jc w:val="center"/>
            </w:pPr>
            <w:r>
              <w:t>–</w:t>
            </w:r>
          </w:p>
        </w:tc>
        <w:tc>
          <w:tcPr>
            <w:tcW w:w="1184" w:type="dxa"/>
            <w:vAlign w:val="center"/>
          </w:tcPr>
          <w:p>
            <w:pPr>
              <w:widowControl w:val="0"/>
              <w:jc w:val="center"/>
            </w:pPr>
            <w:r>
              <w:t>–</w:t>
            </w:r>
          </w:p>
        </w:tc>
        <w:tc>
          <w:tcPr>
            <w:tcW w:w="1188" w:type="dxa"/>
            <w:gridSpan w:val="2"/>
            <w:vAlign w:val="center"/>
          </w:tcPr>
          <w:p>
            <w:pPr>
              <w:widowControl w:val="0"/>
              <w:jc w:val="center"/>
            </w:pPr>
            <w:r>
              <w:t>–</w:t>
            </w:r>
          </w:p>
        </w:tc>
        <w:tc>
          <w:tcPr>
            <w:tcW w:w="1187" w:type="dxa"/>
            <w:vAlign w:val="center"/>
          </w:tcPr>
          <w:p>
            <w:pPr>
              <w:widowControl w:val="0"/>
              <w:jc w:val="center"/>
            </w:pPr>
            <w:r>
              <w:t>–</w:t>
            </w:r>
          </w:p>
        </w:tc>
        <w:tc>
          <w:tcPr>
            <w:tcW w:w="1182" w:type="dxa"/>
            <w:gridSpan w:val="5"/>
            <w:vAlign w:val="center"/>
          </w:tcPr>
          <w:p>
            <w:pPr>
              <w:widowControl w:val="0"/>
              <w:jc w:val="center"/>
            </w:pPr>
            <w:r>
              <w:t>–</w:t>
            </w:r>
          </w:p>
        </w:tc>
      </w:tr>
      <w:tr>
        <w:trPr>
          <w:cantSplit/>
          <w:trHeight w:val="20"/>
        </w:trPr>
        <w:tc>
          <w:tcPr>
            <w:tcW w:w="1071" w:type="dxa"/>
            <w:gridSpan w:val="4"/>
            <w:vAlign w:val="center"/>
          </w:tcPr>
          <w:p>
            <w:pPr>
              <w:widowControl w:val="0"/>
              <w:jc w:val="center"/>
            </w:pPr>
            <w:r>
              <w:t>25</w:t>
            </w:r>
          </w:p>
        </w:tc>
        <w:tc>
          <w:tcPr>
            <w:tcW w:w="1087" w:type="dxa"/>
            <w:vAlign w:val="center"/>
          </w:tcPr>
          <w:p>
            <w:pPr>
              <w:widowControl w:val="0"/>
              <w:jc w:val="center"/>
            </w:pPr>
            <w:r>
              <w:t>89</w:t>
            </w:r>
          </w:p>
        </w:tc>
        <w:tc>
          <w:tcPr>
            <w:tcW w:w="1184" w:type="dxa"/>
            <w:vAlign w:val="center"/>
          </w:tcPr>
          <w:p>
            <w:pPr>
              <w:widowControl w:val="0"/>
              <w:jc w:val="center"/>
            </w:pPr>
            <w:r>
              <w:t>78</w:t>
            </w:r>
          </w:p>
        </w:tc>
        <w:tc>
          <w:tcPr>
            <w:tcW w:w="987" w:type="dxa"/>
            <w:vAlign w:val="center"/>
          </w:tcPr>
          <w:p>
            <w:pPr>
              <w:widowControl w:val="0"/>
              <w:jc w:val="center"/>
            </w:pPr>
            <w:r>
              <w:t>98</w:t>
            </w:r>
          </w:p>
        </w:tc>
        <w:tc>
          <w:tcPr>
            <w:tcW w:w="1184" w:type="dxa"/>
            <w:vAlign w:val="center"/>
          </w:tcPr>
          <w:p>
            <w:pPr>
              <w:widowControl w:val="0"/>
              <w:jc w:val="center"/>
            </w:pPr>
            <w:r>
              <w:t>84</w:t>
            </w:r>
          </w:p>
        </w:tc>
        <w:tc>
          <w:tcPr>
            <w:tcW w:w="1188" w:type="dxa"/>
            <w:gridSpan w:val="2"/>
            <w:vAlign w:val="center"/>
          </w:tcPr>
          <w:p>
            <w:pPr>
              <w:widowControl w:val="0"/>
              <w:jc w:val="center"/>
            </w:pPr>
            <w:r>
              <w:t>87</w:t>
            </w:r>
          </w:p>
        </w:tc>
        <w:tc>
          <w:tcPr>
            <w:tcW w:w="1187" w:type="dxa"/>
            <w:vAlign w:val="center"/>
          </w:tcPr>
          <w:p>
            <w:pPr>
              <w:widowControl w:val="0"/>
              <w:jc w:val="center"/>
            </w:pPr>
            <w:r>
              <w:t>112</w:t>
            </w:r>
          </w:p>
        </w:tc>
        <w:tc>
          <w:tcPr>
            <w:tcW w:w="1182" w:type="dxa"/>
            <w:gridSpan w:val="5"/>
            <w:vAlign w:val="center"/>
          </w:tcPr>
          <w:p>
            <w:pPr>
              <w:widowControl w:val="0"/>
              <w:jc w:val="center"/>
            </w:pPr>
            <w:r>
              <w:t>99</w:t>
            </w:r>
          </w:p>
        </w:tc>
      </w:tr>
      <w:tr>
        <w:trPr>
          <w:cantSplit/>
          <w:trHeight w:val="20"/>
        </w:trPr>
        <w:tc>
          <w:tcPr>
            <w:tcW w:w="1071" w:type="dxa"/>
            <w:gridSpan w:val="4"/>
            <w:vAlign w:val="center"/>
          </w:tcPr>
          <w:p>
            <w:pPr>
              <w:widowControl w:val="0"/>
              <w:jc w:val="center"/>
            </w:pPr>
            <w:r>
              <w:t>35</w:t>
            </w:r>
          </w:p>
        </w:tc>
        <w:tc>
          <w:tcPr>
            <w:tcW w:w="1087" w:type="dxa"/>
            <w:vAlign w:val="center"/>
          </w:tcPr>
          <w:p>
            <w:pPr>
              <w:widowControl w:val="0"/>
              <w:jc w:val="center"/>
            </w:pPr>
            <w:r>
              <w:t>111</w:t>
            </w:r>
          </w:p>
        </w:tc>
        <w:tc>
          <w:tcPr>
            <w:tcW w:w="1184" w:type="dxa"/>
            <w:vAlign w:val="center"/>
          </w:tcPr>
          <w:p>
            <w:pPr>
              <w:widowControl w:val="0"/>
              <w:jc w:val="center"/>
            </w:pPr>
            <w:r>
              <w:t>96</w:t>
            </w:r>
          </w:p>
        </w:tc>
        <w:tc>
          <w:tcPr>
            <w:tcW w:w="987" w:type="dxa"/>
            <w:vAlign w:val="center"/>
          </w:tcPr>
          <w:p>
            <w:pPr>
              <w:widowControl w:val="0"/>
              <w:jc w:val="center"/>
            </w:pPr>
            <w:r>
              <w:t>122</w:t>
            </w:r>
          </w:p>
        </w:tc>
        <w:tc>
          <w:tcPr>
            <w:tcW w:w="1184" w:type="dxa"/>
            <w:vAlign w:val="center"/>
          </w:tcPr>
          <w:p>
            <w:pPr>
              <w:widowControl w:val="0"/>
              <w:jc w:val="center"/>
            </w:pPr>
            <w:r>
              <w:t>105</w:t>
            </w:r>
          </w:p>
        </w:tc>
        <w:tc>
          <w:tcPr>
            <w:tcW w:w="1188" w:type="dxa"/>
            <w:gridSpan w:val="2"/>
            <w:vAlign w:val="center"/>
          </w:tcPr>
          <w:p>
            <w:pPr>
              <w:widowControl w:val="0"/>
              <w:jc w:val="center"/>
            </w:pPr>
            <w:r>
              <w:t>109</w:t>
            </w:r>
          </w:p>
        </w:tc>
        <w:tc>
          <w:tcPr>
            <w:tcW w:w="1187" w:type="dxa"/>
            <w:vAlign w:val="center"/>
          </w:tcPr>
          <w:p>
            <w:pPr>
              <w:widowControl w:val="0"/>
              <w:jc w:val="center"/>
            </w:pPr>
            <w:r>
              <w:t>139</w:t>
            </w:r>
          </w:p>
        </w:tc>
        <w:tc>
          <w:tcPr>
            <w:tcW w:w="1182" w:type="dxa"/>
            <w:gridSpan w:val="5"/>
            <w:vAlign w:val="center"/>
          </w:tcPr>
          <w:p>
            <w:pPr>
              <w:widowControl w:val="0"/>
              <w:jc w:val="center"/>
            </w:pPr>
            <w:r>
              <w:t>124</w:t>
            </w:r>
          </w:p>
        </w:tc>
      </w:tr>
      <w:tr>
        <w:trPr>
          <w:cantSplit/>
          <w:trHeight w:val="20"/>
        </w:trPr>
        <w:tc>
          <w:tcPr>
            <w:tcW w:w="1071" w:type="dxa"/>
            <w:gridSpan w:val="4"/>
            <w:vAlign w:val="center"/>
          </w:tcPr>
          <w:p>
            <w:pPr>
              <w:widowControl w:val="0"/>
              <w:jc w:val="center"/>
            </w:pPr>
            <w:r>
              <w:t>50</w:t>
            </w:r>
          </w:p>
        </w:tc>
        <w:tc>
          <w:tcPr>
            <w:tcW w:w="1087" w:type="dxa"/>
            <w:vAlign w:val="center"/>
          </w:tcPr>
          <w:p>
            <w:pPr>
              <w:widowControl w:val="0"/>
              <w:jc w:val="center"/>
            </w:pPr>
            <w:r>
              <w:t>135</w:t>
            </w:r>
          </w:p>
        </w:tc>
        <w:tc>
          <w:tcPr>
            <w:tcW w:w="1184" w:type="dxa"/>
            <w:vAlign w:val="center"/>
          </w:tcPr>
          <w:p>
            <w:pPr>
              <w:widowControl w:val="0"/>
              <w:jc w:val="center"/>
            </w:pPr>
            <w:r>
              <w:t>117</w:t>
            </w:r>
          </w:p>
        </w:tc>
        <w:tc>
          <w:tcPr>
            <w:tcW w:w="987" w:type="dxa"/>
            <w:vAlign w:val="center"/>
          </w:tcPr>
          <w:p>
            <w:pPr>
              <w:widowControl w:val="0"/>
              <w:jc w:val="center"/>
            </w:pPr>
            <w:r>
              <w:t>149</w:t>
            </w:r>
          </w:p>
        </w:tc>
        <w:tc>
          <w:tcPr>
            <w:tcW w:w="1184" w:type="dxa"/>
            <w:vAlign w:val="center"/>
          </w:tcPr>
          <w:p>
            <w:pPr>
              <w:widowControl w:val="0"/>
              <w:jc w:val="center"/>
            </w:pPr>
            <w:r>
              <w:t>128</w:t>
            </w:r>
          </w:p>
        </w:tc>
        <w:tc>
          <w:tcPr>
            <w:tcW w:w="1188" w:type="dxa"/>
            <w:gridSpan w:val="2"/>
            <w:vAlign w:val="center"/>
          </w:tcPr>
          <w:p>
            <w:pPr>
              <w:widowControl w:val="0"/>
              <w:jc w:val="center"/>
            </w:pPr>
            <w:r>
              <w:t>133</w:t>
            </w:r>
          </w:p>
        </w:tc>
        <w:tc>
          <w:tcPr>
            <w:tcW w:w="1187" w:type="dxa"/>
            <w:vAlign w:val="center"/>
          </w:tcPr>
          <w:p>
            <w:pPr>
              <w:widowControl w:val="0"/>
              <w:jc w:val="center"/>
            </w:pPr>
            <w:r>
              <w:t>169</w:t>
            </w:r>
          </w:p>
        </w:tc>
        <w:tc>
          <w:tcPr>
            <w:tcW w:w="1182" w:type="dxa"/>
            <w:gridSpan w:val="5"/>
            <w:vAlign w:val="center"/>
          </w:tcPr>
          <w:p>
            <w:pPr>
              <w:widowControl w:val="0"/>
              <w:jc w:val="center"/>
            </w:pPr>
            <w:r>
              <w:t>152</w:t>
            </w:r>
          </w:p>
        </w:tc>
      </w:tr>
      <w:tr>
        <w:trPr>
          <w:cantSplit/>
          <w:trHeight w:val="20"/>
        </w:trPr>
        <w:tc>
          <w:tcPr>
            <w:tcW w:w="1071" w:type="dxa"/>
            <w:gridSpan w:val="4"/>
            <w:vAlign w:val="center"/>
          </w:tcPr>
          <w:p>
            <w:pPr>
              <w:widowControl w:val="0"/>
              <w:jc w:val="center"/>
            </w:pPr>
            <w:r>
              <w:t>70</w:t>
            </w:r>
          </w:p>
        </w:tc>
        <w:tc>
          <w:tcPr>
            <w:tcW w:w="1087" w:type="dxa"/>
            <w:vAlign w:val="center"/>
          </w:tcPr>
          <w:p>
            <w:pPr>
              <w:widowControl w:val="0"/>
              <w:jc w:val="center"/>
            </w:pPr>
            <w:r>
              <w:t>173</w:t>
            </w:r>
          </w:p>
        </w:tc>
        <w:tc>
          <w:tcPr>
            <w:tcW w:w="1184" w:type="dxa"/>
            <w:vAlign w:val="center"/>
          </w:tcPr>
          <w:p>
            <w:pPr>
              <w:widowControl w:val="0"/>
              <w:jc w:val="center"/>
            </w:pPr>
            <w:r>
              <w:t>150</w:t>
            </w:r>
          </w:p>
        </w:tc>
        <w:tc>
          <w:tcPr>
            <w:tcW w:w="987" w:type="dxa"/>
            <w:vAlign w:val="center"/>
          </w:tcPr>
          <w:p>
            <w:pPr>
              <w:widowControl w:val="0"/>
              <w:jc w:val="center"/>
            </w:pPr>
            <w:r>
              <w:t>192</w:t>
            </w:r>
          </w:p>
        </w:tc>
        <w:tc>
          <w:tcPr>
            <w:tcW w:w="1184" w:type="dxa"/>
            <w:vAlign w:val="center"/>
          </w:tcPr>
          <w:p>
            <w:pPr>
              <w:widowControl w:val="0"/>
              <w:jc w:val="center"/>
            </w:pPr>
            <w:r>
              <w:t>166</w:t>
            </w:r>
          </w:p>
        </w:tc>
        <w:tc>
          <w:tcPr>
            <w:tcW w:w="1188" w:type="dxa"/>
            <w:gridSpan w:val="2"/>
            <w:vAlign w:val="center"/>
          </w:tcPr>
          <w:p>
            <w:pPr>
              <w:widowControl w:val="0"/>
              <w:jc w:val="center"/>
            </w:pPr>
            <w:r>
              <w:t>173</w:t>
            </w:r>
          </w:p>
        </w:tc>
        <w:tc>
          <w:tcPr>
            <w:tcW w:w="1187" w:type="dxa"/>
            <w:vAlign w:val="center"/>
          </w:tcPr>
          <w:p>
            <w:pPr>
              <w:widowControl w:val="0"/>
              <w:jc w:val="center"/>
            </w:pPr>
            <w:r>
              <w:t>217</w:t>
            </w:r>
          </w:p>
        </w:tc>
        <w:tc>
          <w:tcPr>
            <w:tcW w:w="1182" w:type="dxa"/>
            <w:gridSpan w:val="5"/>
            <w:vAlign w:val="center"/>
          </w:tcPr>
          <w:p>
            <w:pPr>
              <w:widowControl w:val="0"/>
              <w:jc w:val="center"/>
            </w:pPr>
            <w:r>
              <w:t>196</w:t>
            </w:r>
          </w:p>
        </w:tc>
      </w:tr>
      <w:tr>
        <w:trPr>
          <w:cantSplit/>
          <w:trHeight w:val="20"/>
        </w:trPr>
        <w:tc>
          <w:tcPr>
            <w:tcW w:w="1071" w:type="dxa"/>
            <w:gridSpan w:val="4"/>
            <w:vAlign w:val="center"/>
          </w:tcPr>
          <w:p>
            <w:pPr>
              <w:widowControl w:val="0"/>
              <w:jc w:val="center"/>
            </w:pPr>
            <w:r>
              <w:t>95</w:t>
            </w:r>
          </w:p>
        </w:tc>
        <w:tc>
          <w:tcPr>
            <w:tcW w:w="1087" w:type="dxa"/>
            <w:vAlign w:val="center"/>
          </w:tcPr>
          <w:p>
            <w:pPr>
              <w:widowControl w:val="0"/>
              <w:jc w:val="center"/>
            </w:pPr>
            <w:r>
              <w:t>210</w:t>
            </w:r>
          </w:p>
        </w:tc>
        <w:tc>
          <w:tcPr>
            <w:tcW w:w="1184" w:type="dxa"/>
            <w:vAlign w:val="center"/>
          </w:tcPr>
          <w:p>
            <w:pPr>
              <w:widowControl w:val="0"/>
              <w:jc w:val="center"/>
            </w:pPr>
            <w:r>
              <w:t>183</w:t>
            </w:r>
          </w:p>
        </w:tc>
        <w:tc>
          <w:tcPr>
            <w:tcW w:w="987" w:type="dxa"/>
            <w:vAlign w:val="center"/>
          </w:tcPr>
          <w:p>
            <w:pPr>
              <w:widowControl w:val="0"/>
              <w:jc w:val="center"/>
            </w:pPr>
            <w:r>
              <w:t>235</w:t>
            </w:r>
          </w:p>
        </w:tc>
        <w:tc>
          <w:tcPr>
            <w:tcW w:w="1184" w:type="dxa"/>
            <w:vAlign w:val="center"/>
          </w:tcPr>
          <w:p>
            <w:pPr>
              <w:widowControl w:val="0"/>
              <w:jc w:val="center"/>
            </w:pPr>
            <w:r>
              <w:t>203</w:t>
            </w:r>
          </w:p>
        </w:tc>
        <w:tc>
          <w:tcPr>
            <w:tcW w:w="1188" w:type="dxa"/>
            <w:gridSpan w:val="2"/>
            <w:vAlign w:val="center"/>
          </w:tcPr>
          <w:p>
            <w:pPr>
              <w:widowControl w:val="0"/>
              <w:jc w:val="center"/>
            </w:pPr>
            <w:r>
              <w:t>212</w:t>
            </w:r>
          </w:p>
        </w:tc>
        <w:tc>
          <w:tcPr>
            <w:tcW w:w="1187" w:type="dxa"/>
            <w:vAlign w:val="center"/>
          </w:tcPr>
          <w:p>
            <w:pPr>
              <w:widowControl w:val="0"/>
              <w:jc w:val="center"/>
            </w:pPr>
            <w:r>
              <w:t>265</w:t>
            </w:r>
          </w:p>
        </w:tc>
        <w:tc>
          <w:tcPr>
            <w:tcW w:w="1182" w:type="dxa"/>
            <w:gridSpan w:val="5"/>
            <w:vAlign w:val="center"/>
          </w:tcPr>
          <w:p>
            <w:pPr>
              <w:widowControl w:val="0"/>
              <w:jc w:val="center"/>
            </w:pPr>
            <w:r>
              <w:t>241</w:t>
            </w:r>
          </w:p>
        </w:tc>
      </w:tr>
      <w:tr>
        <w:trPr>
          <w:cantSplit/>
          <w:trHeight w:val="20"/>
        </w:trPr>
        <w:tc>
          <w:tcPr>
            <w:tcW w:w="1071" w:type="dxa"/>
            <w:gridSpan w:val="4"/>
            <w:vAlign w:val="center"/>
          </w:tcPr>
          <w:p>
            <w:pPr>
              <w:widowControl w:val="0"/>
              <w:jc w:val="center"/>
            </w:pPr>
            <w:r>
              <w:t>120</w:t>
            </w:r>
          </w:p>
        </w:tc>
        <w:tc>
          <w:tcPr>
            <w:tcW w:w="1087" w:type="dxa"/>
            <w:vAlign w:val="center"/>
          </w:tcPr>
          <w:p>
            <w:pPr>
              <w:widowControl w:val="0"/>
              <w:jc w:val="center"/>
            </w:pPr>
            <w:r>
              <w:t>244</w:t>
            </w:r>
          </w:p>
        </w:tc>
        <w:tc>
          <w:tcPr>
            <w:tcW w:w="1184" w:type="dxa"/>
            <w:vAlign w:val="center"/>
          </w:tcPr>
          <w:p>
            <w:pPr>
              <w:widowControl w:val="0"/>
              <w:jc w:val="center"/>
            </w:pPr>
            <w:r>
              <w:t>212</w:t>
            </w:r>
          </w:p>
        </w:tc>
        <w:tc>
          <w:tcPr>
            <w:tcW w:w="987" w:type="dxa"/>
            <w:vAlign w:val="center"/>
          </w:tcPr>
          <w:p>
            <w:pPr>
              <w:widowControl w:val="0"/>
              <w:jc w:val="center"/>
            </w:pPr>
            <w:r>
              <w:t>273</w:t>
            </w:r>
          </w:p>
        </w:tc>
        <w:tc>
          <w:tcPr>
            <w:tcW w:w="1184" w:type="dxa"/>
            <w:vAlign w:val="center"/>
          </w:tcPr>
          <w:p>
            <w:pPr>
              <w:widowControl w:val="0"/>
              <w:jc w:val="center"/>
            </w:pPr>
            <w:r>
              <w:t>237</w:t>
            </w:r>
          </w:p>
        </w:tc>
        <w:tc>
          <w:tcPr>
            <w:tcW w:w="1188" w:type="dxa"/>
            <w:gridSpan w:val="2"/>
            <w:vAlign w:val="center"/>
          </w:tcPr>
          <w:p>
            <w:pPr>
              <w:widowControl w:val="0"/>
              <w:jc w:val="center"/>
            </w:pPr>
            <w:r>
              <w:t>247</w:t>
            </w:r>
          </w:p>
        </w:tc>
        <w:tc>
          <w:tcPr>
            <w:tcW w:w="1187" w:type="dxa"/>
            <w:vAlign w:val="center"/>
          </w:tcPr>
          <w:p>
            <w:pPr>
              <w:widowControl w:val="0"/>
              <w:jc w:val="center"/>
            </w:pPr>
            <w:r>
              <w:t>308</w:t>
            </w:r>
          </w:p>
        </w:tc>
        <w:tc>
          <w:tcPr>
            <w:tcW w:w="1182" w:type="dxa"/>
            <w:gridSpan w:val="5"/>
            <w:vAlign w:val="center"/>
          </w:tcPr>
          <w:p>
            <w:pPr>
              <w:widowControl w:val="0"/>
              <w:jc w:val="center"/>
            </w:pPr>
            <w:r>
              <w:t>282</w:t>
            </w:r>
          </w:p>
        </w:tc>
      </w:tr>
      <w:tr>
        <w:trPr>
          <w:cantSplit/>
          <w:trHeight w:val="20"/>
        </w:trPr>
        <w:tc>
          <w:tcPr>
            <w:tcW w:w="1071" w:type="dxa"/>
            <w:gridSpan w:val="4"/>
            <w:vAlign w:val="center"/>
          </w:tcPr>
          <w:p>
            <w:pPr>
              <w:widowControl w:val="0"/>
              <w:jc w:val="center"/>
            </w:pPr>
            <w:r>
              <w:t>150</w:t>
            </w:r>
          </w:p>
        </w:tc>
        <w:tc>
          <w:tcPr>
            <w:tcW w:w="1087" w:type="dxa"/>
            <w:vAlign w:val="center"/>
          </w:tcPr>
          <w:p>
            <w:pPr>
              <w:widowControl w:val="0"/>
              <w:jc w:val="center"/>
            </w:pPr>
            <w:r>
              <w:t>282</w:t>
            </w:r>
          </w:p>
        </w:tc>
        <w:tc>
          <w:tcPr>
            <w:tcW w:w="1184" w:type="dxa"/>
            <w:vAlign w:val="center"/>
          </w:tcPr>
          <w:p>
            <w:pPr>
              <w:widowControl w:val="0"/>
              <w:jc w:val="center"/>
            </w:pPr>
            <w:r>
              <w:t>245</w:t>
            </w:r>
          </w:p>
        </w:tc>
        <w:tc>
          <w:tcPr>
            <w:tcW w:w="987" w:type="dxa"/>
            <w:vAlign w:val="center"/>
          </w:tcPr>
          <w:p>
            <w:pPr>
              <w:widowControl w:val="0"/>
              <w:jc w:val="center"/>
            </w:pPr>
            <w:r>
              <w:t>316</w:t>
            </w:r>
          </w:p>
        </w:tc>
        <w:tc>
          <w:tcPr>
            <w:tcW w:w="1184" w:type="dxa"/>
            <w:vAlign w:val="center"/>
          </w:tcPr>
          <w:p>
            <w:pPr>
              <w:widowControl w:val="0"/>
              <w:jc w:val="center"/>
            </w:pPr>
            <w:r>
              <w:t>274</w:t>
            </w:r>
          </w:p>
        </w:tc>
        <w:tc>
          <w:tcPr>
            <w:tcW w:w="1188" w:type="dxa"/>
            <w:gridSpan w:val="2"/>
            <w:vAlign w:val="center"/>
          </w:tcPr>
          <w:p>
            <w:pPr>
              <w:widowControl w:val="0"/>
              <w:jc w:val="center"/>
            </w:pPr>
            <w:r>
              <w:t>287</w:t>
            </w:r>
          </w:p>
        </w:tc>
        <w:tc>
          <w:tcPr>
            <w:tcW w:w="1187" w:type="dxa"/>
            <w:vAlign w:val="center"/>
          </w:tcPr>
          <w:p>
            <w:pPr>
              <w:widowControl w:val="0"/>
              <w:jc w:val="center"/>
            </w:pPr>
            <w:r>
              <w:t>356</w:t>
            </w:r>
          </w:p>
        </w:tc>
        <w:tc>
          <w:tcPr>
            <w:tcW w:w="1182" w:type="dxa"/>
            <w:gridSpan w:val="5"/>
            <w:vAlign w:val="center"/>
          </w:tcPr>
          <w:p>
            <w:pPr>
              <w:widowControl w:val="0"/>
              <w:jc w:val="center"/>
            </w:pPr>
            <w:r>
              <w:t>327</w:t>
            </w:r>
          </w:p>
        </w:tc>
      </w:tr>
      <w:tr>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98"/>
        </w:trPr>
        <w:tc>
          <w:tcPr>
            <w:tcW w:w="1071" w:type="dxa"/>
            <w:gridSpan w:val="4"/>
            <w:tcBorders>
              <w:bottom w:val="single" w:sz="2" w:space="0" w:color="auto"/>
            </w:tcBorders>
            <w:vAlign w:val="center"/>
          </w:tcPr>
          <w:p>
            <w:pPr>
              <w:widowControl w:val="0"/>
              <w:jc w:val="center"/>
            </w:pPr>
            <w:r>
              <w:t>185</w:t>
            </w:r>
          </w:p>
        </w:tc>
        <w:tc>
          <w:tcPr>
            <w:tcW w:w="1087" w:type="dxa"/>
            <w:tcBorders>
              <w:bottom w:val="single" w:sz="2" w:space="0" w:color="auto"/>
            </w:tcBorders>
            <w:vAlign w:val="center"/>
          </w:tcPr>
          <w:p>
            <w:pPr>
              <w:widowControl w:val="0"/>
              <w:jc w:val="center"/>
            </w:pPr>
            <w:r>
              <w:t>322</w:t>
            </w:r>
          </w:p>
        </w:tc>
        <w:tc>
          <w:tcPr>
            <w:tcW w:w="1184" w:type="dxa"/>
            <w:tcBorders>
              <w:bottom w:val="single" w:sz="2" w:space="0" w:color="auto"/>
            </w:tcBorders>
            <w:vAlign w:val="center"/>
          </w:tcPr>
          <w:p>
            <w:pPr>
              <w:widowControl w:val="0"/>
              <w:jc w:val="center"/>
            </w:pPr>
            <w:r>
              <w:t>280</w:t>
            </w:r>
          </w:p>
        </w:tc>
        <w:tc>
          <w:tcPr>
            <w:tcW w:w="987" w:type="dxa"/>
            <w:tcBorders>
              <w:bottom w:val="single" w:sz="2" w:space="0" w:color="auto"/>
            </w:tcBorders>
            <w:vAlign w:val="center"/>
          </w:tcPr>
          <w:p>
            <w:pPr>
              <w:widowControl w:val="0"/>
              <w:jc w:val="center"/>
            </w:pPr>
            <w:r>
              <w:t>363</w:t>
            </w:r>
          </w:p>
        </w:tc>
        <w:tc>
          <w:tcPr>
            <w:tcW w:w="1184" w:type="dxa"/>
            <w:tcBorders>
              <w:bottom w:val="single" w:sz="2" w:space="0" w:color="auto"/>
            </w:tcBorders>
            <w:vAlign w:val="center"/>
          </w:tcPr>
          <w:p>
            <w:pPr>
              <w:widowControl w:val="0"/>
              <w:jc w:val="center"/>
            </w:pPr>
            <w:r>
              <w:t>315</w:t>
            </w:r>
          </w:p>
        </w:tc>
        <w:tc>
          <w:tcPr>
            <w:tcW w:w="1188" w:type="dxa"/>
            <w:gridSpan w:val="2"/>
            <w:tcBorders>
              <w:bottom w:val="single" w:sz="2" w:space="0" w:color="auto"/>
            </w:tcBorders>
            <w:vAlign w:val="center"/>
          </w:tcPr>
          <w:p>
            <w:pPr>
              <w:widowControl w:val="0"/>
              <w:jc w:val="center"/>
            </w:pPr>
            <w:r>
              <w:t>330</w:t>
            </w:r>
          </w:p>
        </w:tc>
        <w:tc>
          <w:tcPr>
            <w:tcW w:w="1187" w:type="dxa"/>
            <w:tcBorders>
              <w:bottom w:val="single" w:sz="2" w:space="0" w:color="auto"/>
            </w:tcBorders>
            <w:vAlign w:val="center"/>
          </w:tcPr>
          <w:p>
            <w:pPr>
              <w:widowControl w:val="0"/>
              <w:jc w:val="center"/>
            </w:pPr>
            <w:r>
              <w:t>407</w:t>
            </w:r>
          </w:p>
        </w:tc>
        <w:tc>
          <w:tcPr>
            <w:tcW w:w="1182" w:type="dxa"/>
            <w:gridSpan w:val="5"/>
            <w:tcBorders>
              <w:bottom w:val="single" w:sz="2" w:space="0" w:color="auto"/>
            </w:tcBorders>
            <w:vAlign w:val="center"/>
          </w:tcPr>
          <w:p>
            <w:pPr>
              <w:widowControl w:val="0"/>
              <w:jc w:val="center"/>
            </w:pPr>
            <w:r>
              <w:t>376</w:t>
            </w:r>
          </w:p>
        </w:tc>
      </w:tr>
      <w:tr>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98"/>
        </w:trPr>
        <w:tc>
          <w:tcPr>
            <w:tcW w:w="1071" w:type="dxa"/>
            <w:gridSpan w:val="4"/>
            <w:tcBorders>
              <w:top w:val="single" w:sz="2" w:space="0" w:color="auto"/>
              <w:left w:val="single" w:sz="4" w:space="0" w:color="auto"/>
              <w:bottom w:val="single" w:sz="2" w:space="0" w:color="auto"/>
            </w:tcBorders>
            <w:vAlign w:val="center"/>
          </w:tcPr>
          <w:p>
            <w:pPr>
              <w:widowControl w:val="0"/>
              <w:jc w:val="center"/>
            </w:pPr>
            <w:r>
              <w:t>240</w:t>
            </w:r>
          </w:p>
        </w:tc>
        <w:tc>
          <w:tcPr>
            <w:tcW w:w="1087" w:type="dxa"/>
            <w:tcBorders>
              <w:top w:val="single" w:sz="2" w:space="0" w:color="auto"/>
              <w:bottom w:val="single" w:sz="2" w:space="0" w:color="auto"/>
            </w:tcBorders>
            <w:vAlign w:val="center"/>
          </w:tcPr>
          <w:p>
            <w:pPr>
              <w:widowControl w:val="0"/>
              <w:jc w:val="center"/>
            </w:pPr>
            <w:r>
              <w:t>380</w:t>
            </w:r>
          </w:p>
        </w:tc>
        <w:tc>
          <w:tcPr>
            <w:tcW w:w="1184" w:type="dxa"/>
            <w:tcBorders>
              <w:top w:val="single" w:sz="2" w:space="0" w:color="auto"/>
              <w:bottom w:val="single" w:sz="2" w:space="0" w:color="auto"/>
            </w:tcBorders>
            <w:vAlign w:val="center"/>
          </w:tcPr>
          <w:p>
            <w:pPr>
              <w:widowControl w:val="0"/>
              <w:jc w:val="center"/>
            </w:pPr>
            <w:r>
              <w:t>330</w:t>
            </w:r>
          </w:p>
        </w:tc>
        <w:tc>
          <w:tcPr>
            <w:tcW w:w="987" w:type="dxa"/>
            <w:tcBorders>
              <w:top w:val="single" w:sz="2" w:space="0" w:color="auto"/>
              <w:bottom w:val="single" w:sz="2" w:space="0" w:color="auto"/>
            </w:tcBorders>
            <w:vAlign w:val="center"/>
          </w:tcPr>
          <w:p>
            <w:pPr>
              <w:widowControl w:val="0"/>
              <w:jc w:val="center"/>
            </w:pPr>
            <w:r>
              <w:t>430</w:t>
            </w:r>
          </w:p>
        </w:tc>
        <w:tc>
          <w:tcPr>
            <w:tcW w:w="1184" w:type="dxa"/>
            <w:tcBorders>
              <w:top w:val="single" w:sz="2" w:space="0" w:color="auto"/>
              <w:bottom w:val="single" w:sz="2" w:space="0" w:color="auto"/>
            </w:tcBorders>
            <w:vAlign w:val="center"/>
          </w:tcPr>
          <w:p>
            <w:pPr>
              <w:widowControl w:val="0"/>
              <w:jc w:val="center"/>
            </w:pPr>
            <w:r>
              <w:t>375</w:t>
            </w:r>
          </w:p>
        </w:tc>
        <w:tc>
          <w:tcPr>
            <w:tcW w:w="1188" w:type="dxa"/>
            <w:gridSpan w:val="2"/>
            <w:tcBorders>
              <w:top w:val="single" w:sz="2" w:space="0" w:color="auto"/>
              <w:bottom w:val="single" w:sz="2" w:space="0" w:color="auto"/>
            </w:tcBorders>
            <w:vAlign w:val="center"/>
          </w:tcPr>
          <w:p>
            <w:pPr>
              <w:widowControl w:val="0"/>
              <w:jc w:val="center"/>
            </w:pPr>
            <w:r>
              <w:t>392</w:t>
            </w:r>
          </w:p>
        </w:tc>
        <w:tc>
          <w:tcPr>
            <w:tcW w:w="1187" w:type="dxa"/>
            <w:tcBorders>
              <w:top w:val="single" w:sz="2" w:space="0" w:color="auto"/>
              <w:bottom w:val="single" w:sz="2" w:space="0" w:color="auto"/>
            </w:tcBorders>
            <w:vAlign w:val="center"/>
          </w:tcPr>
          <w:p>
            <w:pPr>
              <w:widowControl w:val="0"/>
              <w:jc w:val="center"/>
            </w:pPr>
            <w:r>
              <w:t>482</w:t>
            </w:r>
          </w:p>
        </w:tc>
        <w:tc>
          <w:tcPr>
            <w:tcW w:w="1182" w:type="dxa"/>
            <w:gridSpan w:val="5"/>
            <w:tcBorders>
              <w:top w:val="single" w:sz="2" w:space="0" w:color="auto"/>
              <w:bottom w:val="single" w:sz="2" w:space="0" w:color="auto"/>
              <w:right w:val="single" w:sz="4" w:space="0" w:color="auto"/>
            </w:tcBorders>
            <w:vAlign w:val="center"/>
          </w:tcPr>
          <w:p>
            <w:pPr>
              <w:widowControl w:val="0"/>
              <w:jc w:val="center"/>
            </w:pPr>
            <w:r>
              <w:t>447</w:t>
            </w:r>
          </w:p>
        </w:tc>
      </w:tr>
      <w:tr>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98"/>
        </w:trPr>
        <w:tc>
          <w:tcPr>
            <w:tcW w:w="1071" w:type="dxa"/>
            <w:gridSpan w:val="4"/>
            <w:tcBorders>
              <w:top w:val="single" w:sz="2" w:space="0" w:color="auto"/>
              <w:left w:val="single" w:sz="4" w:space="0" w:color="auto"/>
              <w:right w:val="single" w:sz="4" w:space="0" w:color="auto"/>
            </w:tcBorders>
            <w:vAlign w:val="center"/>
          </w:tcPr>
          <w:p>
            <w:pPr>
              <w:widowControl w:val="0"/>
              <w:jc w:val="center"/>
            </w:pPr>
            <w:r>
              <w:t>300</w:t>
            </w:r>
          </w:p>
        </w:tc>
        <w:tc>
          <w:tcPr>
            <w:tcW w:w="1087" w:type="dxa"/>
            <w:tcBorders>
              <w:top w:val="single" w:sz="2" w:space="0" w:color="auto"/>
              <w:left w:val="nil"/>
              <w:right w:val="single" w:sz="4" w:space="0" w:color="auto"/>
            </w:tcBorders>
            <w:vAlign w:val="center"/>
          </w:tcPr>
          <w:p>
            <w:pPr>
              <w:widowControl w:val="0"/>
              <w:jc w:val="center"/>
            </w:pPr>
            <w:r>
              <w:t>439</w:t>
            </w:r>
          </w:p>
        </w:tc>
        <w:tc>
          <w:tcPr>
            <w:tcW w:w="1184" w:type="dxa"/>
            <w:tcBorders>
              <w:top w:val="single" w:sz="2" w:space="0" w:color="auto"/>
              <w:left w:val="nil"/>
              <w:right w:val="single" w:sz="4" w:space="0" w:color="auto"/>
            </w:tcBorders>
            <w:vAlign w:val="center"/>
          </w:tcPr>
          <w:p>
            <w:pPr>
              <w:widowControl w:val="0"/>
              <w:jc w:val="center"/>
            </w:pPr>
            <w:r>
              <w:t>381</w:t>
            </w:r>
          </w:p>
        </w:tc>
        <w:tc>
          <w:tcPr>
            <w:tcW w:w="987" w:type="dxa"/>
            <w:tcBorders>
              <w:top w:val="single" w:sz="2" w:space="0" w:color="auto"/>
              <w:left w:val="nil"/>
              <w:right w:val="single" w:sz="4" w:space="0" w:color="auto"/>
            </w:tcBorders>
            <w:vAlign w:val="center"/>
          </w:tcPr>
          <w:p>
            <w:pPr>
              <w:widowControl w:val="0"/>
              <w:jc w:val="center"/>
            </w:pPr>
            <w:r>
              <w:t>497</w:t>
            </w:r>
          </w:p>
        </w:tc>
        <w:tc>
          <w:tcPr>
            <w:tcW w:w="1184" w:type="dxa"/>
            <w:tcBorders>
              <w:top w:val="single" w:sz="2" w:space="0" w:color="auto"/>
              <w:left w:val="nil"/>
              <w:right w:val="single" w:sz="4" w:space="0" w:color="auto"/>
            </w:tcBorders>
            <w:vAlign w:val="center"/>
          </w:tcPr>
          <w:p>
            <w:pPr>
              <w:widowControl w:val="0"/>
              <w:jc w:val="center"/>
            </w:pPr>
            <w:r>
              <w:t>434</w:t>
            </w:r>
          </w:p>
        </w:tc>
        <w:tc>
          <w:tcPr>
            <w:tcW w:w="1188" w:type="dxa"/>
            <w:gridSpan w:val="2"/>
            <w:tcBorders>
              <w:top w:val="single" w:sz="2" w:space="0" w:color="auto"/>
              <w:left w:val="nil"/>
              <w:right w:val="nil"/>
            </w:tcBorders>
            <w:vAlign w:val="center"/>
          </w:tcPr>
          <w:p>
            <w:pPr>
              <w:widowControl w:val="0"/>
              <w:jc w:val="center"/>
            </w:pPr>
            <w:r>
              <w:t>455</w:t>
            </w:r>
          </w:p>
        </w:tc>
        <w:tc>
          <w:tcPr>
            <w:tcW w:w="1187" w:type="dxa"/>
            <w:tcBorders>
              <w:top w:val="single" w:sz="2" w:space="0" w:color="auto"/>
              <w:left w:val="single" w:sz="4" w:space="0" w:color="auto"/>
              <w:right w:val="single" w:sz="4" w:space="0" w:color="auto"/>
            </w:tcBorders>
            <w:vAlign w:val="center"/>
          </w:tcPr>
          <w:p>
            <w:pPr>
              <w:widowControl w:val="0"/>
              <w:jc w:val="center"/>
            </w:pPr>
            <w:r>
              <w:t>557</w:t>
            </w:r>
          </w:p>
        </w:tc>
        <w:tc>
          <w:tcPr>
            <w:tcW w:w="1182" w:type="dxa"/>
            <w:gridSpan w:val="5"/>
            <w:tcBorders>
              <w:top w:val="single" w:sz="2" w:space="0" w:color="auto"/>
              <w:left w:val="nil"/>
              <w:right w:val="single" w:sz="4" w:space="0" w:color="auto"/>
            </w:tcBorders>
            <w:vAlign w:val="center"/>
          </w:tcPr>
          <w:p>
            <w:pPr>
              <w:widowControl w:val="0"/>
              <w:jc w:val="center"/>
            </w:pPr>
            <w:r>
              <w:t>519</w:t>
            </w:r>
          </w:p>
        </w:tc>
      </w:tr>
      <w:tr>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98"/>
        </w:trPr>
        <w:tc>
          <w:tcPr>
            <w:tcW w:w="1071" w:type="dxa"/>
            <w:gridSpan w:val="4"/>
            <w:vAlign w:val="center"/>
          </w:tcPr>
          <w:p>
            <w:pPr>
              <w:widowControl w:val="0"/>
              <w:jc w:val="center"/>
            </w:pPr>
            <w:r>
              <w:t>400</w:t>
            </w:r>
          </w:p>
        </w:tc>
        <w:tc>
          <w:tcPr>
            <w:tcW w:w="1087" w:type="dxa"/>
            <w:vAlign w:val="center"/>
          </w:tcPr>
          <w:p>
            <w:pPr>
              <w:widowControl w:val="0"/>
              <w:jc w:val="center"/>
            </w:pPr>
            <w:r>
              <w:t>–</w:t>
            </w:r>
          </w:p>
        </w:tc>
        <w:tc>
          <w:tcPr>
            <w:tcW w:w="1184" w:type="dxa"/>
            <w:vAlign w:val="center"/>
          </w:tcPr>
          <w:p>
            <w:pPr>
              <w:widowControl w:val="0"/>
              <w:jc w:val="center"/>
            </w:pPr>
            <w:r>
              <w:t>–</w:t>
            </w:r>
          </w:p>
        </w:tc>
        <w:tc>
          <w:tcPr>
            <w:tcW w:w="987" w:type="dxa"/>
            <w:vAlign w:val="center"/>
          </w:tcPr>
          <w:p>
            <w:pPr>
              <w:widowControl w:val="0"/>
              <w:jc w:val="center"/>
            </w:pPr>
            <w:r>
              <w:t>500</w:t>
            </w:r>
          </w:p>
        </w:tc>
        <w:tc>
          <w:tcPr>
            <w:tcW w:w="1184" w:type="dxa"/>
            <w:vAlign w:val="center"/>
          </w:tcPr>
          <w:p>
            <w:pPr>
              <w:widowControl w:val="0"/>
              <w:jc w:val="center"/>
            </w:pPr>
            <w:r>
              <w:t>526</w:t>
            </w:r>
          </w:p>
        </w:tc>
        <w:tc>
          <w:tcPr>
            <w:tcW w:w="1188" w:type="dxa"/>
            <w:gridSpan w:val="2"/>
            <w:vAlign w:val="center"/>
          </w:tcPr>
          <w:p>
            <w:pPr>
              <w:widowControl w:val="0"/>
              <w:jc w:val="center"/>
            </w:pPr>
            <w:r>
              <w:t>552</w:t>
            </w:r>
          </w:p>
        </w:tc>
        <w:tc>
          <w:tcPr>
            <w:tcW w:w="1187" w:type="dxa"/>
            <w:vAlign w:val="center"/>
          </w:tcPr>
          <w:p>
            <w:pPr>
              <w:widowControl w:val="0"/>
              <w:jc w:val="center"/>
            </w:pPr>
            <w:r>
              <w:t>671</w:t>
            </w:r>
          </w:p>
        </w:tc>
        <w:tc>
          <w:tcPr>
            <w:tcW w:w="1182" w:type="dxa"/>
            <w:gridSpan w:val="5"/>
            <w:vAlign w:val="center"/>
          </w:tcPr>
          <w:p>
            <w:pPr>
              <w:widowControl w:val="0"/>
              <w:jc w:val="center"/>
            </w:pPr>
            <w:r>
              <w:t>629</w:t>
            </w:r>
          </w:p>
        </w:tc>
      </w:tr>
      <w:tr>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98"/>
        </w:trPr>
        <w:tc>
          <w:tcPr>
            <w:tcW w:w="1071" w:type="dxa"/>
            <w:gridSpan w:val="4"/>
            <w:vAlign w:val="center"/>
          </w:tcPr>
          <w:p>
            <w:pPr>
              <w:widowControl w:val="0"/>
              <w:jc w:val="center"/>
            </w:pPr>
            <w:r>
              <w:t>500</w:t>
            </w:r>
          </w:p>
        </w:tc>
        <w:tc>
          <w:tcPr>
            <w:tcW w:w="1087" w:type="dxa"/>
            <w:vAlign w:val="center"/>
          </w:tcPr>
          <w:p>
            <w:pPr>
              <w:widowControl w:val="0"/>
              <w:jc w:val="center"/>
            </w:pPr>
            <w:r>
              <w:t>–</w:t>
            </w:r>
          </w:p>
        </w:tc>
        <w:tc>
          <w:tcPr>
            <w:tcW w:w="1184" w:type="dxa"/>
            <w:vAlign w:val="center"/>
          </w:tcPr>
          <w:p>
            <w:pPr>
              <w:widowControl w:val="0"/>
              <w:jc w:val="center"/>
            </w:pPr>
            <w:r>
              <w:t>–</w:t>
            </w:r>
          </w:p>
        </w:tc>
        <w:tc>
          <w:tcPr>
            <w:tcW w:w="987" w:type="dxa"/>
            <w:vAlign w:val="center"/>
          </w:tcPr>
          <w:p>
            <w:pPr>
              <w:widowControl w:val="0"/>
              <w:jc w:val="center"/>
            </w:pPr>
            <w:r>
              <w:t>694</w:t>
            </w:r>
          </w:p>
        </w:tc>
        <w:tc>
          <w:tcPr>
            <w:tcW w:w="1184" w:type="dxa"/>
            <w:vAlign w:val="center"/>
          </w:tcPr>
          <w:p>
            <w:pPr>
              <w:widowControl w:val="0"/>
              <w:jc w:val="center"/>
            </w:pPr>
            <w:r>
              <w:t>610</w:t>
            </w:r>
          </w:p>
        </w:tc>
        <w:tc>
          <w:tcPr>
            <w:tcW w:w="1188" w:type="dxa"/>
            <w:gridSpan w:val="2"/>
            <w:vAlign w:val="center"/>
          </w:tcPr>
          <w:p>
            <w:pPr>
              <w:widowControl w:val="0"/>
              <w:jc w:val="center"/>
            </w:pPr>
            <w:r>
              <w:t>640</w:t>
            </w:r>
          </w:p>
        </w:tc>
        <w:tc>
          <w:tcPr>
            <w:tcW w:w="1187" w:type="dxa"/>
            <w:vAlign w:val="center"/>
          </w:tcPr>
          <w:p>
            <w:pPr>
              <w:widowControl w:val="0"/>
              <w:jc w:val="center"/>
            </w:pPr>
            <w:r>
              <w:t>775</w:t>
            </w:r>
          </w:p>
        </w:tc>
        <w:tc>
          <w:tcPr>
            <w:tcW w:w="1182" w:type="dxa"/>
            <w:gridSpan w:val="5"/>
            <w:vAlign w:val="center"/>
          </w:tcPr>
          <w:p>
            <w:pPr>
              <w:widowControl w:val="0"/>
              <w:jc w:val="center"/>
            </w:pPr>
            <w:r>
              <w:t>730</w:t>
            </w:r>
          </w:p>
        </w:tc>
      </w:tr>
      <w:tr>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98"/>
        </w:trPr>
        <w:tc>
          <w:tcPr>
            <w:tcW w:w="1071" w:type="dxa"/>
            <w:gridSpan w:val="4"/>
            <w:vAlign w:val="center"/>
          </w:tcPr>
          <w:p>
            <w:pPr>
              <w:widowControl w:val="0"/>
              <w:jc w:val="center"/>
            </w:pPr>
            <w:r>
              <w:t>630</w:t>
            </w:r>
          </w:p>
        </w:tc>
        <w:tc>
          <w:tcPr>
            <w:tcW w:w="1087" w:type="dxa"/>
            <w:vAlign w:val="center"/>
          </w:tcPr>
          <w:p>
            <w:pPr>
              <w:widowControl w:val="0"/>
              <w:jc w:val="center"/>
            </w:pPr>
            <w:r>
              <w:t>–</w:t>
            </w:r>
          </w:p>
        </w:tc>
        <w:tc>
          <w:tcPr>
            <w:tcW w:w="1184" w:type="dxa"/>
            <w:vAlign w:val="center"/>
          </w:tcPr>
          <w:p>
            <w:pPr>
              <w:widowControl w:val="0"/>
              <w:jc w:val="center"/>
            </w:pPr>
            <w:r>
              <w:t>–</w:t>
            </w:r>
          </w:p>
        </w:tc>
        <w:tc>
          <w:tcPr>
            <w:tcW w:w="987" w:type="dxa"/>
            <w:vAlign w:val="center"/>
          </w:tcPr>
          <w:p>
            <w:pPr>
              <w:widowControl w:val="0"/>
              <w:jc w:val="center"/>
            </w:pPr>
            <w:r>
              <w:t>808</w:t>
            </w:r>
          </w:p>
        </w:tc>
        <w:tc>
          <w:tcPr>
            <w:tcW w:w="1184" w:type="dxa"/>
            <w:vAlign w:val="center"/>
          </w:tcPr>
          <w:p>
            <w:pPr>
              <w:widowControl w:val="0"/>
              <w:jc w:val="center"/>
            </w:pPr>
            <w:r>
              <w:t>711</w:t>
            </w:r>
          </w:p>
        </w:tc>
        <w:tc>
          <w:tcPr>
            <w:tcW w:w="1188" w:type="dxa"/>
            <w:gridSpan w:val="2"/>
            <w:vAlign w:val="center"/>
          </w:tcPr>
          <w:p>
            <w:pPr>
              <w:widowControl w:val="0"/>
              <w:jc w:val="center"/>
            </w:pPr>
            <w:r>
              <w:t>746</w:t>
            </w:r>
          </w:p>
        </w:tc>
        <w:tc>
          <w:tcPr>
            <w:tcW w:w="1187" w:type="dxa"/>
            <w:vAlign w:val="center"/>
          </w:tcPr>
          <w:p>
            <w:pPr>
              <w:widowControl w:val="0"/>
              <w:jc w:val="center"/>
            </w:pPr>
            <w:r>
              <w:t>900</w:t>
            </w:r>
          </w:p>
        </w:tc>
        <w:tc>
          <w:tcPr>
            <w:tcW w:w="1182" w:type="dxa"/>
            <w:gridSpan w:val="5"/>
            <w:vAlign w:val="center"/>
          </w:tcPr>
          <w:p>
            <w:pPr>
              <w:widowControl w:val="0"/>
              <w:jc w:val="center"/>
            </w:pPr>
            <w:r>
              <w:t>852</w:t>
            </w:r>
          </w:p>
        </w:tc>
      </w:tr>
    </w:tbl>
    <w:p>
      <w:pPr>
        <w:widowControl w:val="0"/>
        <w:ind w:firstLine="567"/>
        <w:jc w:val="both"/>
      </w:pPr>
    </w:p>
    <w:p>
      <w:pPr>
        <w:widowControl w:val="0"/>
        <w:ind w:firstLine="567"/>
        <w:jc w:val="both"/>
        <w:rPr>
          <w:b/>
        </w:rPr>
      </w:pPr>
      <w:r>
        <w:rPr>
          <w:b/>
        </w:rPr>
        <w:t>8 lentelė. Varinių ir aliumininių laidininkų XLPE arba EPR izoliacija leistinoji ilgalaikė srovė</w:t>
      </w:r>
    </w:p>
    <w:p>
      <w:pPr>
        <w:widowControl w:val="0"/>
        <w:ind w:firstLine="567"/>
        <w:jc w:val="both"/>
      </w:pPr>
    </w:p>
    <w:p>
      <w:pPr>
        <w:widowControl w:val="0"/>
        <w:ind w:firstLine="567"/>
        <w:jc w:val="both"/>
      </w:pPr>
      <w:r>
        <w:t xml:space="preserve">Temperatūra: laidininko +90 </w:t>
      </w:r>
      <w:r>
        <w:rPr>
          <w:vertAlign w:val="superscript"/>
        </w:rPr>
        <w:t>o</w:t>
      </w:r>
      <w:r>
        <w:t xml:space="preserve">C, oro +30 </w:t>
      </w:r>
      <w:r>
        <w:rPr>
          <w:vertAlign w:val="superscript"/>
        </w:rPr>
        <w:t>o</w:t>
      </w:r>
      <w:r>
        <w:t>C.</w:t>
      </w:r>
    </w:p>
    <w:p>
      <w:pPr>
        <w:widowControl w:val="0"/>
        <w:ind w:firstLine="567"/>
        <w:jc w:val="both"/>
      </w:pPr>
      <w:r>
        <w:t>Taikoma E, F ir G instaliacijos būdams pagal 2 priedo 1 lentelę.</w:t>
      </w:r>
    </w:p>
    <w:p>
      <w:pPr>
        <w:widowControl w:val="0"/>
        <w:ind w:firstLine="567"/>
        <w:jc w:val="both"/>
      </w:pPr>
      <w:r>
        <w:br w:type="page"/>
      </w: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2" w:type="dxa"/>
          <w:right w:w="92" w:type="dxa"/>
        </w:tblCellMar>
        <w:tblLook w:val="0000" w:firstRow="0" w:lastRow="0" w:firstColumn="0" w:lastColumn="0" w:noHBand="0" w:noVBand="0"/>
      </w:tblPr>
      <w:tblGrid>
        <w:gridCol w:w="204"/>
        <w:gridCol w:w="288"/>
        <w:gridCol w:w="300"/>
        <w:gridCol w:w="203"/>
        <w:gridCol w:w="1175"/>
        <w:gridCol w:w="1181"/>
        <w:gridCol w:w="984"/>
        <w:gridCol w:w="1180"/>
        <w:gridCol w:w="1189"/>
        <w:gridCol w:w="1189"/>
        <w:gridCol w:w="361"/>
        <w:gridCol w:w="204"/>
        <w:gridCol w:w="204"/>
        <w:gridCol w:w="204"/>
        <w:gridCol w:w="204"/>
      </w:tblGrid>
      <w:tr>
        <w:trPr>
          <w:cantSplit/>
          <w:trHeight w:val="20"/>
          <w:tblHeader/>
        </w:trPr>
        <w:tc>
          <w:tcPr>
            <w:tcW w:w="995" w:type="dxa"/>
            <w:gridSpan w:val="4"/>
            <w:vMerge w:val="restart"/>
            <w:vAlign w:val="center"/>
          </w:tcPr>
          <w:p>
            <w:pPr>
              <w:widowControl w:val="0"/>
              <w:jc w:val="center"/>
            </w:pPr>
            <w:r>
              <w:t>Laidininko skerspjūvis,</w:t>
            </w:r>
          </w:p>
          <w:p>
            <w:pPr>
              <w:widowControl w:val="0"/>
              <w:jc w:val="center"/>
            </w:pPr>
            <w:r>
              <w:t>mm</w:t>
            </w:r>
            <w:r>
              <w:rPr>
                <w:vertAlign w:val="superscript"/>
              </w:rPr>
              <w:t>2</w:t>
            </w:r>
          </w:p>
        </w:tc>
        <w:tc>
          <w:tcPr>
            <w:tcW w:w="8075" w:type="dxa"/>
            <w:gridSpan w:val="11"/>
            <w:vAlign w:val="center"/>
          </w:tcPr>
          <w:p>
            <w:pPr>
              <w:widowControl w:val="0"/>
              <w:jc w:val="center"/>
            </w:pPr>
            <w:r>
              <w:t>Instaliacijos būdas</w:t>
            </w:r>
          </w:p>
        </w:tc>
      </w:tr>
      <w:tr>
        <w:trPr>
          <w:cantSplit/>
          <w:trHeight w:val="20"/>
          <w:tblHeader/>
        </w:trPr>
        <w:tc>
          <w:tcPr>
            <w:tcW w:w="995" w:type="dxa"/>
            <w:gridSpan w:val="4"/>
            <w:vMerge/>
            <w:vAlign w:val="center"/>
          </w:tcPr>
          <w:p>
            <w:pPr>
              <w:widowControl w:val="0"/>
              <w:jc w:val="center"/>
            </w:pPr>
          </w:p>
        </w:tc>
        <w:tc>
          <w:tcPr>
            <w:tcW w:w="2356" w:type="dxa"/>
            <w:gridSpan w:val="2"/>
            <w:vAlign w:val="center"/>
          </w:tcPr>
          <w:p>
            <w:pPr>
              <w:widowControl w:val="0"/>
              <w:jc w:val="center"/>
            </w:pPr>
            <w:r>
              <w:t>Daugiagysliai</w:t>
            </w:r>
          </w:p>
        </w:tc>
        <w:tc>
          <w:tcPr>
            <w:tcW w:w="5719" w:type="dxa"/>
            <w:gridSpan w:val="9"/>
            <w:vAlign w:val="center"/>
          </w:tcPr>
          <w:p>
            <w:pPr>
              <w:widowControl w:val="0"/>
              <w:jc w:val="center"/>
            </w:pPr>
            <w:r>
              <w:t>Viengysliai</w:t>
            </w:r>
          </w:p>
        </w:tc>
      </w:tr>
      <w:tr>
        <w:trPr>
          <w:cantSplit/>
          <w:trHeight w:val="20"/>
          <w:tblHeader/>
        </w:trPr>
        <w:tc>
          <w:tcPr>
            <w:tcW w:w="995" w:type="dxa"/>
            <w:gridSpan w:val="4"/>
            <w:vMerge/>
            <w:vAlign w:val="center"/>
          </w:tcPr>
          <w:p>
            <w:pPr>
              <w:widowControl w:val="0"/>
              <w:jc w:val="center"/>
            </w:pPr>
          </w:p>
        </w:tc>
        <w:tc>
          <w:tcPr>
            <w:tcW w:w="1175" w:type="dxa"/>
            <w:vMerge w:val="restart"/>
            <w:vAlign w:val="center"/>
          </w:tcPr>
          <w:p>
            <w:pPr>
              <w:widowControl w:val="0"/>
              <w:jc w:val="center"/>
            </w:pPr>
            <w:r>
              <w:t>Dvigysliai</w:t>
            </w:r>
          </w:p>
          <w:p>
            <w:pPr>
              <w:widowControl w:val="0"/>
              <w:jc w:val="center"/>
            </w:pPr>
            <w:r>
              <w:t>(E)</w:t>
            </w:r>
          </w:p>
        </w:tc>
        <w:tc>
          <w:tcPr>
            <w:tcW w:w="1181" w:type="dxa"/>
            <w:vMerge w:val="restart"/>
            <w:vAlign w:val="center"/>
          </w:tcPr>
          <w:p>
            <w:pPr>
              <w:widowControl w:val="0"/>
              <w:jc w:val="center"/>
            </w:pPr>
            <w:r>
              <w:t>Trigysliai</w:t>
            </w:r>
          </w:p>
          <w:p>
            <w:pPr>
              <w:widowControl w:val="0"/>
              <w:jc w:val="center"/>
            </w:pPr>
            <w:r>
              <w:t>(E)</w:t>
            </w:r>
          </w:p>
        </w:tc>
        <w:tc>
          <w:tcPr>
            <w:tcW w:w="984" w:type="dxa"/>
            <w:vMerge w:val="restart"/>
            <w:vAlign w:val="center"/>
          </w:tcPr>
          <w:p>
            <w:pPr>
              <w:widowControl w:val="0"/>
              <w:jc w:val="center"/>
            </w:pPr>
            <w:r>
              <w:t>Du,</w:t>
            </w:r>
          </w:p>
          <w:p>
            <w:pPr>
              <w:widowControl w:val="0"/>
              <w:jc w:val="center"/>
            </w:pPr>
            <w:r>
              <w:t>be tarpų</w:t>
            </w:r>
          </w:p>
          <w:p>
            <w:pPr>
              <w:widowControl w:val="0"/>
              <w:jc w:val="center"/>
            </w:pPr>
            <w:r>
              <w:t>(F)</w:t>
            </w:r>
          </w:p>
        </w:tc>
        <w:tc>
          <w:tcPr>
            <w:tcW w:w="1180" w:type="dxa"/>
            <w:vMerge w:val="restart"/>
            <w:vAlign w:val="center"/>
          </w:tcPr>
          <w:p>
            <w:pPr>
              <w:widowControl w:val="0"/>
              <w:jc w:val="center"/>
            </w:pPr>
            <w:r>
              <w:t>Trys, išdėstyti dobilo lapo forma</w:t>
            </w:r>
          </w:p>
          <w:p>
            <w:pPr>
              <w:widowControl w:val="0"/>
              <w:jc w:val="center"/>
            </w:pPr>
            <w:r>
              <w:t>(F)</w:t>
            </w:r>
          </w:p>
        </w:tc>
        <w:tc>
          <w:tcPr>
            <w:tcW w:w="3555" w:type="dxa"/>
            <w:gridSpan w:val="7"/>
            <w:vAlign w:val="center"/>
          </w:tcPr>
          <w:p>
            <w:pPr>
              <w:widowControl w:val="0"/>
              <w:jc w:val="center"/>
            </w:pPr>
            <w:r>
              <w:t>Trys apkrauti</w:t>
            </w:r>
          </w:p>
        </w:tc>
      </w:tr>
      <w:tr>
        <w:trPr>
          <w:cantSplit/>
          <w:trHeight w:val="20"/>
          <w:tblHeader/>
        </w:trPr>
        <w:tc>
          <w:tcPr>
            <w:tcW w:w="995" w:type="dxa"/>
            <w:gridSpan w:val="4"/>
            <w:vMerge/>
            <w:vAlign w:val="center"/>
          </w:tcPr>
          <w:p>
            <w:pPr>
              <w:widowControl w:val="0"/>
              <w:jc w:val="center"/>
            </w:pPr>
          </w:p>
        </w:tc>
        <w:tc>
          <w:tcPr>
            <w:tcW w:w="1175" w:type="dxa"/>
            <w:vMerge/>
            <w:vAlign w:val="center"/>
          </w:tcPr>
          <w:p>
            <w:pPr>
              <w:widowControl w:val="0"/>
              <w:jc w:val="center"/>
            </w:pPr>
          </w:p>
        </w:tc>
        <w:tc>
          <w:tcPr>
            <w:tcW w:w="1181" w:type="dxa"/>
            <w:vMerge/>
            <w:vAlign w:val="center"/>
          </w:tcPr>
          <w:p>
            <w:pPr>
              <w:widowControl w:val="0"/>
              <w:jc w:val="center"/>
            </w:pPr>
          </w:p>
        </w:tc>
        <w:tc>
          <w:tcPr>
            <w:tcW w:w="984" w:type="dxa"/>
            <w:vMerge/>
            <w:vAlign w:val="center"/>
          </w:tcPr>
          <w:p>
            <w:pPr>
              <w:widowControl w:val="0"/>
              <w:jc w:val="center"/>
            </w:pPr>
          </w:p>
        </w:tc>
        <w:tc>
          <w:tcPr>
            <w:tcW w:w="1180" w:type="dxa"/>
            <w:vMerge/>
            <w:vAlign w:val="center"/>
          </w:tcPr>
          <w:p>
            <w:pPr>
              <w:widowControl w:val="0"/>
              <w:jc w:val="center"/>
            </w:pPr>
          </w:p>
        </w:tc>
        <w:tc>
          <w:tcPr>
            <w:tcW w:w="1189" w:type="dxa"/>
            <w:vAlign w:val="center"/>
          </w:tcPr>
          <w:p>
            <w:pPr>
              <w:widowControl w:val="0"/>
              <w:jc w:val="center"/>
            </w:pPr>
            <w:r>
              <w:t>Išdėstyti horizontaliai arba vertikaliai be tarpų (F)</w:t>
            </w:r>
          </w:p>
        </w:tc>
        <w:tc>
          <w:tcPr>
            <w:tcW w:w="1189" w:type="dxa"/>
            <w:vAlign w:val="center"/>
          </w:tcPr>
          <w:p>
            <w:pPr>
              <w:widowControl w:val="0"/>
              <w:jc w:val="center"/>
            </w:pPr>
            <w:r>
              <w:t>Išdėstyti horizontaliai su tarpais</w:t>
            </w:r>
          </w:p>
          <w:p>
            <w:pPr>
              <w:widowControl w:val="0"/>
              <w:jc w:val="center"/>
            </w:pPr>
            <w:r>
              <w:t>(G)</w:t>
            </w:r>
          </w:p>
        </w:tc>
        <w:tc>
          <w:tcPr>
            <w:tcW w:w="1177" w:type="dxa"/>
            <w:gridSpan w:val="5"/>
            <w:vAlign w:val="center"/>
          </w:tcPr>
          <w:p>
            <w:pPr>
              <w:widowControl w:val="0"/>
              <w:jc w:val="center"/>
            </w:pPr>
            <w:r>
              <w:t>Išdėstyti vertikaliai su tarpais</w:t>
            </w:r>
          </w:p>
          <w:p>
            <w:pPr>
              <w:widowControl w:val="0"/>
              <w:jc w:val="center"/>
            </w:pPr>
            <w:r>
              <w:t>(G)</w:t>
            </w:r>
          </w:p>
        </w:tc>
      </w:tr>
      <w:tr>
        <w:trPr>
          <w:cantSplit/>
          <w:trHeight w:val="20"/>
          <w:tblHeader/>
        </w:trPr>
        <w:tc>
          <w:tcPr>
            <w:tcW w:w="995" w:type="dxa"/>
            <w:gridSpan w:val="4"/>
            <w:vMerge/>
            <w:vAlign w:val="center"/>
          </w:tcPr>
          <w:p>
            <w:pPr>
              <w:widowControl w:val="0"/>
              <w:jc w:val="center"/>
            </w:pPr>
          </w:p>
        </w:tc>
        <w:tc>
          <w:tcPr>
            <w:tcW w:w="1175" w:type="dxa"/>
            <w:vAlign w:val="center"/>
          </w:tcPr>
          <w:p>
            <w:pPr>
              <w:widowControl w:val="0"/>
              <w:jc w:val="center"/>
            </w:pPr>
            <w:r>
              <w:rPr>
                <w:lang w:eastAsia="lt-LT"/>
              </w:rPr>
              <w:drawing>
                <wp:inline distT="0" distB="0" distL="0" distR="0">
                  <wp:extent cx="314325" cy="495300"/>
                  <wp:effectExtent l="0" t="0" r="0" b="0"/>
                  <wp:docPr id="179" name="Picture 179"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 pav"/>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Pr>
                <w:vanish/>
              </w:rPr>
              <w:t>(ženklas)</w:t>
            </w:r>
          </w:p>
        </w:tc>
        <w:tc>
          <w:tcPr>
            <w:tcW w:w="1181" w:type="dxa"/>
            <w:vAlign w:val="center"/>
          </w:tcPr>
          <w:p>
            <w:pPr>
              <w:widowControl w:val="0"/>
              <w:jc w:val="center"/>
            </w:pPr>
            <w:r>
              <w:rPr>
                <w:lang w:eastAsia="lt-LT"/>
              </w:rPr>
              <w:drawing>
                <wp:inline distT="0" distB="0" distL="0" distR="0">
                  <wp:extent cx="342900" cy="523875"/>
                  <wp:effectExtent l="0" t="0" r="0" b="0"/>
                  <wp:docPr id="180" name="Picture 180" descr="2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 pav"/>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 cy="523875"/>
                          </a:xfrm>
                          <a:prstGeom prst="rect">
                            <a:avLst/>
                          </a:prstGeom>
                          <a:noFill/>
                          <a:ln>
                            <a:noFill/>
                          </a:ln>
                        </pic:spPr>
                      </pic:pic>
                    </a:graphicData>
                  </a:graphic>
                </wp:inline>
              </w:drawing>
            </w:r>
          </w:p>
          <w:p>
            <w:pPr>
              <w:widowControl w:val="0"/>
              <w:jc w:val="center"/>
            </w:pPr>
            <w:r>
              <w:rPr>
                <w:vanish/>
              </w:rPr>
              <w:t>(ženklas)</w:t>
            </w:r>
          </w:p>
        </w:tc>
        <w:tc>
          <w:tcPr>
            <w:tcW w:w="984" w:type="dxa"/>
            <w:vAlign w:val="center"/>
          </w:tcPr>
          <w:p>
            <w:pPr>
              <w:widowControl w:val="0"/>
              <w:jc w:val="center"/>
            </w:pPr>
            <w:r>
              <w:rPr>
                <w:lang w:eastAsia="lt-LT"/>
              </w:rPr>
              <w:drawing>
                <wp:inline distT="0" distB="0" distL="0" distR="0">
                  <wp:extent cx="266700" cy="495300"/>
                  <wp:effectExtent l="0" t="0" r="0" b="0"/>
                  <wp:docPr id="181" name="Picture 181" descr="3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3 pav"/>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66700" cy="495300"/>
                          </a:xfrm>
                          <a:prstGeom prst="rect">
                            <a:avLst/>
                          </a:prstGeom>
                          <a:noFill/>
                          <a:ln>
                            <a:noFill/>
                          </a:ln>
                        </pic:spPr>
                      </pic:pic>
                    </a:graphicData>
                  </a:graphic>
                </wp:inline>
              </w:drawing>
            </w:r>
          </w:p>
          <w:p>
            <w:pPr>
              <w:widowControl w:val="0"/>
              <w:jc w:val="center"/>
            </w:pPr>
            <w:r>
              <w:rPr>
                <w:vanish/>
              </w:rPr>
              <w:t>(ženklas)</w:t>
            </w:r>
          </w:p>
        </w:tc>
        <w:tc>
          <w:tcPr>
            <w:tcW w:w="1180" w:type="dxa"/>
            <w:vAlign w:val="center"/>
          </w:tcPr>
          <w:p>
            <w:pPr>
              <w:widowControl w:val="0"/>
              <w:jc w:val="center"/>
            </w:pPr>
            <w:r>
              <w:rPr>
                <w:lang w:eastAsia="lt-LT"/>
              </w:rPr>
              <w:drawing>
                <wp:inline distT="0" distB="0" distL="0" distR="0">
                  <wp:extent cx="285750" cy="504825"/>
                  <wp:effectExtent l="0" t="0" r="0" b="0"/>
                  <wp:docPr id="182" name="Picture 182" descr="4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4 pav"/>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5750" cy="504825"/>
                          </a:xfrm>
                          <a:prstGeom prst="rect">
                            <a:avLst/>
                          </a:prstGeom>
                          <a:noFill/>
                          <a:ln>
                            <a:noFill/>
                          </a:ln>
                        </pic:spPr>
                      </pic:pic>
                    </a:graphicData>
                  </a:graphic>
                </wp:inline>
              </w:drawing>
            </w:r>
          </w:p>
          <w:p>
            <w:pPr>
              <w:widowControl w:val="0"/>
              <w:jc w:val="center"/>
            </w:pPr>
            <w:r>
              <w:rPr>
                <w:vanish/>
              </w:rPr>
              <w:t>(ženklas)</w:t>
            </w:r>
          </w:p>
        </w:tc>
        <w:tc>
          <w:tcPr>
            <w:tcW w:w="1189" w:type="dxa"/>
            <w:vAlign w:val="center"/>
          </w:tcPr>
          <w:p>
            <w:pPr>
              <w:widowControl w:val="0"/>
              <w:jc w:val="center"/>
            </w:pPr>
            <w:r>
              <w:rPr>
                <w:lang w:eastAsia="lt-LT"/>
              </w:rPr>
              <w:drawing>
                <wp:inline distT="0" distB="0" distL="0" distR="0">
                  <wp:extent cx="352425" cy="495300"/>
                  <wp:effectExtent l="0" t="0" r="0" b="0"/>
                  <wp:docPr id="183" name="Picture 183" descr="3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3 pav"/>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52425" cy="495300"/>
                          </a:xfrm>
                          <a:prstGeom prst="rect">
                            <a:avLst/>
                          </a:prstGeom>
                          <a:noFill/>
                          <a:ln>
                            <a:noFill/>
                          </a:ln>
                        </pic:spPr>
                      </pic:pic>
                    </a:graphicData>
                  </a:graphic>
                </wp:inline>
              </w:drawing>
            </w:r>
          </w:p>
          <w:p>
            <w:pPr>
              <w:widowControl w:val="0"/>
              <w:jc w:val="center"/>
            </w:pPr>
            <w:r>
              <w:rPr>
                <w:vanish/>
              </w:rPr>
              <w:t>(ženklas)</w:t>
            </w:r>
          </w:p>
        </w:tc>
        <w:tc>
          <w:tcPr>
            <w:tcW w:w="1189" w:type="dxa"/>
            <w:vAlign w:val="center"/>
          </w:tcPr>
          <w:p>
            <w:pPr>
              <w:widowControl w:val="0"/>
              <w:jc w:val="center"/>
            </w:pPr>
            <w:r>
              <w:rPr>
                <w:lang w:eastAsia="lt-LT"/>
              </w:rPr>
              <w:drawing>
                <wp:inline distT="0" distB="0" distL="0" distR="0">
                  <wp:extent cx="428625" cy="447675"/>
                  <wp:effectExtent l="0" t="0" r="0" b="0"/>
                  <wp:docPr id="184" name="Picture 184" descr="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5 pav"/>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p>
            <w:pPr>
              <w:widowControl w:val="0"/>
              <w:jc w:val="center"/>
            </w:pPr>
            <w:r>
              <w:rPr>
                <w:vanish/>
              </w:rPr>
              <w:t>(ženklas)</w:t>
            </w:r>
          </w:p>
        </w:tc>
        <w:tc>
          <w:tcPr>
            <w:tcW w:w="1177" w:type="dxa"/>
            <w:gridSpan w:val="5"/>
            <w:vAlign w:val="center"/>
          </w:tcPr>
          <w:p>
            <w:pPr>
              <w:widowControl w:val="0"/>
              <w:jc w:val="center"/>
            </w:pPr>
            <w:r>
              <w:rPr>
                <w:lang w:eastAsia="lt-LT"/>
              </w:rPr>
              <w:drawing>
                <wp:inline distT="0" distB="0" distL="0" distR="0">
                  <wp:extent cx="419100" cy="466725"/>
                  <wp:effectExtent l="0" t="0" r="0" b="0"/>
                  <wp:docPr id="185" name="Picture 185" descr="4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4 pav"/>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p>
            <w:pPr>
              <w:widowControl w:val="0"/>
              <w:jc w:val="center"/>
            </w:pPr>
            <w:r>
              <w:rPr>
                <w:vanish/>
              </w:rPr>
              <w:t>(ženklas)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204" w:type="dxa"/>
            <w:tcBorders>
              <w:right w:val="nil"/>
            </w:tcBorders>
            <w:vAlign w:val="center"/>
          </w:tcPr>
          <w:p>
            <w:pPr>
              <w:widowControl w:val="0"/>
              <w:jc w:val="center"/>
            </w:pPr>
          </w:p>
        </w:tc>
        <w:tc>
          <w:tcPr>
            <w:tcW w:w="288" w:type="dxa"/>
            <w:tcBorders>
              <w:left w:val="nil"/>
              <w:right w:val="nil"/>
            </w:tcBorders>
            <w:vAlign w:val="center"/>
          </w:tcPr>
          <w:p>
            <w:pPr>
              <w:widowControl w:val="0"/>
              <w:jc w:val="center"/>
            </w:pPr>
          </w:p>
        </w:tc>
        <w:tc>
          <w:tcPr>
            <w:tcW w:w="300" w:type="dxa"/>
            <w:tcBorders>
              <w:left w:val="nil"/>
              <w:right w:val="nil"/>
            </w:tcBorders>
            <w:vAlign w:val="center"/>
          </w:tcPr>
          <w:p>
            <w:pPr>
              <w:widowControl w:val="0"/>
              <w:jc w:val="center"/>
            </w:pPr>
          </w:p>
        </w:tc>
        <w:tc>
          <w:tcPr>
            <w:tcW w:w="7462" w:type="dxa"/>
            <w:gridSpan w:val="8"/>
            <w:tcBorders>
              <w:left w:val="nil"/>
              <w:right w:val="nil"/>
            </w:tcBorders>
            <w:vAlign w:val="center"/>
          </w:tcPr>
          <w:p>
            <w:pPr>
              <w:widowControl w:val="0"/>
              <w:jc w:val="center"/>
            </w:pPr>
            <w:r>
              <w:t>Varinių laidininkų leistinoji ilgalaikė srovė, A</w:t>
            </w:r>
          </w:p>
        </w:tc>
        <w:tc>
          <w:tcPr>
            <w:tcW w:w="204" w:type="dxa"/>
            <w:tcBorders>
              <w:left w:val="nil"/>
              <w:right w:val="nil"/>
            </w:tcBorders>
            <w:vAlign w:val="center"/>
          </w:tcPr>
          <w:p>
            <w:pPr>
              <w:widowControl w:val="0"/>
              <w:jc w:val="center"/>
            </w:pPr>
          </w:p>
        </w:tc>
        <w:tc>
          <w:tcPr>
            <w:tcW w:w="204" w:type="dxa"/>
            <w:tcBorders>
              <w:left w:val="nil"/>
              <w:right w:val="nil"/>
            </w:tcBorders>
            <w:vAlign w:val="center"/>
          </w:tcPr>
          <w:p>
            <w:pPr>
              <w:widowControl w:val="0"/>
              <w:jc w:val="center"/>
            </w:pPr>
          </w:p>
        </w:tc>
        <w:tc>
          <w:tcPr>
            <w:tcW w:w="204" w:type="dxa"/>
            <w:tcBorders>
              <w:left w:val="nil"/>
              <w:right w:val="nil"/>
            </w:tcBorders>
            <w:vAlign w:val="center"/>
          </w:tcPr>
          <w:p>
            <w:pPr>
              <w:widowControl w:val="0"/>
              <w:jc w:val="center"/>
            </w:pPr>
          </w:p>
        </w:tc>
        <w:tc>
          <w:tcPr>
            <w:tcW w:w="204" w:type="dxa"/>
            <w:tcBorders>
              <w:left w:val="nil"/>
            </w:tcBorders>
            <w:vAlign w:val="center"/>
          </w:tcPr>
          <w:p>
            <w:pPr>
              <w:widowControl w:val="0"/>
              <w:jc w:val="center"/>
            </w:pPr>
          </w:p>
        </w:tc>
      </w:tr>
      <w:tr>
        <w:trPr>
          <w:trHeight w:val="20"/>
        </w:trPr>
        <w:tc>
          <w:tcPr>
            <w:tcW w:w="995" w:type="dxa"/>
            <w:gridSpan w:val="4"/>
            <w:vAlign w:val="center"/>
          </w:tcPr>
          <w:p>
            <w:pPr>
              <w:widowControl w:val="0"/>
              <w:jc w:val="center"/>
            </w:pPr>
            <w:r>
              <w:t>1,5</w:t>
            </w:r>
          </w:p>
        </w:tc>
        <w:tc>
          <w:tcPr>
            <w:tcW w:w="1175" w:type="dxa"/>
            <w:vAlign w:val="center"/>
          </w:tcPr>
          <w:p>
            <w:pPr>
              <w:widowControl w:val="0"/>
              <w:jc w:val="center"/>
            </w:pPr>
            <w:r>
              <w:t>26</w:t>
            </w:r>
          </w:p>
        </w:tc>
        <w:tc>
          <w:tcPr>
            <w:tcW w:w="1181" w:type="dxa"/>
            <w:vAlign w:val="center"/>
          </w:tcPr>
          <w:p>
            <w:pPr>
              <w:widowControl w:val="0"/>
              <w:jc w:val="center"/>
            </w:pPr>
            <w:r>
              <w:t>23</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trHeight w:val="20"/>
        </w:trPr>
        <w:tc>
          <w:tcPr>
            <w:tcW w:w="995" w:type="dxa"/>
            <w:gridSpan w:val="4"/>
            <w:vAlign w:val="center"/>
          </w:tcPr>
          <w:p>
            <w:pPr>
              <w:widowControl w:val="0"/>
              <w:jc w:val="center"/>
            </w:pPr>
            <w:r>
              <w:t>2,5</w:t>
            </w:r>
          </w:p>
        </w:tc>
        <w:tc>
          <w:tcPr>
            <w:tcW w:w="1175" w:type="dxa"/>
            <w:vAlign w:val="center"/>
          </w:tcPr>
          <w:p>
            <w:pPr>
              <w:widowControl w:val="0"/>
              <w:jc w:val="center"/>
            </w:pPr>
            <w:r>
              <w:t>36</w:t>
            </w:r>
          </w:p>
        </w:tc>
        <w:tc>
          <w:tcPr>
            <w:tcW w:w="1181" w:type="dxa"/>
            <w:vAlign w:val="center"/>
          </w:tcPr>
          <w:p>
            <w:pPr>
              <w:widowControl w:val="0"/>
              <w:jc w:val="center"/>
            </w:pPr>
            <w:r>
              <w:t>32</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trHeight w:val="20"/>
        </w:trPr>
        <w:tc>
          <w:tcPr>
            <w:tcW w:w="995" w:type="dxa"/>
            <w:gridSpan w:val="4"/>
            <w:vAlign w:val="center"/>
          </w:tcPr>
          <w:p>
            <w:pPr>
              <w:widowControl w:val="0"/>
              <w:jc w:val="center"/>
            </w:pPr>
            <w:r>
              <w:t>4</w:t>
            </w:r>
          </w:p>
        </w:tc>
        <w:tc>
          <w:tcPr>
            <w:tcW w:w="1175" w:type="dxa"/>
            <w:vAlign w:val="center"/>
          </w:tcPr>
          <w:p>
            <w:pPr>
              <w:widowControl w:val="0"/>
              <w:jc w:val="center"/>
            </w:pPr>
            <w:r>
              <w:t>49</w:t>
            </w:r>
          </w:p>
        </w:tc>
        <w:tc>
          <w:tcPr>
            <w:tcW w:w="1181" w:type="dxa"/>
            <w:vAlign w:val="center"/>
          </w:tcPr>
          <w:p>
            <w:pPr>
              <w:widowControl w:val="0"/>
              <w:jc w:val="center"/>
            </w:pPr>
            <w:r>
              <w:t>42</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trHeight w:val="20"/>
        </w:trPr>
        <w:tc>
          <w:tcPr>
            <w:tcW w:w="995" w:type="dxa"/>
            <w:gridSpan w:val="4"/>
            <w:vAlign w:val="center"/>
          </w:tcPr>
          <w:p>
            <w:pPr>
              <w:widowControl w:val="0"/>
              <w:jc w:val="center"/>
            </w:pPr>
            <w:r>
              <w:t>6</w:t>
            </w:r>
          </w:p>
        </w:tc>
        <w:tc>
          <w:tcPr>
            <w:tcW w:w="1175" w:type="dxa"/>
            <w:vAlign w:val="center"/>
          </w:tcPr>
          <w:p>
            <w:pPr>
              <w:widowControl w:val="0"/>
              <w:jc w:val="center"/>
            </w:pPr>
            <w:r>
              <w:t>63</w:t>
            </w:r>
          </w:p>
        </w:tc>
        <w:tc>
          <w:tcPr>
            <w:tcW w:w="1181" w:type="dxa"/>
            <w:vAlign w:val="center"/>
          </w:tcPr>
          <w:p>
            <w:pPr>
              <w:widowControl w:val="0"/>
              <w:jc w:val="center"/>
            </w:pPr>
            <w:r>
              <w:t>54</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trHeight w:val="20"/>
        </w:trPr>
        <w:tc>
          <w:tcPr>
            <w:tcW w:w="995" w:type="dxa"/>
            <w:gridSpan w:val="4"/>
            <w:vAlign w:val="center"/>
          </w:tcPr>
          <w:p>
            <w:pPr>
              <w:widowControl w:val="0"/>
              <w:jc w:val="center"/>
            </w:pPr>
            <w:r>
              <w:t>10</w:t>
            </w:r>
          </w:p>
        </w:tc>
        <w:tc>
          <w:tcPr>
            <w:tcW w:w="1175" w:type="dxa"/>
            <w:vAlign w:val="center"/>
          </w:tcPr>
          <w:p>
            <w:pPr>
              <w:widowControl w:val="0"/>
              <w:jc w:val="center"/>
            </w:pPr>
            <w:r>
              <w:t>86</w:t>
            </w:r>
          </w:p>
        </w:tc>
        <w:tc>
          <w:tcPr>
            <w:tcW w:w="1181" w:type="dxa"/>
            <w:vAlign w:val="center"/>
          </w:tcPr>
          <w:p>
            <w:pPr>
              <w:widowControl w:val="0"/>
              <w:jc w:val="center"/>
            </w:pPr>
            <w:r>
              <w:t>75</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trHeight w:val="20"/>
        </w:trPr>
        <w:tc>
          <w:tcPr>
            <w:tcW w:w="995" w:type="dxa"/>
            <w:gridSpan w:val="4"/>
            <w:vAlign w:val="center"/>
          </w:tcPr>
          <w:p>
            <w:pPr>
              <w:widowControl w:val="0"/>
              <w:jc w:val="center"/>
            </w:pPr>
            <w:r>
              <w:t>16</w:t>
            </w:r>
          </w:p>
        </w:tc>
        <w:tc>
          <w:tcPr>
            <w:tcW w:w="1175" w:type="dxa"/>
            <w:vAlign w:val="center"/>
          </w:tcPr>
          <w:p>
            <w:pPr>
              <w:widowControl w:val="0"/>
              <w:jc w:val="center"/>
            </w:pPr>
            <w:r>
              <w:t>115</w:t>
            </w:r>
          </w:p>
        </w:tc>
        <w:tc>
          <w:tcPr>
            <w:tcW w:w="1181" w:type="dxa"/>
            <w:vAlign w:val="center"/>
          </w:tcPr>
          <w:p>
            <w:pPr>
              <w:widowControl w:val="0"/>
              <w:jc w:val="center"/>
            </w:pPr>
            <w:r>
              <w:t>100</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trHeight w:val="20"/>
        </w:trPr>
        <w:tc>
          <w:tcPr>
            <w:tcW w:w="995" w:type="dxa"/>
            <w:gridSpan w:val="4"/>
            <w:vAlign w:val="center"/>
          </w:tcPr>
          <w:p>
            <w:pPr>
              <w:widowControl w:val="0"/>
              <w:jc w:val="center"/>
            </w:pPr>
            <w:r>
              <w:t>25</w:t>
            </w:r>
          </w:p>
        </w:tc>
        <w:tc>
          <w:tcPr>
            <w:tcW w:w="1175" w:type="dxa"/>
            <w:vAlign w:val="center"/>
          </w:tcPr>
          <w:p>
            <w:pPr>
              <w:widowControl w:val="0"/>
              <w:jc w:val="center"/>
            </w:pPr>
            <w:r>
              <w:t>149</w:t>
            </w:r>
          </w:p>
        </w:tc>
        <w:tc>
          <w:tcPr>
            <w:tcW w:w="1181" w:type="dxa"/>
            <w:vAlign w:val="center"/>
          </w:tcPr>
          <w:p>
            <w:pPr>
              <w:widowControl w:val="0"/>
              <w:jc w:val="center"/>
            </w:pPr>
            <w:r>
              <w:t>127</w:t>
            </w:r>
          </w:p>
        </w:tc>
        <w:tc>
          <w:tcPr>
            <w:tcW w:w="984" w:type="dxa"/>
            <w:vAlign w:val="center"/>
          </w:tcPr>
          <w:p>
            <w:pPr>
              <w:widowControl w:val="0"/>
              <w:jc w:val="center"/>
            </w:pPr>
            <w:r>
              <w:t>161</w:t>
            </w:r>
          </w:p>
        </w:tc>
        <w:tc>
          <w:tcPr>
            <w:tcW w:w="1180" w:type="dxa"/>
            <w:vAlign w:val="center"/>
          </w:tcPr>
          <w:p>
            <w:pPr>
              <w:widowControl w:val="0"/>
              <w:jc w:val="center"/>
            </w:pPr>
            <w:r>
              <w:t>135</w:t>
            </w:r>
          </w:p>
        </w:tc>
        <w:tc>
          <w:tcPr>
            <w:tcW w:w="1189" w:type="dxa"/>
            <w:vAlign w:val="center"/>
          </w:tcPr>
          <w:p>
            <w:pPr>
              <w:widowControl w:val="0"/>
              <w:jc w:val="center"/>
            </w:pPr>
            <w:r>
              <w:t>141</w:t>
            </w:r>
          </w:p>
        </w:tc>
        <w:tc>
          <w:tcPr>
            <w:tcW w:w="1189" w:type="dxa"/>
            <w:vAlign w:val="center"/>
          </w:tcPr>
          <w:p>
            <w:pPr>
              <w:widowControl w:val="0"/>
              <w:jc w:val="center"/>
            </w:pPr>
            <w:r>
              <w:t>182</w:t>
            </w:r>
          </w:p>
        </w:tc>
        <w:tc>
          <w:tcPr>
            <w:tcW w:w="1177" w:type="dxa"/>
            <w:gridSpan w:val="5"/>
            <w:vAlign w:val="center"/>
          </w:tcPr>
          <w:p>
            <w:pPr>
              <w:widowControl w:val="0"/>
              <w:jc w:val="center"/>
            </w:pPr>
            <w:r>
              <w:t>161</w:t>
            </w:r>
          </w:p>
        </w:tc>
      </w:tr>
      <w:tr>
        <w:trPr>
          <w:trHeight w:val="20"/>
        </w:trPr>
        <w:tc>
          <w:tcPr>
            <w:tcW w:w="995" w:type="dxa"/>
            <w:gridSpan w:val="4"/>
            <w:vAlign w:val="center"/>
          </w:tcPr>
          <w:p>
            <w:pPr>
              <w:widowControl w:val="0"/>
              <w:jc w:val="center"/>
            </w:pPr>
            <w:r>
              <w:t>35</w:t>
            </w:r>
          </w:p>
        </w:tc>
        <w:tc>
          <w:tcPr>
            <w:tcW w:w="1175" w:type="dxa"/>
            <w:vAlign w:val="center"/>
          </w:tcPr>
          <w:p>
            <w:pPr>
              <w:widowControl w:val="0"/>
              <w:jc w:val="center"/>
            </w:pPr>
            <w:r>
              <w:t>185</w:t>
            </w:r>
          </w:p>
        </w:tc>
        <w:tc>
          <w:tcPr>
            <w:tcW w:w="1181" w:type="dxa"/>
            <w:vAlign w:val="center"/>
          </w:tcPr>
          <w:p>
            <w:pPr>
              <w:widowControl w:val="0"/>
              <w:jc w:val="center"/>
            </w:pPr>
            <w:r>
              <w:t>158</w:t>
            </w:r>
          </w:p>
        </w:tc>
        <w:tc>
          <w:tcPr>
            <w:tcW w:w="984" w:type="dxa"/>
            <w:vAlign w:val="center"/>
          </w:tcPr>
          <w:p>
            <w:pPr>
              <w:widowControl w:val="0"/>
              <w:jc w:val="center"/>
            </w:pPr>
            <w:r>
              <w:t>200</w:t>
            </w:r>
          </w:p>
        </w:tc>
        <w:tc>
          <w:tcPr>
            <w:tcW w:w="1180" w:type="dxa"/>
            <w:vAlign w:val="center"/>
          </w:tcPr>
          <w:p>
            <w:pPr>
              <w:widowControl w:val="0"/>
              <w:jc w:val="center"/>
            </w:pPr>
            <w:r>
              <w:t>169</w:t>
            </w:r>
          </w:p>
        </w:tc>
        <w:tc>
          <w:tcPr>
            <w:tcW w:w="1189" w:type="dxa"/>
            <w:vAlign w:val="center"/>
          </w:tcPr>
          <w:p>
            <w:pPr>
              <w:widowControl w:val="0"/>
              <w:jc w:val="center"/>
            </w:pPr>
            <w:r>
              <w:t>176</w:t>
            </w:r>
          </w:p>
        </w:tc>
        <w:tc>
          <w:tcPr>
            <w:tcW w:w="1189" w:type="dxa"/>
            <w:vAlign w:val="center"/>
          </w:tcPr>
          <w:p>
            <w:pPr>
              <w:widowControl w:val="0"/>
              <w:jc w:val="center"/>
            </w:pPr>
            <w:r>
              <w:t>226</w:t>
            </w:r>
          </w:p>
        </w:tc>
        <w:tc>
          <w:tcPr>
            <w:tcW w:w="1177" w:type="dxa"/>
            <w:gridSpan w:val="5"/>
            <w:vAlign w:val="center"/>
          </w:tcPr>
          <w:p>
            <w:pPr>
              <w:widowControl w:val="0"/>
              <w:jc w:val="center"/>
            </w:pPr>
            <w:r>
              <w:t>201</w:t>
            </w:r>
          </w:p>
        </w:tc>
      </w:tr>
      <w:tr>
        <w:trPr>
          <w:trHeight w:val="20"/>
        </w:trPr>
        <w:tc>
          <w:tcPr>
            <w:tcW w:w="995" w:type="dxa"/>
            <w:gridSpan w:val="4"/>
            <w:vAlign w:val="center"/>
          </w:tcPr>
          <w:p>
            <w:pPr>
              <w:widowControl w:val="0"/>
              <w:jc w:val="center"/>
            </w:pPr>
            <w:r>
              <w:t>50</w:t>
            </w:r>
          </w:p>
        </w:tc>
        <w:tc>
          <w:tcPr>
            <w:tcW w:w="1175" w:type="dxa"/>
            <w:vAlign w:val="center"/>
          </w:tcPr>
          <w:p>
            <w:pPr>
              <w:widowControl w:val="0"/>
              <w:jc w:val="center"/>
            </w:pPr>
            <w:r>
              <w:t>225</w:t>
            </w:r>
          </w:p>
        </w:tc>
        <w:tc>
          <w:tcPr>
            <w:tcW w:w="1181" w:type="dxa"/>
            <w:vAlign w:val="center"/>
          </w:tcPr>
          <w:p>
            <w:pPr>
              <w:widowControl w:val="0"/>
              <w:jc w:val="center"/>
            </w:pPr>
            <w:r>
              <w:t>192</w:t>
            </w:r>
          </w:p>
        </w:tc>
        <w:tc>
          <w:tcPr>
            <w:tcW w:w="984" w:type="dxa"/>
            <w:vAlign w:val="center"/>
          </w:tcPr>
          <w:p>
            <w:pPr>
              <w:widowControl w:val="0"/>
              <w:jc w:val="center"/>
            </w:pPr>
            <w:r>
              <w:t>242</w:t>
            </w:r>
          </w:p>
        </w:tc>
        <w:tc>
          <w:tcPr>
            <w:tcW w:w="1180" w:type="dxa"/>
            <w:vAlign w:val="center"/>
          </w:tcPr>
          <w:p>
            <w:pPr>
              <w:widowControl w:val="0"/>
              <w:jc w:val="center"/>
            </w:pPr>
            <w:r>
              <w:t>207</w:t>
            </w:r>
          </w:p>
        </w:tc>
        <w:tc>
          <w:tcPr>
            <w:tcW w:w="1189" w:type="dxa"/>
            <w:vAlign w:val="center"/>
          </w:tcPr>
          <w:p>
            <w:pPr>
              <w:widowControl w:val="0"/>
              <w:jc w:val="center"/>
            </w:pPr>
            <w:r>
              <w:t>216</w:t>
            </w:r>
          </w:p>
        </w:tc>
        <w:tc>
          <w:tcPr>
            <w:tcW w:w="1189" w:type="dxa"/>
            <w:vAlign w:val="center"/>
          </w:tcPr>
          <w:p>
            <w:pPr>
              <w:widowControl w:val="0"/>
              <w:jc w:val="center"/>
            </w:pPr>
            <w:r>
              <w:t>275</w:t>
            </w:r>
          </w:p>
        </w:tc>
        <w:tc>
          <w:tcPr>
            <w:tcW w:w="1177" w:type="dxa"/>
            <w:gridSpan w:val="5"/>
            <w:vAlign w:val="center"/>
          </w:tcPr>
          <w:p>
            <w:pPr>
              <w:widowControl w:val="0"/>
              <w:jc w:val="center"/>
            </w:pPr>
            <w:r>
              <w:t>246</w:t>
            </w:r>
          </w:p>
        </w:tc>
      </w:tr>
      <w:tr>
        <w:trPr>
          <w:trHeight w:val="20"/>
        </w:trPr>
        <w:tc>
          <w:tcPr>
            <w:tcW w:w="995" w:type="dxa"/>
            <w:gridSpan w:val="4"/>
            <w:vAlign w:val="center"/>
          </w:tcPr>
          <w:p>
            <w:pPr>
              <w:widowControl w:val="0"/>
              <w:jc w:val="center"/>
            </w:pPr>
            <w:r>
              <w:t>70</w:t>
            </w:r>
          </w:p>
        </w:tc>
        <w:tc>
          <w:tcPr>
            <w:tcW w:w="1175" w:type="dxa"/>
            <w:vAlign w:val="center"/>
          </w:tcPr>
          <w:p>
            <w:pPr>
              <w:widowControl w:val="0"/>
              <w:jc w:val="center"/>
            </w:pPr>
            <w:r>
              <w:t>289</w:t>
            </w:r>
          </w:p>
        </w:tc>
        <w:tc>
          <w:tcPr>
            <w:tcW w:w="1181" w:type="dxa"/>
            <w:vAlign w:val="center"/>
          </w:tcPr>
          <w:p>
            <w:pPr>
              <w:widowControl w:val="0"/>
              <w:jc w:val="center"/>
            </w:pPr>
            <w:r>
              <w:t>246</w:t>
            </w:r>
          </w:p>
        </w:tc>
        <w:tc>
          <w:tcPr>
            <w:tcW w:w="984" w:type="dxa"/>
            <w:vAlign w:val="center"/>
          </w:tcPr>
          <w:p>
            <w:pPr>
              <w:widowControl w:val="0"/>
              <w:jc w:val="center"/>
            </w:pPr>
            <w:r>
              <w:t>310</w:t>
            </w:r>
          </w:p>
        </w:tc>
        <w:tc>
          <w:tcPr>
            <w:tcW w:w="1180" w:type="dxa"/>
            <w:vAlign w:val="center"/>
          </w:tcPr>
          <w:p>
            <w:pPr>
              <w:widowControl w:val="0"/>
              <w:jc w:val="center"/>
            </w:pPr>
            <w:r>
              <w:t>268</w:t>
            </w:r>
          </w:p>
        </w:tc>
        <w:tc>
          <w:tcPr>
            <w:tcW w:w="1189" w:type="dxa"/>
            <w:vAlign w:val="center"/>
          </w:tcPr>
          <w:p>
            <w:pPr>
              <w:widowControl w:val="0"/>
              <w:jc w:val="center"/>
            </w:pPr>
            <w:r>
              <w:t>279</w:t>
            </w:r>
          </w:p>
        </w:tc>
        <w:tc>
          <w:tcPr>
            <w:tcW w:w="1189" w:type="dxa"/>
            <w:vAlign w:val="center"/>
          </w:tcPr>
          <w:p>
            <w:pPr>
              <w:widowControl w:val="0"/>
              <w:jc w:val="center"/>
            </w:pPr>
            <w:r>
              <w:t>353</w:t>
            </w:r>
          </w:p>
        </w:tc>
        <w:tc>
          <w:tcPr>
            <w:tcW w:w="1177" w:type="dxa"/>
            <w:gridSpan w:val="5"/>
            <w:vAlign w:val="center"/>
          </w:tcPr>
          <w:p>
            <w:pPr>
              <w:widowControl w:val="0"/>
              <w:jc w:val="center"/>
            </w:pPr>
            <w:r>
              <w:t>318</w:t>
            </w:r>
          </w:p>
        </w:tc>
      </w:tr>
      <w:tr>
        <w:trPr>
          <w:trHeight w:val="20"/>
        </w:trPr>
        <w:tc>
          <w:tcPr>
            <w:tcW w:w="995" w:type="dxa"/>
            <w:gridSpan w:val="4"/>
            <w:vAlign w:val="center"/>
          </w:tcPr>
          <w:p>
            <w:pPr>
              <w:widowControl w:val="0"/>
              <w:jc w:val="center"/>
            </w:pPr>
            <w:r>
              <w:t>95</w:t>
            </w:r>
          </w:p>
        </w:tc>
        <w:tc>
          <w:tcPr>
            <w:tcW w:w="1175" w:type="dxa"/>
            <w:vAlign w:val="center"/>
          </w:tcPr>
          <w:p>
            <w:pPr>
              <w:widowControl w:val="0"/>
              <w:jc w:val="center"/>
            </w:pPr>
            <w:r>
              <w:t>352</w:t>
            </w:r>
          </w:p>
        </w:tc>
        <w:tc>
          <w:tcPr>
            <w:tcW w:w="1181" w:type="dxa"/>
            <w:vAlign w:val="center"/>
          </w:tcPr>
          <w:p>
            <w:pPr>
              <w:widowControl w:val="0"/>
              <w:jc w:val="center"/>
            </w:pPr>
            <w:r>
              <w:t>298</w:t>
            </w:r>
          </w:p>
        </w:tc>
        <w:tc>
          <w:tcPr>
            <w:tcW w:w="984" w:type="dxa"/>
            <w:vAlign w:val="center"/>
          </w:tcPr>
          <w:p>
            <w:pPr>
              <w:widowControl w:val="0"/>
              <w:jc w:val="center"/>
            </w:pPr>
            <w:r>
              <w:t>377</w:t>
            </w:r>
          </w:p>
        </w:tc>
        <w:tc>
          <w:tcPr>
            <w:tcW w:w="1180" w:type="dxa"/>
            <w:vAlign w:val="center"/>
          </w:tcPr>
          <w:p>
            <w:pPr>
              <w:widowControl w:val="0"/>
              <w:jc w:val="center"/>
            </w:pPr>
            <w:r>
              <w:t>328</w:t>
            </w:r>
          </w:p>
        </w:tc>
        <w:tc>
          <w:tcPr>
            <w:tcW w:w="1189" w:type="dxa"/>
            <w:vAlign w:val="center"/>
          </w:tcPr>
          <w:p>
            <w:pPr>
              <w:widowControl w:val="0"/>
              <w:jc w:val="center"/>
            </w:pPr>
            <w:r>
              <w:t>342</w:t>
            </w:r>
          </w:p>
        </w:tc>
        <w:tc>
          <w:tcPr>
            <w:tcW w:w="1189" w:type="dxa"/>
            <w:vAlign w:val="center"/>
          </w:tcPr>
          <w:p>
            <w:pPr>
              <w:widowControl w:val="0"/>
              <w:jc w:val="center"/>
            </w:pPr>
            <w:r>
              <w:t>430</w:t>
            </w:r>
          </w:p>
        </w:tc>
        <w:tc>
          <w:tcPr>
            <w:tcW w:w="1177" w:type="dxa"/>
            <w:gridSpan w:val="5"/>
            <w:vAlign w:val="center"/>
          </w:tcPr>
          <w:p>
            <w:pPr>
              <w:widowControl w:val="0"/>
              <w:jc w:val="center"/>
            </w:pPr>
            <w:r>
              <w:t>389</w:t>
            </w:r>
          </w:p>
        </w:tc>
      </w:tr>
      <w:tr>
        <w:trPr>
          <w:trHeight w:val="20"/>
        </w:trPr>
        <w:tc>
          <w:tcPr>
            <w:tcW w:w="995" w:type="dxa"/>
            <w:gridSpan w:val="4"/>
            <w:vAlign w:val="center"/>
          </w:tcPr>
          <w:p>
            <w:pPr>
              <w:widowControl w:val="0"/>
              <w:jc w:val="center"/>
            </w:pPr>
            <w:r>
              <w:t>120</w:t>
            </w:r>
          </w:p>
        </w:tc>
        <w:tc>
          <w:tcPr>
            <w:tcW w:w="1175" w:type="dxa"/>
            <w:vAlign w:val="center"/>
          </w:tcPr>
          <w:p>
            <w:pPr>
              <w:widowControl w:val="0"/>
              <w:jc w:val="center"/>
            </w:pPr>
            <w:r>
              <w:t>410</w:t>
            </w:r>
          </w:p>
        </w:tc>
        <w:tc>
          <w:tcPr>
            <w:tcW w:w="1181" w:type="dxa"/>
            <w:vAlign w:val="center"/>
          </w:tcPr>
          <w:p>
            <w:pPr>
              <w:widowControl w:val="0"/>
              <w:jc w:val="center"/>
            </w:pPr>
            <w:r>
              <w:t>346</w:t>
            </w:r>
          </w:p>
        </w:tc>
        <w:tc>
          <w:tcPr>
            <w:tcW w:w="984" w:type="dxa"/>
            <w:vAlign w:val="center"/>
          </w:tcPr>
          <w:p>
            <w:pPr>
              <w:widowControl w:val="0"/>
              <w:jc w:val="center"/>
            </w:pPr>
            <w:r>
              <w:t>437</w:t>
            </w:r>
          </w:p>
        </w:tc>
        <w:tc>
          <w:tcPr>
            <w:tcW w:w="1180" w:type="dxa"/>
            <w:vAlign w:val="center"/>
          </w:tcPr>
          <w:p>
            <w:pPr>
              <w:widowControl w:val="0"/>
              <w:jc w:val="center"/>
            </w:pPr>
            <w:r>
              <w:t>383</w:t>
            </w:r>
          </w:p>
        </w:tc>
        <w:tc>
          <w:tcPr>
            <w:tcW w:w="1189" w:type="dxa"/>
            <w:vAlign w:val="center"/>
          </w:tcPr>
          <w:p>
            <w:pPr>
              <w:widowControl w:val="0"/>
              <w:jc w:val="center"/>
            </w:pPr>
            <w:r>
              <w:t>400</w:t>
            </w:r>
          </w:p>
        </w:tc>
        <w:tc>
          <w:tcPr>
            <w:tcW w:w="1189" w:type="dxa"/>
            <w:vAlign w:val="center"/>
          </w:tcPr>
          <w:p>
            <w:pPr>
              <w:widowControl w:val="0"/>
              <w:jc w:val="center"/>
            </w:pPr>
            <w:r>
              <w:t>500</w:t>
            </w:r>
          </w:p>
        </w:tc>
        <w:tc>
          <w:tcPr>
            <w:tcW w:w="1177" w:type="dxa"/>
            <w:gridSpan w:val="5"/>
            <w:vAlign w:val="center"/>
          </w:tcPr>
          <w:p>
            <w:pPr>
              <w:widowControl w:val="0"/>
              <w:jc w:val="center"/>
            </w:pPr>
            <w:r>
              <w:t>454</w:t>
            </w:r>
          </w:p>
        </w:tc>
      </w:tr>
      <w:tr>
        <w:trPr>
          <w:trHeight w:val="20"/>
        </w:trPr>
        <w:tc>
          <w:tcPr>
            <w:tcW w:w="995" w:type="dxa"/>
            <w:gridSpan w:val="4"/>
            <w:vAlign w:val="center"/>
          </w:tcPr>
          <w:p>
            <w:pPr>
              <w:widowControl w:val="0"/>
              <w:jc w:val="center"/>
            </w:pPr>
            <w:r>
              <w:t>150</w:t>
            </w:r>
          </w:p>
        </w:tc>
        <w:tc>
          <w:tcPr>
            <w:tcW w:w="1175" w:type="dxa"/>
            <w:vAlign w:val="center"/>
          </w:tcPr>
          <w:p>
            <w:pPr>
              <w:widowControl w:val="0"/>
              <w:jc w:val="center"/>
            </w:pPr>
            <w:r>
              <w:t>473</w:t>
            </w:r>
          </w:p>
        </w:tc>
        <w:tc>
          <w:tcPr>
            <w:tcW w:w="1181" w:type="dxa"/>
            <w:vAlign w:val="center"/>
          </w:tcPr>
          <w:p>
            <w:pPr>
              <w:widowControl w:val="0"/>
              <w:jc w:val="center"/>
            </w:pPr>
            <w:r>
              <w:t>399</w:t>
            </w:r>
          </w:p>
        </w:tc>
        <w:tc>
          <w:tcPr>
            <w:tcW w:w="984" w:type="dxa"/>
            <w:vAlign w:val="center"/>
          </w:tcPr>
          <w:p>
            <w:pPr>
              <w:widowControl w:val="0"/>
              <w:jc w:val="center"/>
            </w:pPr>
            <w:r>
              <w:t>504</w:t>
            </w:r>
          </w:p>
        </w:tc>
        <w:tc>
          <w:tcPr>
            <w:tcW w:w="1180" w:type="dxa"/>
            <w:vAlign w:val="center"/>
          </w:tcPr>
          <w:p>
            <w:pPr>
              <w:widowControl w:val="0"/>
              <w:jc w:val="center"/>
            </w:pPr>
            <w:r>
              <w:t>444</w:t>
            </w:r>
          </w:p>
        </w:tc>
        <w:tc>
          <w:tcPr>
            <w:tcW w:w="1189" w:type="dxa"/>
            <w:vAlign w:val="center"/>
          </w:tcPr>
          <w:p>
            <w:pPr>
              <w:widowControl w:val="0"/>
              <w:jc w:val="center"/>
            </w:pPr>
            <w:r>
              <w:t>464</w:t>
            </w:r>
          </w:p>
        </w:tc>
        <w:tc>
          <w:tcPr>
            <w:tcW w:w="1189" w:type="dxa"/>
            <w:vAlign w:val="center"/>
          </w:tcPr>
          <w:p>
            <w:pPr>
              <w:widowControl w:val="0"/>
              <w:jc w:val="center"/>
            </w:pPr>
            <w:r>
              <w:t>577</w:t>
            </w:r>
          </w:p>
        </w:tc>
        <w:tc>
          <w:tcPr>
            <w:tcW w:w="1177" w:type="dxa"/>
            <w:gridSpan w:val="5"/>
            <w:vAlign w:val="center"/>
          </w:tcPr>
          <w:p>
            <w:pPr>
              <w:widowControl w:val="0"/>
              <w:jc w:val="center"/>
            </w:pPr>
            <w:r>
              <w:t>527</w:t>
            </w:r>
          </w:p>
        </w:tc>
      </w:tr>
      <w:tr>
        <w:trPr>
          <w:trHeight w:val="20"/>
        </w:trPr>
        <w:tc>
          <w:tcPr>
            <w:tcW w:w="995" w:type="dxa"/>
            <w:gridSpan w:val="4"/>
            <w:vAlign w:val="center"/>
          </w:tcPr>
          <w:p>
            <w:pPr>
              <w:widowControl w:val="0"/>
              <w:jc w:val="center"/>
            </w:pPr>
            <w:r>
              <w:t>185</w:t>
            </w:r>
          </w:p>
        </w:tc>
        <w:tc>
          <w:tcPr>
            <w:tcW w:w="1175" w:type="dxa"/>
            <w:vAlign w:val="center"/>
          </w:tcPr>
          <w:p>
            <w:pPr>
              <w:widowControl w:val="0"/>
              <w:jc w:val="center"/>
            </w:pPr>
            <w:r>
              <w:t>542</w:t>
            </w:r>
          </w:p>
        </w:tc>
        <w:tc>
          <w:tcPr>
            <w:tcW w:w="1181" w:type="dxa"/>
            <w:vAlign w:val="center"/>
          </w:tcPr>
          <w:p>
            <w:pPr>
              <w:widowControl w:val="0"/>
              <w:jc w:val="center"/>
            </w:pPr>
            <w:r>
              <w:t>456</w:t>
            </w:r>
          </w:p>
        </w:tc>
        <w:tc>
          <w:tcPr>
            <w:tcW w:w="984" w:type="dxa"/>
            <w:vAlign w:val="center"/>
          </w:tcPr>
          <w:p>
            <w:pPr>
              <w:widowControl w:val="0"/>
              <w:jc w:val="center"/>
            </w:pPr>
            <w:r>
              <w:t>575</w:t>
            </w:r>
          </w:p>
        </w:tc>
        <w:tc>
          <w:tcPr>
            <w:tcW w:w="1180" w:type="dxa"/>
            <w:vAlign w:val="center"/>
          </w:tcPr>
          <w:p>
            <w:pPr>
              <w:widowControl w:val="0"/>
              <w:jc w:val="center"/>
            </w:pPr>
            <w:r>
              <w:t>510</w:t>
            </w:r>
          </w:p>
        </w:tc>
        <w:tc>
          <w:tcPr>
            <w:tcW w:w="1189" w:type="dxa"/>
            <w:vAlign w:val="center"/>
          </w:tcPr>
          <w:p>
            <w:pPr>
              <w:widowControl w:val="0"/>
              <w:jc w:val="center"/>
            </w:pPr>
            <w:r>
              <w:t>533</w:t>
            </w:r>
          </w:p>
        </w:tc>
        <w:tc>
          <w:tcPr>
            <w:tcW w:w="1189" w:type="dxa"/>
            <w:vAlign w:val="center"/>
          </w:tcPr>
          <w:p>
            <w:pPr>
              <w:widowControl w:val="0"/>
              <w:jc w:val="center"/>
            </w:pPr>
            <w:r>
              <w:t>661</w:t>
            </w:r>
          </w:p>
        </w:tc>
        <w:tc>
          <w:tcPr>
            <w:tcW w:w="1177" w:type="dxa"/>
            <w:gridSpan w:val="5"/>
            <w:vAlign w:val="center"/>
          </w:tcPr>
          <w:p>
            <w:pPr>
              <w:widowControl w:val="0"/>
              <w:jc w:val="center"/>
            </w:pPr>
            <w:r>
              <w:t>605</w:t>
            </w:r>
          </w:p>
        </w:tc>
      </w:tr>
      <w:tr>
        <w:trPr>
          <w:trHeight w:val="20"/>
        </w:trPr>
        <w:tc>
          <w:tcPr>
            <w:tcW w:w="995" w:type="dxa"/>
            <w:gridSpan w:val="4"/>
            <w:vAlign w:val="center"/>
          </w:tcPr>
          <w:p>
            <w:pPr>
              <w:widowControl w:val="0"/>
              <w:jc w:val="center"/>
            </w:pPr>
            <w:r>
              <w:t>240</w:t>
            </w:r>
          </w:p>
        </w:tc>
        <w:tc>
          <w:tcPr>
            <w:tcW w:w="1175" w:type="dxa"/>
            <w:vAlign w:val="center"/>
          </w:tcPr>
          <w:p>
            <w:pPr>
              <w:widowControl w:val="0"/>
              <w:jc w:val="center"/>
            </w:pPr>
            <w:r>
              <w:t>641</w:t>
            </w:r>
          </w:p>
        </w:tc>
        <w:tc>
          <w:tcPr>
            <w:tcW w:w="1181" w:type="dxa"/>
            <w:vAlign w:val="center"/>
          </w:tcPr>
          <w:p>
            <w:pPr>
              <w:widowControl w:val="0"/>
              <w:jc w:val="center"/>
            </w:pPr>
            <w:r>
              <w:t>538</w:t>
            </w:r>
          </w:p>
        </w:tc>
        <w:tc>
          <w:tcPr>
            <w:tcW w:w="984" w:type="dxa"/>
            <w:vAlign w:val="center"/>
          </w:tcPr>
          <w:p>
            <w:pPr>
              <w:widowControl w:val="0"/>
              <w:jc w:val="center"/>
            </w:pPr>
            <w:r>
              <w:t>679</w:t>
            </w:r>
          </w:p>
        </w:tc>
        <w:tc>
          <w:tcPr>
            <w:tcW w:w="1180" w:type="dxa"/>
            <w:vAlign w:val="center"/>
          </w:tcPr>
          <w:p>
            <w:pPr>
              <w:widowControl w:val="0"/>
              <w:jc w:val="center"/>
            </w:pPr>
            <w:r>
              <w:t>607</w:t>
            </w:r>
          </w:p>
        </w:tc>
        <w:tc>
          <w:tcPr>
            <w:tcW w:w="1189" w:type="dxa"/>
            <w:vAlign w:val="center"/>
          </w:tcPr>
          <w:p>
            <w:pPr>
              <w:widowControl w:val="0"/>
              <w:jc w:val="center"/>
            </w:pPr>
            <w:r>
              <w:t>634</w:t>
            </w:r>
          </w:p>
        </w:tc>
        <w:tc>
          <w:tcPr>
            <w:tcW w:w="1189" w:type="dxa"/>
            <w:vAlign w:val="center"/>
          </w:tcPr>
          <w:p>
            <w:pPr>
              <w:widowControl w:val="0"/>
              <w:jc w:val="center"/>
            </w:pPr>
            <w:r>
              <w:t>781</w:t>
            </w:r>
          </w:p>
        </w:tc>
        <w:tc>
          <w:tcPr>
            <w:tcW w:w="1177" w:type="dxa"/>
            <w:gridSpan w:val="5"/>
            <w:vAlign w:val="center"/>
          </w:tcPr>
          <w:p>
            <w:pPr>
              <w:widowControl w:val="0"/>
              <w:jc w:val="center"/>
            </w:pPr>
            <w:r>
              <w:t>719</w:t>
            </w:r>
          </w:p>
        </w:tc>
      </w:tr>
      <w:tr>
        <w:trPr>
          <w:trHeight w:val="20"/>
        </w:trPr>
        <w:tc>
          <w:tcPr>
            <w:tcW w:w="995" w:type="dxa"/>
            <w:gridSpan w:val="4"/>
            <w:vAlign w:val="center"/>
          </w:tcPr>
          <w:p>
            <w:pPr>
              <w:widowControl w:val="0"/>
              <w:jc w:val="center"/>
            </w:pPr>
            <w:r>
              <w:t>300</w:t>
            </w:r>
          </w:p>
        </w:tc>
        <w:tc>
          <w:tcPr>
            <w:tcW w:w="1175" w:type="dxa"/>
            <w:vAlign w:val="center"/>
          </w:tcPr>
          <w:p>
            <w:pPr>
              <w:widowControl w:val="0"/>
              <w:jc w:val="center"/>
            </w:pPr>
            <w:r>
              <w:t>741</w:t>
            </w:r>
          </w:p>
        </w:tc>
        <w:tc>
          <w:tcPr>
            <w:tcW w:w="1181" w:type="dxa"/>
            <w:vAlign w:val="center"/>
          </w:tcPr>
          <w:p>
            <w:pPr>
              <w:widowControl w:val="0"/>
              <w:jc w:val="center"/>
            </w:pPr>
            <w:r>
              <w:t>621</w:t>
            </w:r>
          </w:p>
        </w:tc>
        <w:tc>
          <w:tcPr>
            <w:tcW w:w="984" w:type="dxa"/>
            <w:vAlign w:val="center"/>
          </w:tcPr>
          <w:p>
            <w:pPr>
              <w:widowControl w:val="0"/>
              <w:jc w:val="center"/>
            </w:pPr>
            <w:r>
              <w:t>783</w:t>
            </w:r>
          </w:p>
        </w:tc>
        <w:tc>
          <w:tcPr>
            <w:tcW w:w="1180" w:type="dxa"/>
            <w:vAlign w:val="center"/>
          </w:tcPr>
          <w:p>
            <w:pPr>
              <w:widowControl w:val="0"/>
              <w:jc w:val="center"/>
            </w:pPr>
            <w:r>
              <w:t>703</w:t>
            </w:r>
          </w:p>
        </w:tc>
        <w:tc>
          <w:tcPr>
            <w:tcW w:w="1189" w:type="dxa"/>
            <w:vAlign w:val="center"/>
          </w:tcPr>
          <w:p>
            <w:pPr>
              <w:widowControl w:val="0"/>
              <w:jc w:val="center"/>
            </w:pPr>
            <w:r>
              <w:t>736</w:t>
            </w:r>
          </w:p>
        </w:tc>
        <w:tc>
          <w:tcPr>
            <w:tcW w:w="1189" w:type="dxa"/>
            <w:vAlign w:val="center"/>
          </w:tcPr>
          <w:p>
            <w:pPr>
              <w:widowControl w:val="0"/>
              <w:jc w:val="center"/>
            </w:pPr>
            <w:r>
              <w:t>902</w:t>
            </w:r>
          </w:p>
        </w:tc>
        <w:tc>
          <w:tcPr>
            <w:tcW w:w="1177" w:type="dxa"/>
            <w:gridSpan w:val="5"/>
            <w:vAlign w:val="center"/>
          </w:tcPr>
          <w:p>
            <w:pPr>
              <w:widowControl w:val="0"/>
              <w:jc w:val="center"/>
            </w:pPr>
            <w:r>
              <w:t>833</w:t>
            </w:r>
          </w:p>
        </w:tc>
      </w:tr>
      <w:tr>
        <w:trPr>
          <w:trHeight w:val="20"/>
        </w:trPr>
        <w:tc>
          <w:tcPr>
            <w:tcW w:w="995" w:type="dxa"/>
            <w:gridSpan w:val="4"/>
            <w:vAlign w:val="center"/>
          </w:tcPr>
          <w:p>
            <w:pPr>
              <w:widowControl w:val="0"/>
              <w:jc w:val="center"/>
            </w:pPr>
            <w:r>
              <w:t>400</w:t>
            </w:r>
          </w:p>
        </w:tc>
        <w:tc>
          <w:tcPr>
            <w:tcW w:w="1175" w:type="dxa"/>
            <w:vAlign w:val="center"/>
          </w:tcPr>
          <w:p>
            <w:pPr>
              <w:widowControl w:val="0"/>
              <w:jc w:val="center"/>
            </w:pPr>
            <w:r>
              <w:t>–</w:t>
            </w:r>
          </w:p>
        </w:tc>
        <w:tc>
          <w:tcPr>
            <w:tcW w:w="1181" w:type="dxa"/>
            <w:vAlign w:val="center"/>
          </w:tcPr>
          <w:p>
            <w:pPr>
              <w:widowControl w:val="0"/>
              <w:jc w:val="center"/>
            </w:pPr>
            <w:r>
              <w:t>–</w:t>
            </w:r>
          </w:p>
        </w:tc>
        <w:tc>
          <w:tcPr>
            <w:tcW w:w="984" w:type="dxa"/>
            <w:vAlign w:val="center"/>
          </w:tcPr>
          <w:p>
            <w:pPr>
              <w:widowControl w:val="0"/>
              <w:jc w:val="center"/>
            </w:pPr>
            <w:r>
              <w:t>940</w:t>
            </w:r>
          </w:p>
        </w:tc>
        <w:tc>
          <w:tcPr>
            <w:tcW w:w="1180" w:type="dxa"/>
            <w:vAlign w:val="center"/>
          </w:tcPr>
          <w:p>
            <w:pPr>
              <w:widowControl w:val="0"/>
              <w:jc w:val="center"/>
            </w:pPr>
            <w:r>
              <w:t>823</w:t>
            </w:r>
          </w:p>
        </w:tc>
        <w:tc>
          <w:tcPr>
            <w:tcW w:w="1189" w:type="dxa"/>
            <w:vAlign w:val="center"/>
          </w:tcPr>
          <w:p>
            <w:pPr>
              <w:widowControl w:val="0"/>
              <w:jc w:val="center"/>
            </w:pPr>
            <w:r>
              <w:t>868</w:t>
            </w:r>
          </w:p>
        </w:tc>
        <w:tc>
          <w:tcPr>
            <w:tcW w:w="1189" w:type="dxa"/>
            <w:vAlign w:val="center"/>
          </w:tcPr>
          <w:p>
            <w:pPr>
              <w:widowControl w:val="0"/>
              <w:jc w:val="center"/>
            </w:pPr>
            <w:r>
              <w:t>1085</w:t>
            </w:r>
          </w:p>
        </w:tc>
        <w:tc>
          <w:tcPr>
            <w:tcW w:w="1177" w:type="dxa"/>
            <w:gridSpan w:val="5"/>
            <w:vAlign w:val="center"/>
          </w:tcPr>
          <w:p>
            <w:pPr>
              <w:widowControl w:val="0"/>
              <w:jc w:val="center"/>
            </w:pPr>
            <w:r>
              <w:t>1008</w:t>
            </w:r>
          </w:p>
        </w:tc>
      </w:tr>
      <w:tr>
        <w:trPr>
          <w:trHeight w:val="20"/>
        </w:trPr>
        <w:tc>
          <w:tcPr>
            <w:tcW w:w="995" w:type="dxa"/>
            <w:gridSpan w:val="4"/>
            <w:vAlign w:val="center"/>
          </w:tcPr>
          <w:p>
            <w:pPr>
              <w:widowControl w:val="0"/>
              <w:jc w:val="center"/>
            </w:pPr>
            <w:r>
              <w:t>500</w:t>
            </w:r>
          </w:p>
        </w:tc>
        <w:tc>
          <w:tcPr>
            <w:tcW w:w="1175" w:type="dxa"/>
            <w:vAlign w:val="center"/>
          </w:tcPr>
          <w:p>
            <w:pPr>
              <w:widowControl w:val="0"/>
              <w:jc w:val="center"/>
            </w:pPr>
            <w:r>
              <w:t>–</w:t>
            </w:r>
          </w:p>
        </w:tc>
        <w:tc>
          <w:tcPr>
            <w:tcW w:w="1181" w:type="dxa"/>
            <w:vAlign w:val="center"/>
          </w:tcPr>
          <w:p>
            <w:pPr>
              <w:widowControl w:val="0"/>
              <w:jc w:val="center"/>
            </w:pPr>
            <w:r>
              <w:t>–</w:t>
            </w:r>
          </w:p>
        </w:tc>
        <w:tc>
          <w:tcPr>
            <w:tcW w:w="984" w:type="dxa"/>
            <w:vAlign w:val="center"/>
          </w:tcPr>
          <w:p>
            <w:pPr>
              <w:widowControl w:val="0"/>
              <w:jc w:val="center"/>
            </w:pPr>
            <w:r>
              <w:t>1083</w:t>
            </w:r>
          </w:p>
        </w:tc>
        <w:tc>
          <w:tcPr>
            <w:tcW w:w="1180" w:type="dxa"/>
            <w:vAlign w:val="center"/>
          </w:tcPr>
          <w:p>
            <w:pPr>
              <w:widowControl w:val="0"/>
              <w:jc w:val="center"/>
            </w:pPr>
            <w:r>
              <w:t>946</w:t>
            </w:r>
          </w:p>
        </w:tc>
        <w:tc>
          <w:tcPr>
            <w:tcW w:w="1189" w:type="dxa"/>
            <w:vAlign w:val="center"/>
          </w:tcPr>
          <w:p>
            <w:pPr>
              <w:widowControl w:val="0"/>
              <w:jc w:val="center"/>
            </w:pPr>
            <w:r>
              <w:t>998</w:t>
            </w:r>
          </w:p>
        </w:tc>
        <w:tc>
          <w:tcPr>
            <w:tcW w:w="1189" w:type="dxa"/>
            <w:vAlign w:val="center"/>
          </w:tcPr>
          <w:p>
            <w:pPr>
              <w:widowControl w:val="0"/>
              <w:jc w:val="center"/>
            </w:pPr>
            <w:r>
              <w:t>1253</w:t>
            </w:r>
          </w:p>
        </w:tc>
        <w:tc>
          <w:tcPr>
            <w:tcW w:w="1177" w:type="dxa"/>
            <w:gridSpan w:val="5"/>
            <w:vAlign w:val="center"/>
          </w:tcPr>
          <w:p>
            <w:pPr>
              <w:widowControl w:val="0"/>
              <w:jc w:val="center"/>
            </w:pPr>
            <w:r>
              <w:t>1169</w:t>
            </w:r>
          </w:p>
        </w:tc>
      </w:tr>
      <w:tr>
        <w:trPr>
          <w:trHeight w:val="20"/>
        </w:trPr>
        <w:tc>
          <w:tcPr>
            <w:tcW w:w="995" w:type="dxa"/>
            <w:gridSpan w:val="4"/>
            <w:vAlign w:val="center"/>
          </w:tcPr>
          <w:p>
            <w:pPr>
              <w:widowControl w:val="0"/>
              <w:jc w:val="center"/>
            </w:pPr>
            <w:r>
              <w:t>630</w:t>
            </w:r>
          </w:p>
        </w:tc>
        <w:tc>
          <w:tcPr>
            <w:tcW w:w="1175" w:type="dxa"/>
            <w:vAlign w:val="center"/>
          </w:tcPr>
          <w:p>
            <w:pPr>
              <w:widowControl w:val="0"/>
              <w:jc w:val="center"/>
            </w:pPr>
            <w:r>
              <w:t>–</w:t>
            </w:r>
          </w:p>
        </w:tc>
        <w:tc>
          <w:tcPr>
            <w:tcW w:w="1181" w:type="dxa"/>
            <w:vAlign w:val="center"/>
          </w:tcPr>
          <w:p>
            <w:pPr>
              <w:widowControl w:val="0"/>
              <w:jc w:val="center"/>
            </w:pPr>
            <w:r>
              <w:t>–</w:t>
            </w:r>
          </w:p>
        </w:tc>
        <w:tc>
          <w:tcPr>
            <w:tcW w:w="984" w:type="dxa"/>
            <w:vAlign w:val="center"/>
          </w:tcPr>
          <w:p>
            <w:pPr>
              <w:widowControl w:val="0"/>
              <w:jc w:val="center"/>
            </w:pPr>
            <w:r>
              <w:t>1254</w:t>
            </w:r>
          </w:p>
        </w:tc>
        <w:tc>
          <w:tcPr>
            <w:tcW w:w="1180" w:type="dxa"/>
            <w:vAlign w:val="center"/>
          </w:tcPr>
          <w:p>
            <w:pPr>
              <w:widowControl w:val="0"/>
              <w:jc w:val="center"/>
            </w:pPr>
            <w:r>
              <w:t>1088</w:t>
            </w:r>
          </w:p>
        </w:tc>
        <w:tc>
          <w:tcPr>
            <w:tcW w:w="1189" w:type="dxa"/>
            <w:vAlign w:val="center"/>
          </w:tcPr>
          <w:p>
            <w:pPr>
              <w:widowControl w:val="0"/>
              <w:jc w:val="center"/>
            </w:pPr>
            <w:r>
              <w:t>1151</w:t>
            </w:r>
          </w:p>
        </w:tc>
        <w:tc>
          <w:tcPr>
            <w:tcW w:w="1189" w:type="dxa"/>
            <w:vAlign w:val="center"/>
          </w:tcPr>
          <w:p>
            <w:pPr>
              <w:widowControl w:val="0"/>
              <w:jc w:val="center"/>
            </w:pPr>
            <w:r>
              <w:t>1454</w:t>
            </w:r>
          </w:p>
        </w:tc>
        <w:tc>
          <w:tcPr>
            <w:tcW w:w="1177" w:type="dxa"/>
            <w:gridSpan w:val="5"/>
            <w:vAlign w:val="center"/>
          </w:tcPr>
          <w:p>
            <w:pPr>
              <w:widowControl w:val="0"/>
              <w:jc w:val="center"/>
            </w:pPr>
            <w:r>
              <w:t>1362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204" w:type="dxa"/>
            <w:tcBorders>
              <w:right w:val="nil"/>
            </w:tcBorders>
            <w:vAlign w:val="center"/>
          </w:tcPr>
          <w:p>
            <w:pPr>
              <w:widowControl w:val="0"/>
              <w:jc w:val="center"/>
            </w:pPr>
          </w:p>
        </w:tc>
        <w:tc>
          <w:tcPr>
            <w:tcW w:w="288" w:type="dxa"/>
            <w:tcBorders>
              <w:left w:val="nil"/>
              <w:right w:val="nil"/>
            </w:tcBorders>
            <w:vAlign w:val="center"/>
          </w:tcPr>
          <w:p>
            <w:pPr>
              <w:widowControl w:val="0"/>
              <w:jc w:val="center"/>
            </w:pPr>
          </w:p>
        </w:tc>
        <w:tc>
          <w:tcPr>
            <w:tcW w:w="300" w:type="dxa"/>
            <w:tcBorders>
              <w:left w:val="nil"/>
              <w:right w:val="nil"/>
            </w:tcBorders>
            <w:vAlign w:val="center"/>
          </w:tcPr>
          <w:p>
            <w:pPr>
              <w:widowControl w:val="0"/>
              <w:jc w:val="center"/>
            </w:pPr>
          </w:p>
        </w:tc>
        <w:tc>
          <w:tcPr>
            <w:tcW w:w="7462" w:type="dxa"/>
            <w:gridSpan w:val="8"/>
            <w:tcBorders>
              <w:left w:val="nil"/>
              <w:right w:val="nil"/>
            </w:tcBorders>
            <w:vAlign w:val="center"/>
          </w:tcPr>
          <w:p>
            <w:pPr>
              <w:widowControl w:val="0"/>
              <w:jc w:val="center"/>
            </w:pPr>
            <w:r>
              <w:t>Aliumininių laidininkų leistinoji ilgalaikė srovė, A</w:t>
            </w:r>
          </w:p>
        </w:tc>
        <w:tc>
          <w:tcPr>
            <w:tcW w:w="204" w:type="dxa"/>
            <w:tcBorders>
              <w:left w:val="nil"/>
              <w:right w:val="nil"/>
            </w:tcBorders>
            <w:vAlign w:val="center"/>
          </w:tcPr>
          <w:p>
            <w:pPr>
              <w:widowControl w:val="0"/>
              <w:jc w:val="center"/>
            </w:pPr>
          </w:p>
        </w:tc>
        <w:tc>
          <w:tcPr>
            <w:tcW w:w="204" w:type="dxa"/>
            <w:tcBorders>
              <w:left w:val="nil"/>
              <w:right w:val="nil"/>
            </w:tcBorders>
            <w:vAlign w:val="center"/>
          </w:tcPr>
          <w:p>
            <w:pPr>
              <w:widowControl w:val="0"/>
              <w:jc w:val="center"/>
            </w:pPr>
          </w:p>
        </w:tc>
        <w:tc>
          <w:tcPr>
            <w:tcW w:w="204" w:type="dxa"/>
            <w:tcBorders>
              <w:left w:val="nil"/>
              <w:right w:val="nil"/>
            </w:tcBorders>
            <w:vAlign w:val="center"/>
          </w:tcPr>
          <w:p>
            <w:pPr>
              <w:widowControl w:val="0"/>
              <w:jc w:val="center"/>
            </w:pPr>
          </w:p>
        </w:tc>
        <w:tc>
          <w:tcPr>
            <w:tcW w:w="204" w:type="dxa"/>
            <w:tcBorders>
              <w:left w:val="nil"/>
            </w:tcBorders>
            <w:vAlign w:val="center"/>
          </w:tcPr>
          <w:p>
            <w:pPr>
              <w:widowControl w:val="0"/>
              <w:jc w:val="center"/>
            </w:pPr>
          </w:p>
        </w:tc>
      </w:tr>
      <w:tr>
        <w:trPr>
          <w:trHeight w:val="20"/>
        </w:trPr>
        <w:tc>
          <w:tcPr>
            <w:tcW w:w="995" w:type="dxa"/>
            <w:gridSpan w:val="4"/>
            <w:vAlign w:val="center"/>
          </w:tcPr>
          <w:p>
            <w:pPr>
              <w:widowControl w:val="0"/>
              <w:jc w:val="center"/>
            </w:pPr>
            <w:r>
              <w:t>2,5</w:t>
            </w:r>
          </w:p>
        </w:tc>
        <w:tc>
          <w:tcPr>
            <w:tcW w:w="1175" w:type="dxa"/>
            <w:vAlign w:val="center"/>
          </w:tcPr>
          <w:p>
            <w:pPr>
              <w:widowControl w:val="0"/>
              <w:jc w:val="center"/>
            </w:pPr>
            <w:r>
              <w:t>28</w:t>
            </w:r>
          </w:p>
        </w:tc>
        <w:tc>
          <w:tcPr>
            <w:tcW w:w="1181" w:type="dxa"/>
            <w:vAlign w:val="center"/>
          </w:tcPr>
          <w:p>
            <w:pPr>
              <w:widowControl w:val="0"/>
              <w:jc w:val="center"/>
            </w:pPr>
            <w:r>
              <w:t>24</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cantSplit/>
          <w:trHeight w:val="20"/>
        </w:trPr>
        <w:tc>
          <w:tcPr>
            <w:tcW w:w="995" w:type="dxa"/>
            <w:gridSpan w:val="4"/>
            <w:vAlign w:val="center"/>
          </w:tcPr>
          <w:p>
            <w:pPr>
              <w:widowControl w:val="0"/>
              <w:jc w:val="center"/>
            </w:pPr>
            <w:r>
              <w:t>4</w:t>
            </w:r>
          </w:p>
        </w:tc>
        <w:tc>
          <w:tcPr>
            <w:tcW w:w="1175" w:type="dxa"/>
            <w:vAlign w:val="center"/>
          </w:tcPr>
          <w:p>
            <w:pPr>
              <w:widowControl w:val="0"/>
              <w:jc w:val="center"/>
            </w:pPr>
            <w:r>
              <w:t>38</w:t>
            </w:r>
          </w:p>
        </w:tc>
        <w:tc>
          <w:tcPr>
            <w:tcW w:w="1181" w:type="dxa"/>
            <w:vAlign w:val="center"/>
          </w:tcPr>
          <w:p>
            <w:pPr>
              <w:widowControl w:val="0"/>
              <w:jc w:val="center"/>
            </w:pPr>
            <w:r>
              <w:t>32</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cantSplit/>
          <w:trHeight w:val="20"/>
        </w:trPr>
        <w:tc>
          <w:tcPr>
            <w:tcW w:w="995" w:type="dxa"/>
            <w:gridSpan w:val="4"/>
            <w:vAlign w:val="center"/>
          </w:tcPr>
          <w:p>
            <w:pPr>
              <w:widowControl w:val="0"/>
              <w:jc w:val="center"/>
            </w:pPr>
            <w:r>
              <w:t>6</w:t>
            </w:r>
          </w:p>
        </w:tc>
        <w:tc>
          <w:tcPr>
            <w:tcW w:w="1175" w:type="dxa"/>
            <w:vAlign w:val="center"/>
          </w:tcPr>
          <w:p>
            <w:pPr>
              <w:widowControl w:val="0"/>
              <w:jc w:val="center"/>
            </w:pPr>
            <w:r>
              <w:t>49</w:t>
            </w:r>
          </w:p>
        </w:tc>
        <w:tc>
          <w:tcPr>
            <w:tcW w:w="1181" w:type="dxa"/>
            <w:vAlign w:val="center"/>
          </w:tcPr>
          <w:p>
            <w:pPr>
              <w:widowControl w:val="0"/>
              <w:jc w:val="center"/>
            </w:pPr>
            <w:r>
              <w:t>42</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cantSplit/>
          <w:trHeight w:val="20"/>
        </w:trPr>
        <w:tc>
          <w:tcPr>
            <w:tcW w:w="995" w:type="dxa"/>
            <w:gridSpan w:val="4"/>
            <w:vAlign w:val="center"/>
          </w:tcPr>
          <w:p>
            <w:pPr>
              <w:widowControl w:val="0"/>
              <w:jc w:val="center"/>
            </w:pPr>
            <w:r>
              <w:t>10</w:t>
            </w:r>
          </w:p>
        </w:tc>
        <w:tc>
          <w:tcPr>
            <w:tcW w:w="1175" w:type="dxa"/>
            <w:vAlign w:val="center"/>
          </w:tcPr>
          <w:p>
            <w:pPr>
              <w:widowControl w:val="0"/>
              <w:jc w:val="center"/>
            </w:pPr>
            <w:r>
              <w:t>67</w:t>
            </w:r>
          </w:p>
        </w:tc>
        <w:tc>
          <w:tcPr>
            <w:tcW w:w="1181" w:type="dxa"/>
            <w:vAlign w:val="center"/>
          </w:tcPr>
          <w:p>
            <w:pPr>
              <w:widowControl w:val="0"/>
              <w:jc w:val="center"/>
            </w:pPr>
            <w:r>
              <w:t>58</w:t>
            </w:r>
          </w:p>
        </w:tc>
        <w:tc>
          <w:tcPr>
            <w:tcW w:w="984" w:type="dxa"/>
            <w:vAlign w:val="center"/>
          </w:tcPr>
          <w:p>
            <w:pPr>
              <w:widowControl w:val="0"/>
              <w:jc w:val="center"/>
            </w:pPr>
            <w:r>
              <w:t>–</w:t>
            </w:r>
          </w:p>
        </w:tc>
        <w:tc>
          <w:tcPr>
            <w:tcW w:w="1180" w:type="dxa"/>
            <w:vAlign w:val="center"/>
          </w:tcPr>
          <w:p>
            <w:pPr>
              <w:widowControl w:val="0"/>
              <w:jc w:val="center"/>
            </w:pPr>
            <w:r>
              <w:t>–</w:t>
            </w:r>
          </w:p>
        </w:tc>
        <w:tc>
          <w:tcPr>
            <w:tcW w:w="1189" w:type="dxa"/>
            <w:vAlign w:val="center"/>
          </w:tcPr>
          <w:p>
            <w:pPr>
              <w:widowControl w:val="0"/>
              <w:jc w:val="center"/>
            </w:pPr>
            <w:r>
              <w:t>–</w:t>
            </w:r>
          </w:p>
        </w:tc>
        <w:tc>
          <w:tcPr>
            <w:tcW w:w="1189" w:type="dxa"/>
            <w:vAlign w:val="center"/>
          </w:tcPr>
          <w:p>
            <w:pPr>
              <w:widowControl w:val="0"/>
              <w:jc w:val="center"/>
            </w:pPr>
            <w:r>
              <w:t>–</w:t>
            </w:r>
          </w:p>
        </w:tc>
        <w:tc>
          <w:tcPr>
            <w:tcW w:w="1177" w:type="dxa"/>
            <w:gridSpan w:val="5"/>
            <w:vAlign w:val="center"/>
          </w:tcPr>
          <w:p>
            <w:pPr>
              <w:widowControl w:val="0"/>
              <w:jc w:val="center"/>
            </w:pPr>
            <w:r>
              <w:t>–</w:t>
            </w:r>
          </w:p>
        </w:tc>
      </w:tr>
      <w:tr>
        <w:trPr>
          <w:cantSplit/>
          <w:trHeight w:val="20"/>
        </w:trPr>
        <w:tc>
          <w:tcPr>
            <w:tcW w:w="995" w:type="dxa"/>
            <w:gridSpan w:val="4"/>
            <w:tcBorders>
              <w:bottom w:val="single" w:sz="2" w:space="0" w:color="auto"/>
            </w:tcBorders>
            <w:vAlign w:val="center"/>
          </w:tcPr>
          <w:p>
            <w:pPr>
              <w:widowControl w:val="0"/>
              <w:jc w:val="center"/>
            </w:pPr>
            <w:r>
              <w:t>16</w:t>
            </w:r>
          </w:p>
        </w:tc>
        <w:tc>
          <w:tcPr>
            <w:tcW w:w="1175" w:type="dxa"/>
            <w:tcBorders>
              <w:bottom w:val="single" w:sz="2" w:space="0" w:color="auto"/>
            </w:tcBorders>
            <w:vAlign w:val="center"/>
          </w:tcPr>
          <w:p>
            <w:pPr>
              <w:widowControl w:val="0"/>
              <w:jc w:val="center"/>
            </w:pPr>
            <w:r>
              <w:t>91</w:t>
            </w:r>
          </w:p>
        </w:tc>
        <w:tc>
          <w:tcPr>
            <w:tcW w:w="1181" w:type="dxa"/>
            <w:tcBorders>
              <w:bottom w:val="single" w:sz="2" w:space="0" w:color="auto"/>
            </w:tcBorders>
            <w:vAlign w:val="center"/>
          </w:tcPr>
          <w:p>
            <w:pPr>
              <w:widowControl w:val="0"/>
              <w:jc w:val="center"/>
            </w:pPr>
            <w:r>
              <w:t>77</w:t>
            </w:r>
          </w:p>
        </w:tc>
        <w:tc>
          <w:tcPr>
            <w:tcW w:w="984" w:type="dxa"/>
            <w:tcBorders>
              <w:bottom w:val="single" w:sz="2" w:space="0" w:color="auto"/>
            </w:tcBorders>
            <w:vAlign w:val="center"/>
          </w:tcPr>
          <w:p>
            <w:pPr>
              <w:widowControl w:val="0"/>
              <w:jc w:val="center"/>
            </w:pPr>
            <w:r>
              <w:t>–</w:t>
            </w:r>
          </w:p>
        </w:tc>
        <w:tc>
          <w:tcPr>
            <w:tcW w:w="1180" w:type="dxa"/>
            <w:tcBorders>
              <w:bottom w:val="single" w:sz="2" w:space="0" w:color="auto"/>
            </w:tcBorders>
            <w:vAlign w:val="center"/>
          </w:tcPr>
          <w:p>
            <w:pPr>
              <w:widowControl w:val="0"/>
              <w:jc w:val="center"/>
            </w:pPr>
            <w:r>
              <w:t>–</w:t>
            </w:r>
          </w:p>
        </w:tc>
        <w:tc>
          <w:tcPr>
            <w:tcW w:w="1189" w:type="dxa"/>
            <w:tcBorders>
              <w:bottom w:val="single" w:sz="2" w:space="0" w:color="auto"/>
            </w:tcBorders>
            <w:vAlign w:val="center"/>
          </w:tcPr>
          <w:p>
            <w:pPr>
              <w:widowControl w:val="0"/>
              <w:jc w:val="center"/>
            </w:pPr>
            <w:r>
              <w:t>–</w:t>
            </w:r>
          </w:p>
        </w:tc>
        <w:tc>
          <w:tcPr>
            <w:tcW w:w="1189" w:type="dxa"/>
            <w:tcBorders>
              <w:bottom w:val="single" w:sz="2" w:space="0" w:color="auto"/>
            </w:tcBorders>
            <w:vAlign w:val="center"/>
          </w:tcPr>
          <w:p>
            <w:pPr>
              <w:widowControl w:val="0"/>
              <w:jc w:val="center"/>
            </w:pPr>
            <w:r>
              <w:t>–</w:t>
            </w:r>
          </w:p>
        </w:tc>
        <w:tc>
          <w:tcPr>
            <w:tcW w:w="1177" w:type="dxa"/>
            <w:gridSpan w:val="5"/>
            <w:tcBorders>
              <w:bottom w:val="single" w:sz="2" w:space="0" w:color="auto"/>
            </w:tcBorders>
            <w:vAlign w:val="center"/>
          </w:tcPr>
          <w:p>
            <w:pPr>
              <w:widowControl w:val="0"/>
              <w:jc w:val="center"/>
            </w:pPr>
            <w:r>
              <w:t>–</w:t>
            </w:r>
          </w:p>
        </w:tc>
      </w:tr>
      <w:tr>
        <w:trPr>
          <w:cantSplit/>
          <w:trHeight w:val="20"/>
        </w:trPr>
        <w:tc>
          <w:tcPr>
            <w:tcW w:w="995" w:type="dxa"/>
            <w:gridSpan w:val="4"/>
            <w:tcBorders>
              <w:bottom w:val="single" w:sz="2" w:space="0" w:color="auto"/>
            </w:tcBorders>
            <w:vAlign w:val="center"/>
          </w:tcPr>
          <w:p>
            <w:pPr>
              <w:widowControl w:val="0"/>
              <w:jc w:val="center"/>
            </w:pPr>
            <w:r>
              <w:t>25</w:t>
            </w:r>
          </w:p>
        </w:tc>
        <w:tc>
          <w:tcPr>
            <w:tcW w:w="1175" w:type="dxa"/>
            <w:tcBorders>
              <w:bottom w:val="single" w:sz="2" w:space="0" w:color="auto"/>
            </w:tcBorders>
            <w:vAlign w:val="center"/>
          </w:tcPr>
          <w:p>
            <w:pPr>
              <w:widowControl w:val="0"/>
              <w:jc w:val="center"/>
            </w:pPr>
            <w:r>
              <w:t>108</w:t>
            </w:r>
          </w:p>
        </w:tc>
        <w:tc>
          <w:tcPr>
            <w:tcW w:w="1181" w:type="dxa"/>
            <w:tcBorders>
              <w:bottom w:val="single" w:sz="2" w:space="0" w:color="auto"/>
            </w:tcBorders>
            <w:vAlign w:val="center"/>
          </w:tcPr>
          <w:p>
            <w:pPr>
              <w:widowControl w:val="0"/>
              <w:jc w:val="center"/>
            </w:pPr>
            <w:r>
              <w:t>97</w:t>
            </w:r>
          </w:p>
        </w:tc>
        <w:tc>
          <w:tcPr>
            <w:tcW w:w="984" w:type="dxa"/>
            <w:tcBorders>
              <w:bottom w:val="single" w:sz="2" w:space="0" w:color="auto"/>
            </w:tcBorders>
            <w:vAlign w:val="center"/>
          </w:tcPr>
          <w:p>
            <w:pPr>
              <w:widowControl w:val="0"/>
              <w:jc w:val="center"/>
            </w:pPr>
            <w:r>
              <w:t>121</w:t>
            </w:r>
          </w:p>
        </w:tc>
        <w:tc>
          <w:tcPr>
            <w:tcW w:w="1180" w:type="dxa"/>
            <w:tcBorders>
              <w:bottom w:val="single" w:sz="2" w:space="0" w:color="auto"/>
            </w:tcBorders>
            <w:vAlign w:val="center"/>
          </w:tcPr>
          <w:p>
            <w:pPr>
              <w:widowControl w:val="0"/>
              <w:jc w:val="center"/>
            </w:pPr>
            <w:r>
              <w:t>103</w:t>
            </w:r>
          </w:p>
        </w:tc>
        <w:tc>
          <w:tcPr>
            <w:tcW w:w="1189" w:type="dxa"/>
            <w:tcBorders>
              <w:bottom w:val="single" w:sz="2" w:space="0" w:color="auto"/>
            </w:tcBorders>
            <w:vAlign w:val="center"/>
          </w:tcPr>
          <w:p>
            <w:pPr>
              <w:widowControl w:val="0"/>
              <w:jc w:val="center"/>
            </w:pPr>
            <w:r>
              <w:t>107</w:t>
            </w:r>
          </w:p>
        </w:tc>
        <w:tc>
          <w:tcPr>
            <w:tcW w:w="1189" w:type="dxa"/>
            <w:tcBorders>
              <w:bottom w:val="single" w:sz="2" w:space="0" w:color="auto"/>
            </w:tcBorders>
            <w:vAlign w:val="center"/>
          </w:tcPr>
          <w:p>
            <w:pPr>
              <w:widowControl w:val="0"/>
              <w:jc w:val="center"/>
            </w:pPr>
            <w:r>
              <w:t>138</w:t>
            </w:r>
          </w:p>
        </w:tc>
        <w:tc>
          <w:tcPr>
            <w:tcW w:w="1177" w:type="dxa"/>
            <w:gridSpan w:val="5"/>
            <w:tcBorders>
              <w:bottom w:val="single" w:sz="2" w:space="0" w:color="auto"/>
            </w:tcBorders>
            <w:vAlign w:val="center"/>
          </w:tcPr>
          <w:p>
            <w:pPr>
              <w:widowControl w:val="0"/>
              <w:jc w:val="center"/>
            </w:pPr>
            <w:r>
              <w:t>122</w:t>
            </w:r>
          </w:p>
        </w:tc>
      </w:tr>
      <w:tr>
        <w:trPr>
          <w:cantSplit/>
          <w:trHeight w:val="20"/>
        </w:trPr>
        <w:tc>
          <w:tcPr>
            <w:tcW w:w="995" w:type="dxa"/>
            <w:gridSpan w:val="4"/>
            <w:tcBorders>
              <w:top w:val="single" w:sz="2" w:space="0" w:color="auto"/>
            </w:tcBorders>
            <w:vAlign w:val="center"/>
          </w:tcPr>
          <w:p>
            <w:pPr>
              <w:widowControl w:val="0"/>
              <w:jc w:val="center"/>
            </w:pPr>
            <w:r>
              <w:t>35</w:t>
            </w:r>
          </w:p>
        </w:tc>
        <w:tc>
          <w:tcPr>
            <w:tcW w:w="1175" w:type="dxa"/>
            <w:tcBorders>
              <w:top w:val="single" w:sz="2" w:space="0" w:color="auto"/>
            </w:tcBorders>
            <w:vAlign w:val="center"/>
          </w:tcPr>
          <w:p>
            <w:pPr>
              <w:widowControl w:val="0"/>
              <w:jc w:val="center"/>
            </w:pPr>
            <w:r>
              <w:t>135</w:t>
            </w:r>
          </w:p>
        </w:tc>
        <w:tc>
          <w:tcPr>
            <w:tcW w:w="1181" w:type="dxa"/>
            <w:tcBorders>
              <w:top w:val="single" w:sz="2" w:space="0" w:color="auto"/>
            </w:tcBorders>
            <w:vAlign w:val="center"/>
          </w:tcPr>
          <w:p>
            <w:pPr>
              <w:widowControl w:val="0"/>
              <w:jc w:val="center"/>
            </w:pPr>
            <w:r>
              <w:t>120</w:t>
            </w:r>
          </w:p>
        </w:tc>
        <w:tc>
          <w:tcPr>
            <w:tcW w:w="984" w:type="dxa"/>
            <w:tcBorders>
              <w:top w:val="single" w:sz="2" w:space="0" w:color="auto"/>
            </w:tcBorders>
            <w:vAlign w:val="center"/>
          </w:tcPr>
          <w:p>
            <w:pPr>
              <w:widowControl w:val="0"/>
              <w:jc w:val="center"/>
            </w:pPr>
            <w:r>
              <w:t>150</w:t>
            </w:r>
          </w:p>
        </w:tc>
        <w:tc>
          <w:tcPr>
            <w:tcW w:w="1180" w:type="dxa"/>
            <w:tcBorders>
              <w:top w:val="single" w:sz="2" w:space="0" w:color="auto"/>
            </w:tcBorders>
            <w:vAlign w:val="center"/>
          </w:tcPr>
          <w:p>
            <w:pPr>
              <w:widowControl w:val="0"/>
              <w:jc w:val="center"/>
            </w:pPr>
            <w:r>
              <w:t>129</w:t>
            </w:r>
          </w:p>
        </w:tc>
        <w:tc>
          <w:tcPr>
            <w:tcW w:w="1189" w:type="dxa"/>
            <w:tcBorders>
              <w:top w:val="single" w:sz="2" w:space="0" w:color="auto"/>
            </w:tcBorders>
            <w:vAlign w:val="center"/>
          </w:tcPr>
          <w:p>
            <w:pPr>
              <w:widowControl w:val="0"/>
              <w:jc w:val="center"/>
            </w:pPr>
            <w:r>
              <w:t>135</w:t>
            </w:r>
          </w:p>
        </w:tc>
        <w:tc>
          <w:tcPr>
            <w:tcW w:w="1189" w:type="dxa"/>
            <w:tcBorders>
              <w:top w:val="single" w:sz="2" w:space="0" w:color="auto"/>
            </w:tcBorders>
            <w:vAlign w:val="center"/>
          </w:tcPr>
          <w:p>
            <w:pPr>
              <w:widowControl w:val="0"/>
              <w:jc w:val="center"/>
            </w:pPr>
            <w:r>
              <w:t>172</w:t>
            </w:r>
          </w:p>
        </w:tc>
        <w:tc>
          <w:tcPr>
            <w:tcW w:w="1177" w:type="dxa"/>
            <w:gridSpan w:val="5"/>
            <w:tcBorders>
              <w:top w:val="single" w:sz="2" w:space="0" w:color="auto"/>
            </w:tcBorders>
            <w:vAlign w:val="center"/>
          </w:tcPr>
          <w:p>
            <w:pPr>
              <w:widowControl w:val="0"/>
              <w:jc w:val="center"/>
            </w:pPr>
            <w:r>
              <w:t>153</w:t>
            </w:r>
          </w:p>
        </w:tc>
      </w:tr>
      <w:tr>
        <w:trPr>
          <w:cantSplit/>
          <w:trHeight w:val="20"/>
        </w:trPr>
        <w:tc>
          <w:tcPr>
            <w:tcW w:w="995" w:type="dxa"/>
            <w:gridSpan w:val="4"/>
            <w:vAlign w:val="center"/>
          </w:tcPr>
          <w:p>
            <w:pPr>
              <w:widowControl w:val="0"/>
              <w:jc w:val="center"/>
            </w:pPr>
            <w:r>
              <w:t>50</w:t>
            </w:r>
          </w:p>
        </w:tc>
        <w:tc>
          <w:tcPr>
            <w:tcW w:w="1175" w:type="dxa"/>
            <w:vAlign w:val="center"/>
          </w:tcPr>
          <w:p>
            <w:pPr>
              <w:widowControl w:val="0"/>
              <w:jc w:val="center"/>
            </w:pPr>
            <w:r>
              <w:t>164</w:t>
            </w:r>
          </w:p>
        </w:tc>
        <w:tc>
          <w:tcPr>
            <w:tcW w:w="1181" w:type="dxa"/>
            <w:vAlign w:val="center"/>
          </w:tcPr>
          <w:p>
            <w:pPr>
              <w:widowControl w:val="0"/>
              <w:jc w:val="center"/>
            </w:pPr>
            <w:r>
              <w:t>146</w:t>
            </w:r>
          </w:p>
        </w:tc>
        <w:tc>
          <w:tcPr>
            <w:tcW w:w="984" w:type="dxa"/>
            <w:vAlign w:val="center"/>
          </w:tcPr>
          <w:p>
            <w:pPr>
              <w:widowControl w:val="0"/>
              <w:jc w:val="center"/>
            </w:pPr>
            <w:r>
              <w:t>184</w:t>
            </w:r>
          </w:p>
        </w:tc>
        <w:tc>
          <w:tcPr>
            <w:tcW w:w="1180" w:type="dxa"/>
            <w:vAlign w:val="center"/>
          </w:tcPr>
          <w:p>
            <w:pPr>
              <w:widowControl w:val="0"/>
              <w:jc w:val="center"/>
            </w:pPr>
            <w:r>
              <w:t>159</w:t>
            </w:r>
          </w:p>
        </w:tc>
        <w:tc>
          <w:tcPr>
            <w:tcW w:w="1189" w:type="dxa"/>
            <w:vAlign w:val="center"/>
          </w:tcPr>
          <w:p>
            <w:pPr>
              <w:widowControl w:val="0"/>
              <w:jc w:val="center"/>
            </w:pPr>
            <w:r>
              <w:t>165</w:t>
            </w:r>
          </w:p>
        </w:tc>
        <w:tc>
          <w:tcPr>
            <w:tcW w:w="1189" w:type="dxa"/>
            <w:vAlign w:val="center"/>
          </w:tcPr>
          <w:p>
            <w:pPr>
              <w:widowControl w:val="0"/>
              <w:jc w:val="center"/>
            </w:pPr>
            <w:r>
              <w:t>210</w:t>
            </w:r>
          </w:p>
        </w:tc>
        <w:tc>
          <w:tcPr>
            <w:tcW w:w="1177" w:type="dxa"/>
            <w:gridSpan w:val="5"/>
            <w:vAlign w:val="center"/>
          </w:tcPr>
          <w:p>
            <w:pPr>
              <w:widowControl w:val="0"/>
              <w:jc w:val="center"/>
            </w:pPr>
            <w:r>
              <w:t>188</w:t>
            </w:r>
          </w:p>
        </w:tc>
      </w:tr>
      <w:tr>
        <w:trPr>
          <w:cantSplit/>
          <w:trHeight w:val="20"/>
        </w:trPr>
        <w:tc>
          <w:tcPr>
            <w:tcW w:w="995" w:type="dxa"/>
            <w:gridSpan w:val="4"/>
            <w:vAlign w:val="center"/>
          </w:tcPr>
          <w:p>
            <w:pPr>
              <w:widowControl w:val="0"/>
              <w:jc w:val="center"/>
            </w:pPr>
            <w:r>
              <w:t>70</w:t>
            </w:r>
          </w:p>
        </w:tc>
        <w:tc>
          <w:tcPr>
            <w:tcW w:w="1175" w:type="dxa"/>
            <w:vAlign w:val="center"/>
          </w:tcPr>
          <w:p>
            <w:pPr>
              <w:widowControl w:val="0"/>
              <w:jc w:val="center"/>
            </w:pPr>
            <w:r>
              <w:t>211</w:t>
            </w:r>
          </w:p>
        </w:tc>
        <w:tc>
          <w:tcPr>
            <w:tcW w:w="1181" w:type="dxa"/>
            <w:vAlign w:val="center"/>
          </w:tcPr>
          <w:p>
            <w:pPr>
              <w:widowControl w:val="0"/>
              <w:jc w:val="center"/>
            </w:pPr>
            <w:r>
              <w:t>187</w:t>
            </w:r>
          </w:p>
        </w:tc>
        <w:tc>
          <w:tcPr>
            <w:tcW w:w="984" w:type="dxa"/>
            <w:vAlign w:val="center"/>
          </w:tcPr>
          <w:p>
            <w:pPr>
              <w:widowControl w:val="0"/>
              <w:jc w:val="center"/>
            </w:pPr>
            <w:r>
              <w:t>237</w:t>
            </w:r>
          </w:p>
        </w:tc>
        <w:tc>
          <w:tcPr>
            <w:tcW w:w="1180" w:type="dxa"/>
            <w:vAlign w:val="center"/>
          </w:tcPr>
          <w:p>
            <w:pPr>
              <w:widowControl w:val="0"/>
              <w:jc w:val="center"/>
            </w:pPr>
            <w:r>
              <w:t>206</w:t>
            </w:r>
          </w:p>
        </w:tc>
        <w:tc>
          <w:tcPr>
            <w:tcW w:w="1189" w:type="dxa"/>
            <w:vAlign w:val="center"/>
          </w:tcPr>
          <w:p>
            <w:pPr>
              <w:widowControl w:val="0"/>
              <w:jc w:val="center"/>
            </w:pPr>
            <w:r>
              <w:t>215</w:t>
            </w:r>
          </w:p>
        </w:tc>
        <w:tc>
          <w:tcPr>
            <w:tcW w:w="1189" w:type="dxa"/>
            <w:vAlign w:val="center"/>
          </w:tcPr>
          <w:p>
            <w:pPr>
              <w:widowControl w:val="0"/>
              <w:jc w:val="center"/>
            </w:pPr>
            <w:r>
              <w:t>271</w:t>
            </w:r>
          </w:p>
        </w:tc>
        <w:tc>
          <w:tcPr>
            <w:tcW w:w="1177" w:type="dxa"/>
            <w:gridSpan w:val="5"/>
            <w:vAlign w:val="center"/>
          </w:tcPr>
          <w:p>
            <w:pPr>
              <w:widowControl w:val="0"/>
              <w:jc w:val="center"/>
            </w:pPr>
            <w:r>
              <w:t>244</w:t>
            </w:r>
          </w:p>
        </w:tc>
      </w:tr>
      <w:tr>
        <w:trPr>
          <w:cantSplit/>
          <w:trHeight w:val="20"/>
        </w:trPr>
        <w:tc>
          <w:tcPr>
            <w:tcW w:w="995" w:type="dxa"/>
            <w:gridSpan w:val="4"/>
            <w:vAlign w:val="center"/>
          </w:tcPr>
          <w:p>
            <w:pPr>
              <w:widowControl w:val="0"/>
              <w:jc w:val="center"/>
            </w:pPr>
            <w:r>
              <w:t>95</w:t>
            </w:r>
          </w:p>
        </w:tc>
        <w:tc>
          <w:tcPr>
            <w:tcW w:w="1175" w:type="dxa"/>
            <w:vAlign w:val="center"/>
          </w:tcPr>
          <w:p>
            <w:pPr>
              <w:widowControl w:val="0"/>
              <w:jc w:val="center"/>
            </w:pPr>
            <w:r>
              <w:t>257</w:t>
            </w:r>
          </w:p>
        </w:tc>
        <w:tc>
          <w:tcPr>
            <w:tcW w:w="1181" w:type="dxa"/>
            <w:vAlign w:val="center"/>
          </w:tcPr>
          <w:p>
            <w:pPr>
              <w:widowControl w:val="0"/>
              <w:jc w:val="center"/>
            </w:pPr>
            <w:r>
              <w:t>227</w:t>
            </w:r>
          </w:p>
        </w:tc>
        <w:tc>
          <w:tcPr>
            <w:tcW w:w="984" w:type="dxa"/>
            <w:vAlign w:val="center"/>
          </w:tcPr>
          <w:p>
            <w:pPr>
              <w:widowControl w:val="0"/>
              <w:jc w:val="center"/>
            </w:pPr>
            <w:r>
              <w:t>289</w:t>
            </w:r>
          </w:p>
        </w:tc>
        <w:tc>
          <w:tcPr>
            <w:tcW w:w="1180" w:type="dxa"/>
            <w:vAlign w:val="center"/>
          </w:tcPr>
          <w:p>
            <w:pPr>
              <w:widowControl w:val="0"/>
              <w:jc w:val="center"/>
            </w:pPr>
            <w:r>
              <w:t>253</w:t>
            </w:r>
          </w:p>
        </w:tc>
        <w:tc>
          <w:tcPr>
            <w:tcW w:w="1189" w:type="dxa"/>
            <w:vAlign w:val="center"/>
          </w:tcPr>
          <w:p>
            <w:pPr>
              <w:widowControl w:val="0"/>
              <w:jc w:val="center"/>
            </w:pPr>
            <w:r>
              <w:t>264</w:t>
            </w:r>
          </w:p>
        </w:tc>
        <w:tc>
          <w:tcPr>
            <w:tcW w:w="1189" w:type="dxa"/>
            <w:vAlign w:val="center"/>
          </w:tcPr>
          <w:p>
            <w:pPr>
              <w:widowControl w:val="0"/>
              <w:jc w:val="center"/>
            </w:pPr>
            <w:r>
              <w:t>332</w:t>
            </w:r>
          </w:p>
        </w:tc>
        <w:tc>
          <w:tcPr>
            <w:tcW w:w="1177" w:type="dxa"/>
            <w:gridSpan w:val="5"/>
            <w:vAlign w:val="center"/>
          </w:tcPr>
          <w:p>
            <w:pPr>
              <w:widowControl w:val="0"/>
              <w:jc w:val="center"/>
            </w:pPr>
            <w:r>
              <w:t>300</w:t>
            </w:r>
          </w:p>
        </w:tc>
      </w:tr>
      <w:tr>
        <w:trPr>
          <w:cantSplit/>
          <w:trHeight w:val="20"/>
        </w:trPr>
        <w:tc>
          <w:tcPr>
            <w:tcW w:w="995" w:type="dxa"/>
            <w:gridSpan w:val="4"/>
            <w:vAlign w:val="center"/>
          </w:tcPr>
          <w:p>
            <w:pPr>
              <w:widowControl w:val="0"/>
              <w:jc w:val="center"/>
            </w:pPr>
            <w:r>
              <w:t>120</w:t>
            </w:r>
          </w:p>
        </w:tc>
        <w:tc>
          <w:tcPr>
            <w:tcW w:w="1175" w:type="dxa"/>
            <w:vAlign w:val="center"/>
          </w:tcPr>
          <w:p>
            <w:pPr>
              <w:widowControl w:val="0"/>
              <w:jc w:val="center"/>
            </w:pPr>
            <w:r>
              <w:t>300</w:t>
            </w:r>
          </w:p>
        </w:tc>
        <w:tc>
          <w:tcPr>
            <w:tcW w:w="1181" w:type="dxa"/>
            <w:vAlign w:val="center"/>
          </w:tcPr>
          <w:p>
            <w:pPr>
              <w:widowControl w:val="0"/>
              <w:jc w:val="center"/>
            </w:pPr>
            <w:r>
              <w:t>263</w:t>
            </w:r>
          </w:p>
        </w:tc>
        <w:tc>
          <w:tcPr>
            <w:tcW w:w="984" w:type="dxa"/>
            <w:vAlign w:val="center"/>
          </w:tcPr>
          <w:p>
            <w:pPr>
              <w:widowControl w:val="0"/>
              <w:jc w:val="center"/>
            </w:pPr>
            <w:r>
              <w:t>337</w:t>
            </w:r>
          </w:p>
        </w:tc>
        <w:tc>
          <w:tcPr>
            <w:tcW w:w="1180" w:type="dxa"/>
            <w:vAlign w:val="center"/>
          </w:tcPr>
          <w:p>
            <w:pPr>
              <w:widowControl w:val="0"/>
              <w:jc w:val="center"/>
            </w:pPr>
            <w:r>
              <w:t>296</w:t>
            </w:r>
          </w:p>
        </w:tc>
        <w:tc>
          <w:tcPr>
            <w:tcW w:w="1189" w:type="dxa"/>
            <w:vAlign w:val="center"/>
          </w:tcPr>
          <w:p>
            <w:pPr>
              <w:widowControl w:val="0"/>
              <w:jc w:val="center"/>
            </w:pPr>
            <w:r>
              <w:t>308</w:t>
            </w:r>
          </w:p>
        </w:tc>
        <w:tc>
          <w:tcPr>
            <w:tcW w:w="1189" w:type="dxa"/>
            <w:vAlign w:val="center"/>
          </w:tcPr>
          <w:p>
            <w:pPr>
              <w:widowControl w:val="0"/>
              <w:jc w:val="center"/>
            </w:pPr>
            <w:r>
              <w:t>387</w:t>
            </w:r>
          </w:p>
        </w:tc>
        <w:tc>
          <w:tcPr>
            <w:tcW w:w="1177" w:type="dxa"/>
            <w:gridSpan w:val="5"/>
            <w:vAlign w:val="center"/>
          </w:tcPr>
          <w:p>
            <w:pPr>
              <w:widowControl w:val="0"/>
              <w:jc w:val="center"/>
            </w:pPr>
            <w:r>
              <w:t>351</w:t>
            </w:r>
          </w:p>
        </w:tc>
      </w:tr>
      <w:tr>
        <w:trPr>
          <w:cantSplit/>
          <w:trHeight w:val="20"/>
        </w:trPr>
        <w:tc>
          <w:tcPr>
            <w:tcW w:w="995" w:type="dxa"/>
            <w:gridSpan w:val="4"/>
            <w:vAlign w:val="center"/>
          </w:tcPr>
          <w:p>
            <w:pPr>
              <w:widowControl w:val="0"/>
              <w:jc w:val="center"/>
            </w:pPr>
            <w:r>
              <w:t>150</w:t>
            </w:r>
          </w:p>
        </w:tc>
        <w:tc>
          <w:tcPr>
            <w:tcW w:w="1175" w:type="dxa"/>
            <w:vAlign w:val="center"/>
          </w:tcPr>
          <w:p>
            <w:pPr>
              <w:widowControl w:val="0"/>
              <w:jc w:val="center"/>
            </w:pPr>
            <w:r>
              <w:t>346</w:t>
            </w:r>
          </w:p>
        </w:tc>
        <w:tc>
          <w:tcPr>
            <w:tcW w:w="1181" w:type="dxa"/>
            <w:vAlign w:val="center"/>
          </w:tcPr>
          <w:p>
            <w:pPr>
              <w:widowControl w:val="0"/>
              <w:jc w:val="center"/>
            </w:pPr>
            <w:r>
              <w:t>304</w:t>
            </w:r>
          </w:p>
        </w:tc>
        <w:tc>
          <w:tcPr>
            <w:tcW w:w="984" w:type="dxa"/>
            <w:vAlign w:val="center"/>
          </w:tcPr>
          <w:p>
            <w:pPr>
              <w:widowControl w:val="0"/>
              <w:jc w:val="center"/>
            </w:pPr>
            <w:r>
              <w:t>389</w:t>
            </w:r>
          </w:p>
        </w:tc>
        <w:tc>
          <w:tcPr>
            <w:tcW w:w="1180" w:type="dxa"/>
            <w:vAlign w:val="center"/>
          </w:tcPr>
          <w:p>
            <w:pPr>
              <w:widowControl w:val="0"/>
              <w:jc w:val="center"/>
            </w:pPr>
            <w:r>
              <w:t>343</w:t>
            </w:r>
          </w:p>
        </w:tc>
        <w:tc>
          <w:tcPr>
            <w:tcW w:w="1189" w:type="dxa"/>
            <w:vAlign w:val="center"/>
          </w:tcPr>
          <w:p>
            <w:pPr>
              <w:widowControl w:val="0"/>
              <w:jc w:val="center"/>
            </w:pPr>
            <w:r>
              <w:t>358</w:t>
            </w:r>
          </w:p>
        </w:tc>
        <w:tc>
          <w:tcPr>
            <w:tcW w:w="1189" w:type="dxa"/>
            <w:vAlign w:val="center"/>
          </w:tcPr>
          <w:p>
            <w:pPr>
              <w:widowControl w:val="0"/>
              <w:jc w:val="center"/>
            </w:pPr>
            <w:r>
              <w:t>448</w:t>
            </w:r>
          </w:p>
        </w:tc>
        <w:tc>
          <w:tcPr>
            <w:tcW w:w="1177" w:type="dxa"/>
            <w:gridSpan w:val="5"/>
            <w:vAlign w:val="center"/>
          </w:tcPr>
          <w:p>
            <w:pPr>
              <w:widowControl w:val="0"/>
              <w:jc w:val="center"/>
            </w:pPr>
            <w:r>
              <w:t>408</w:t>
            </w:r>
          </w:p>
        </w:tc>
      </w:tr>
      <w:tr>
        <w:trPr>
          <w:cantSplit/>
          <w:trHeight w:val="20"/>
        </w:trPr>
        <w:tc>
          <w:tcPr>
            <w:tcW w:w="995" w:type="dxa"/>
            <w:gridSpan w:val="4"/>
            <w:vAlign w:val="center"/>
          </w:tcPr>
          <w:p>
            <w:pPr>
              <w:widowControl w:val="0"/>
              <w:jc w:val="center"/>
            </w:pPr>
            <w:r>
              <w:t>185</w:t>
            </w:r>
          </w:p>
        </w:tc>
        <w:tc>
          <w:tcPr>
            <w:tcW w:w="1175" w:type="dxa"/>
            <w:vAlign w:val="center"/>
          </w:tcPr>
          <w:p>
            <w:pPr>
              <w:widowControl w:val="0"/>
              <w:jc w:val="center"/>
            </w:pPr>
            <w:r>
              <w:t>397</w:t>
            </w:r>
          </w:p>
        </w:tc>
        <w:tc>
          <w:tcPr>
            <w:tcW w:w="1181" w:type="dxa"/>
            <w:vAlign w:val="center"/>
          </w:tcPr>
          <w:p>
            <w:pPr>
              <w:widowControl w:val="0"/>
              <w:jc w:val="center"/>
            </w:pPr>
            <w:r>
              <w:t>347</w:t>
            </w:r>
          </w:p>
        </w:tc>
        <w:tc>
          <w:tcPr>
            <w:tcW w:w="984" w:type="dxa"/>
            <w:vAlign w:val="center"/>
          </w:tcPr>
          <w:p>
            <w:pPr>
              <w:widowControl w:val="0"/>
              <w:jc w:val="center"/>
            </w:pPr>
            <w:r>
              <w:t>447</w:t>
            </w:r>
          </w:p>
        </w:tc>
        <w:tc>
          <w:tcPr>
            <w:tcW w:w="1180" w:type="dxa"/>
            <w:vAlign w:val="center"/>
          </w:tcPr>
          <w:p>
            <w:pPr>
              <w:widowControl w:val="0"/>
              <w:jc w:val="center"/>
            </w:pPr>
            <w:r>
              <w:t>395</w:t>
            </w:r>
          </w:p>
        </w:tc>
        <w:tc>
          <w:tcPr>
            <w:tcW w:w="1189" w:type="dxa"/>
            <w:vAlign w:val="center"/>
          </w:tcPr>
          <w:p>
            <w:pPr>
              <w:widowControl w:val="0"/>
              <w:jc w:val="center"/>
            </w:pPr>
            <w:r>
              <w:t>413</w:t>
            </w:r>
          </w:p>
        </w:tc>
        <w:tc>
          <w:tcPr>
            <w:tcW w:w="1189" w:type="dxa"/>
            <w:vAlign w:val="center"/>
          </w:tcPr>
          <w:p>
            <w:pPr>
              <w:widowControl w:val="0"/>
              <w:jc w:val="center"/>
            </w:pPr>
            <w:r>
              <w:t>515</w:t>
            </w:r>
          </w:p>
        </w:tc>
        <w:tc>
          <w:tcPr>
            <w:tcW w:w="1177" w:type="dxa"/>
            <w:gridSpan w:val="5"/>
            <w:vAlign w:val="center"/>
          </w:tcPr>
          <w:p>
            <w:pPr>
              <w:widowControl w:val="0"/>
              <w:jc w:val="center"/>
            </w:pPr>
            <w:r>
              <w:t>470</w:t>
            </w:r>
          </w:p>
        </w:tc>
      </w:tr>
      <w:tr>
        <w:trPr>
          <w:cantSplit/>
          <w:trHeight w:val="20"/>
        </w:trPr>
        <w:tc>
          <w:tcPr>
            <w:tcW w:w="995" w:type="dxa"/>
            <w:gridSpan w:val="4"/>
            <w:vAlign w:val="center"/>
          </w:tcPr>
          <w:p>
            <w:pPr>
              <w:widowControl w:val="0"/>
              <w:jc w:val="center"/>
            </w:pPr>
            <w:r>
              <w:t>240</w:t>
            </w:r>
          </w:p>
        </w:tc>
        <w:tc>
          <w:tcPr>
            <w:tcW w:w="1175" w:type="dxa"/>
            <w:vAlign w:val="center"/>
          </w:tcPr>
          <w:p>
            <w:pPr>
              <w:widowControl w:val="0"/>
              <w:jc w:val="center"/>
            </w:pPr>
            <w:r>
              <w:t>470</w:t>
            </w:r>
          </w:p>
        </w:tc>
        <w:tc>
          <w:tcPr>
            <w:tcW w:w="1181" w:type="dxa"/>
            <w:vAlign w:val="center"/>
          </w:tcPr>
          <w:p>
            <w:pPr>
              <w:widowControl w:val="0"/>
              <w:jc w:val="center"/>
            </w:pPr>
            <w:r>
              <w:t>409</w:t>
            </w:r>
          </w:p>
        </w:tc>
        <w:tc>
          <w:tcPr>
            <w:tcW w:w="984" w:type="dxa"/>
            <w:vAlign w:val="center"/>
          </w:tcPr>
          <w:p>
            <w:pPr>
              <w:widowControl w:val="0"/>
              <w:jc w:val="center"/>
            </w:pPr>
            <w:r>
              <w:t>530</w:t>
            </w:r>
          </w:p>
        </w:tc>
        <w:tc>
          <w:tcPr>
            <w:tcW w:w="1180" w:type="dxa"/>
            <w:vAlign w:val="center"/>
          </w:tcPr>
          <w:p>
            <w:pPr>
              <w:widowControl w:val="0"/>
              <w:jc w:val="center"/>
            </w:pPr>
            <w:r>
              <w:t>471</w:t>
            </w:r>
          </w:p>
        </w:tc>
        <w:tc>
          <w:tcPr>
            <w:tcW w:w="1189" w:type="dxa"/>
            <w:vAlign w:val="center"/>
          </w:tcPr>
          <w:p>
            <w:pPr>
              <w:widowControl w:val="0"/>
              <w:jc w:val="center"/>
            </w:pPr>
            <w:r>
              <w:t>492</w:t>
            </w:r>
          </w:p>
        </w:tc>
        <w:tc>
          <w:tcPr>
            <w:tcW w:w="1189" w:type="dxa"/>
            <w:vAlign w:val="center"/>
          </w:tcPr>
          <w:p>
            <w:pPr>
              <w:widowControl w:val="0"/>
              <w:jc w:val="center"/>
            </w:pPr>
            <w:r>
              <w:t>611</w:t>
            </w:r>
          </w:p>
        </w:tc>
        <w:tc>
          <w:tcPr>
            <w:tcW w:w="1177" w:type="dxa"/>
            <w:gridSpan w:val="5"/>
            <w:vAlign w:val="center"/>
          </w:tcPr>
          <w:p>
            <w:pPr>
              <w:widowControl w:val="0"/>
              <w:jc w:val="center"/>
            </w:pPr>
            <w:r>
              <w:t>561</w:t>
            </w:r>
          </w:p>
        </w:tc>
      </w:tr>
      <w:tr>
        <w:trPr>
          <w:cantSplit/>
          <w:trHeight w:val="20"/>
        </w:trPr>
        <w:tc>
          <w:tcPr>
            <w:tcW w:w="995" w:type="dxa"/>
            <w:gridSpan w:val="4"/>
            <w:vAlign w:val="center"/>
          </w:tcPr>
          <w:p>
            <w:pPr>
              <w:widowControl w:val="0"/>
              <w:jc w:val="center"/>
            </w:pPr>
            <w:r>
              <w:t>300</w:t>
            </w:r>
          </w:p>
        </w:tc>
        <w:tc>
          <w:tcPr>
            <w:tcW w:w="1175" w:type="dxa"/>
            <w:vAlign w:val="center"/>
          </w:tcPr>
          <w:p>
            <w:pPr>
              <w:widowControl w:val="0"/>
              <w:jc w:val="center"/>
            </w:pPr>
            <w:r>
              <w:t>543</w:t>
            </w:r>
          </w:p>
        </w:tc>
        <w:tc>
          <w:tcPr>
            <w:tcW w:w="1181" w:type="dxa"/>
            <w:vAlign w:val="center"/>
          </w:tcPr>
          <w:p>
            <w:pPr>
              <w:widowControl w:val="0"/>
              <w:jc w:val="center"/>
            </w:pPr>
            <w:r>
              <w:t>471</w:t>
            </w:r>
          </w:p>
        </w:tc>
        <w:tc>
          <w:tcPr>
            <w:tcW w:w="984" w:type="dxa"/>
            <w:vAlign w:val="center"/>
          </w:tcPr>
          <w:p>
            <w:pPr>
              <w:widowControl w:val="0"/>
              <w:jc w:val="center"/>
            </w:pPr>
            <w:r>
              <w:t>613</w:t>
            </w:r>
          </w:p>
        </w:tc>
        <w:tc>
          <w:tcPr>
            <w:tcW w:w="1180" w:type="dxa"/>
            <w:vAlign w:val="center"/>
          </w:tcPr>
          <w:p>
            <w:pPr>
              <w:widowControl w:val="0"/>
              <w:jc w:val="center"/>
            </w:pPr>
            <w:r>
              <w:t>547</w:t>
            </w:r>
          </w:p>
        </w:tc>
        <w:tc>
          <w:tcPr>
            <w:tcW w:w="1189" w:type="dxa"/>
            <w:vAlign w:val="center"/>
          </w:tcPr>
          <w:p>
            <w:pPr>
              <w:widowControl w:val="0"/>
              <w:jc w:val="center"/>
            </w:pPr>
            <w:r>
              <w:t>571</w:t>
            </w:r>
          </w:p>
        </w:tc>
        <w:tc>
          <w:tcPr>
            <w:tcW w:w="1189" w:type="dxa"/>
            <w:vAlign w:val="center"/>
          </w:tcPr>
          <w:p>
            <w:pPr>
              <w:widowControl w:val="0"/>
              <w:jc w:val="center"/>
            </w:pPr>
            <w:r>
              <w:t>708</w:t>
            </w:r>
          </w:p>
        </w:tc>
        <w:tc>
          <w:tcPr>
            <w:tcW w:w="1177" w:type="dxa"/>
            <w:gridSpan w:val="5"/>
            <w:vAlign w:val="center"/>
          </w:tcPr>
          <w:p>
            <w:pPr>
              <w:widowControl w:val="0"/>
              <w:jc w:val="center"/>
            </w:pPr>
            <w:r>
              <w:t>652</w:t>
            </w:r>
          </w:p>
        </w:tc>
      </w:tr>
      <w:tr>
        <w:trPr>
          <w:cantSplit/>
          <w:trHeight w:val="20"/>
        </w:trPr>
        <w:tc>
          <w:tcPr>
            <w:tcW w:w="995" w:type="dxa"/>
            <w:gridSpan w:val="4"/>
            <w:vAlign w:val="center"/>
          </w:tcPr>
          <w:p>
            <w:pPr>
              <w:widowControl w:val="0"/>
              <w:jc w:val="center"/>
            </w:pPr>
            <w:r>
              <w:t>400</w:t>
            </w:r>
          </w:p>
        </w:tc>
        <w:tc>
          <w:tcPr>
            <w:tcW w:w="1175" w:type="dxa"/>
            <w:vAlign w:val="center"/>
          </w:tcPr>
          <w:p>
            <w:pPr>
              <w:widowControl w:val="0"/>
              <w:jc w:val="center"/>
            </w:pPr>
            <w:r>
              <w:t>–</w:t>
            </w:r>
          </w:p>
        </w:tc>
        <w:tc>
          <w:tcPr>
            <w:tcW w:w="1181" w:type="dxa"/>
            <w:vAlign w:val="center"/>
          </w:tcPr>
          <w:p>
            <w:pPr>
              <w:widowControl w:val="0"/>
              <w:jc w:val="center"/>
            </w:pPr>
            <w:r>
              <w:t>–</w:t>
            </w:r>
          </w:p>
        </w:tc>
        <w:tc>
          <w:tcPr>
            <w:tcW w:w="984" w:type="dxa"/>
            <w:vAlign w:val="center"/>
          </w:tcPr>
          <w:p>
            <w:pPr>
              <w:widowControl w:val="0"/>
              <w:jc w:val="center"/>
            </w:pPr>
            <w:r>
              <w:t>740</w:t>
            </w:r>
          </w:p>
        </w:tc>
        <w:tc>
          <w:tcPr>
            <w:tcW w:w="1180" w:type="dxa"/>
            <w:vAlign w:val="center"/>
          </w:tcPr>
          <w:p>
            <w:pPr>
              <w:widowControl w:val="0"/>
              <w:jc w:val="center"/>
            </w:pPr>
            <w:r>
              <w:t>663</w:t>
            </w:r>
          </w:p>
        </w:tc>
        <w:tc>
          <w:tcPr>
            <w:tcW w:w="1189" w:type="dxa"/>
            <w:vAlign w:val="center"/>
          </w:tcPr>
          <w:p>
            <w:pPr>
              <w:widowControl w:val="0"/>
              <w:jc w:val="center"/>
            </w:pPr>
            <w:r>
              <w:t>694</w:t>
            </w:r>
          </w:p>
        </w:tc>
        <w:tc>
          <w:tcPr>
            <w:tcW w:w="1189" w:type="dxa"/>
            <w:vAlign w:val="center"/>
          </w:tcPr>
          <w:p>
            <w:pPr>
              <w:widowControl w:val="0"/>
              <w:jc w:val="center"/>
            </w:pPr>
            <w:r>
              <w:t>856</w:t>
            </w:r>
          </w:p>
        </w:tc>
        <w:tc>
          <w:tcPr>
            <w:tcW w:w="1177" w:type="dxa"/>
            <w:gridSpan w:val="5"/>
            <w:vAlign w:val="center"/>
          </w:tcPr>
          <w:p>
            <w:pPr>
              <w:widowControl w:val="0"/>
              <w:jc w:val="center"/>
            </w:pPr>
            <w:r>
              <w:t>792</w:t>
            </w:r>
          </w:p>
        </w:tc>
      </w:tr>
      <w:tr>
        <w:trPr>
          <w:cantSplit/>
          <w:trHeight w:val="20"/>
        </w:trPr>
        <w:tc>
          <w:tcPr>
            <w:tcW w:w="995" w:type="dxa"/>
            <w:gridSpan w:val="4"/>
            <w:vAlign w:val="center"/>
          </w:tcPr>
          <w:p>
            <w:pPr>
              <w:widowControl w:val="0"/>
              <w:jc w:val="center"/>
            </w:pPr>
            <w:r>
              <w:t>500</w:t>
            </w:r>
          </w:p>
        </w:tc>
        <w:tc>
          <w:tcPr>
            <w:tcW w:w="1175" w:type="dxa"/>
            <w:vAlign w:val="center"/>
          </w:tcPr>
          <w:p>
            <w:pPr>
              <w:widowControl w:val="0"/>
              <w:jc w:val="center"/>
            </w:pPr>
            <w:r>
              <w:t>–</w:t>
            </w:r>
          </w:p>
        </w:tc>
        <w:tc>
          <w:tcPr>
            <w:tcW w:w="1181" w:type="dxa"/>
            <w:vAlign w:val="center"/>
          </w:tcPr>
          <w:p>
            <w:pPr>
              <w:widowControl w:val="0"/>
              <w:jc w:val="center"/>
            </w:pPr>
            <w:r>
              <w:t>–</w:t>
            </w:r>
          </w:p>
        </w:tc>
        <w:tc>
          <w:tcPr>
            <w:tcW w:w="984" w:type="dxa"/>
            <w:vAlign w:val="center"/>
          </w:tcPr>
          <w:p>
            <w:pPr>
              <w:widowControl w:val="0"/>
              <w:jc w:val="center"/>
            </w:pPr>
            <w:r>
              <w:t>856</w:t>
            </w:r>
          </w:p>
        </w:tc>
        <w:tc>
          <w:tcPr>
            <w:tcW w:w="1180" w:type="dxa"/>
            <w:vAlign w:val="center"/>
          </w:tcPr>
          <w:p>
            <w:pPr>
              <w:widowControl w:val="0"/>
              <w:jc w:val="center"/>
            </w:pPr>
            <w:r>
              <w:t>770</w:t>
            </w:r>
          </w:p>
        </w:tc>
        <w:tc>
          <w:tcPr>
            <w:tcW w:w="1189" w:type="dxa"/>
            <w:vAlign w:val="center"/>
          </w:tcPr>
          <w:p>
            <w:pPr>
              <w:widowControl w:val="0"/>
              <w:jc w:val="center"/>
            </w:pPr>
            <w:r>
              <w:t>806</w:t>
            </w:r>
          </w:p>
        </w:tc>
        <w:tc>
          <w:tcPr>
            <w:tcW w:w="1189" w:type="dxa"/>
            <w:vAlign w:val="center"/>
          </w:tcPr>
          <w:p>
            <w:pPr>
              <w:widowControl w:val="0"/>
              <w:jc w:val="center"/>
            </w:pPr>
            <w:r>
              <w:t>991</w:t>
            </w:r>
          </w:p>
        </w:tc>
        <w:tc>
          <w:tcPr>
            <w:tcW w:w="1177" w:type="dxa"/>
            <w:gridSpan w:val="5"/>
            <w:vAlign w:val="center"/>
          </w:tcPr>
          <w:p>
            <w:pPr>
              <w:widowControl w:val="0"/>
              <w:jc w:val="center"/>
            </w:pPr>
            <w:r>
              <w:t>921</w:t>
            </w:r>
          </w:p>
        </w:tc>
      </w:tr>
      <w:tr>
        <w:trPr>
          <w:cantSplit/>
          <w:trHeight w:val="20"/>
        </w:trPr>
        <w:tc>
          <w:tcPr>
            <w:tcW w:w="995" w:type="dxa"/>
            <w:gridSpan w:val="4"/>
            <w:vAlign w:val="center"/>
          </w:tcPr>
          <w:p>
            <w:pPr>
              <w:widowControl w:val="0"/>
              <w:jc w:val="center"/>
            </w:pPr>
            <w:r>
              <w:t>630</w:t>
            </w:r>
          </w:p>
        </w:tc>
        <w:tc>
          <w:tcPr>
            <w:tcW w:w="1175" w:type="dxa"/>
            <w:vAlign w:val="center"/>
          </w:tcPr>
          <w:p>
            <w:pPr>
              <w:widowControl w:val="0"/>
              <w:jc w:val="center"/>
            </w:pPr>
            <w:r>
              <w:t>–</w:t>
            </w:r>
          </w:p>
        </w:tc>
        <w:tc>
          <w:tcPr>
            <w:tcW w:w="1181" w:type="dxa"/>
            <w:vAlign w:val="center"/>
          </w:tcPr>
          <w:p>
            <w:pPr>
              <w:widowControl w:val="0"/>
              <w:jc w:val="center"/>
            </w:pPr>
            <w:r>
              <w:t>–</w:t>
            </w:r>
          </w:p>
        </w:tc>
        <w:tc>
          <w:tcPr>
            <w:tcW w:w="984" w:type="dxa"/>
            <w:vAlign w:val="center"/>
          </w:tcPr>
          <w:p>
            <w:pPr>
              <w:widowControl w:val="0"/>
              <w:jc w:val="center"/>
            </w:pPr>
            <w:r>
              <w:t>996</w:t>
            </w:r>
          </w:p>
        </w:tc>
        <w:tc>
          <w:tcPr>
            <w:tcW w:w="1180" w:type="dxa"/>
            <w:vAlign w:val="center"/>
          </w:tcPr>
          <w:p>
            <w:pPr>
              <w:widowControl w:val="0"/>
              <w:jc w:val="center"/>
            </w:pPr>
            <w:r>
              <w:t>899</w:t>
            </w:r>
          </w:p>
        </w:tc>
        <w:tc>
          <w:tcPr>
            <w:tcW w:w="1189" w:type="dxa"/>
            <w:vAlign w:val="center"/>
          </w:tcPr>
          <w:p>
            <w:pPr>
              <w:widowControl w:val="0"/>
              <w:jc w:val="center"/>
            </w:pPr>
            <w:r>
              <w:t>942</w:t>
            </w:r>
          </w:p>
        </w:tc>
        <w:tc>
          <w:tcPr>
            <w:tcW w:w="1189" w:type="dxa"/>
            <w:vAlign w:val="center"/>
          </w:tcPr>
          <w:p>
            <w:pPr>
              <w:widowControl w:val="0"/>
              <w:jc w:val="center"/>
            </w:pPr>
            <w:r>
              <w:t>1154</w:t>
            </w:r>
          </w:p>
        </w:tc>
        <w:tc>
          <w:tcPr>
            <w:tcW w:w="1177" w:type="dxa"/>
            <w:gridSpan w:val="5"/>
            <w:vAlign w:val="center"/>
          </w:tcPr>
          <w:p>
            <w:pPr>
              <w:widowControl w:val="0"/>
              <w:jc w:val="center"/>
            </w:pPr>
            <w:r>
              <w:t>1077</w:t>
            </w:r>
          </w:p>
        </w:tc>
      </w:tr>
    </w:tbl>
    <w:p>
      <w:pPr>
        <w:widowControl w:val="0"/>
        <w:ind w:firstLine="567"/>
        <w:jc w:val="both"/>
      </w:pPr>
    </w:p>
    <w:p>
      <w:pPr>
        <w:widowControl w:val="0"/>
        <w:ind w:firstLine="567"/>
        <w:jc w:val="both"/>
        <w:rPr>
          <w:b/>
        </w:rPr>
      </w:pPr>
      <w:r>
        <w:rPr>
          <w:b/>
        </w:rPr>
        <w:t>9 lentelė. Ilgalaikės leistinosios srovės pataisos koeficientai esant kitokiai nei +30 oc oro temperatūrai</w:t>
      </w:r>
    </w:p>
    <w:p>
      <w:pPr>
        <w:widowControl w:val="0"/>
        <w:ind w:firstLine="567"/>
        <w:jc w:val="both"/>
      </w:pPr>
    </w:p>
    <w:p>
      <w:pPr>
        <w:widowControl w:val="0"/>
        <w:ind w:firstLine="567"/>
        <w:jc w:val="both"/>
      </w:pPr>
      <w:r>
        <w:t>Taikoma ore nutiestų kabelių leistinajai ilgalaikei srovei.</w:t>
      </w:r>
    </w:p>
    <w:p>
      <w:pPr>
        <w:widowControl w:val="0"/>
        <w:ind w:firstLine="567"/>
        <w:jc w:val="both"/>
      </w:pPr>
    </w:p>
    <w:tbl>
      <w:tblPr>
        <w:tblW w:w="90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03"/>
        <w:gridCol w:w="1084"/>
        <w:gridCol w:w="1083"/>
        <w:gridCol w:w="2631"/>
        <w:gridCol w:w="3327"/>
      </w:tblGrid>
      <w:tr>
        <w:trPr>
          <w:trHeight w:val="20"/>
        </w:trPr>
        <w:tc>
          <w:tcPr>
            <w:tcW w:w="903" w:type="dxa"/>
            <w:vMerge w:val="restart"/>
            <w:vAlign w:val="center"/>
          </w:tcPr>
          <w:p>
            <w:pPr>
              <w:widowControl w:val="0"/>
              <w:jc w:val="center"/>
            </w:pPr>
            <w:r>
              <w:t>Oro temperatūra,</w:t>
            </w:r>
          </w:p>
          <w:p>
            <w:pPr>
              <w:widowControl w:val="0"/>
              <w:jc w:val="center"/>
            </w:pPr>
            <w:r>
              <w:rPr>
                <w:vertAlign w:val="superscript"/>
              </w:rPr>
              <w:t>o</w:t>
            </w:r>
            <w:r>
              <w:t>C</w:t>
            </w:r>
          </w:p>
        </w:tc>
        <w:tc>
          <w:tcPr>
            <w:tcW w:w="8125" w:type="dxa"/>
            <w:gridSpan w:val="4"/>
            <w:vAlign w:val="center"/>
          </w:tcPr>
          <w:p>
            <w:pPr>
              <w:widowControl w:val="0"/>
              <w:jc w:val="center"/>
            </w:pPr>
            <w:r>
              <w:t>Izoliacija</w:t>
            </w:r>
          </w:p>
        </w:tc>
      </w:tr>
      <w:tr>
        <w:trPr>
          <w:trHeight w:val="20"/>
        </w:trPr>
        <w:tc>
          <w:tcPr>
            <w:tcW w:w="903" w:type="dxa"/>
            <w:vMerge/>
            <w:vAlign w:val="center"/>
          </w:tcPr>
          <w:p>
            <w:pPr>
              <w:widowControl w:val="0"/>
              <w:jc w:val="center"/>
            </w:pPr>
          </w:p>
        </w:tc>
        <w:tc>
          <w:tcPr>
            <w:tcW w:w="1084" w:type="dxa"/>
            <w:vMerge w:val="restart"/>
            <w:vAlign w:val="center"/>
          </w:tcPr>
          <w:p>
            <w:pPr>
              <w:widowControl w:val="0"/>
              <w:jc w:val="center"/>
            </w:pPr>
            <w:r>
              <w:t>PVC</w:t>
            </w:r>
          </w:p>
        </w:tc>
        <w:tc>
          <w:tcPr>
            <w:tcW w:w="1083" w:type="dxa"/>
            <w:vMerge w:val="restart"/>
            <w:vAlign w:val="center"/>
          </w:tcPr>
          <w:p>
            <w:pPr>
              <w:widowControl w:val="0"/>
              <w:jc w:val="center"/>
            </w:pPr>
            <w:r>
              <w:t>XLPE</w:t>
            </w:r>
          </w:p>
          <w:p>
            <w:pPr>
              <w:widowControl w:val="0"/>
              <w:jc w:val="center"/>
            </w:pPr>
            <w:r>
              <w:t>arba</w:t>
            </w:r>
          </w:p>
          <w:p>
            <w:pPr>
              <w:widowControl w:val="0"/>
              <w:jc w:val="center"/>
            </w:pPr>
            <w:r>
              <w:t>EPR</w:t>
            </w:r>
          </w:p>
        </w:tc>
        <w:tc>
          <w:tcPr>
            <w:tcW w:w="5958" w:type="dxa"/>
            <w:gridSpan w:val="2"/>
            <w:vAlign w:val="center"/>
          </w:tcPr>
          <w:p>
            <w:pPr>
              <w:widowControl w:val="0"/>
              <w:jc w:val="center"/>
            </w:pPr>
            <w:r>
              <w:t>Mineralinė</w:t>
            </w:r>
          </w:p>
        </w:tc>
      </w:tr>
      <w:tr>
        <w:trPr>
          <w:trHeight w:val="20"/>
        </w:trPr>
        <w:tc>
          <w:tcPr>
            <w:tcW w:w="903" w:type="dxa"/>
            <w:vMerge/>
            <w:vAlign w:val="center"/>
          </w:tcPr>
          <w:p>
            <w:pPr>
              <w:widowControl w:val="0"/>
              <w:jc w:val="center"/>
            </w:pPr>
          </w:p>
        </w:tc>
        <w:tc>
          <w:tcPr>
            <w:tcW w:w="1084" w:type="dxa"/>
            <w:vMerge/>
            <w:vAlign w:val="center"/>
          </w:tcPr>
          <w:p>
            <w:pPr>
              <w:widowControl w:val="0"/>
              <w:jc w:val="center"/>
            </w:pPr>
          </w:p>
        </w:tc>
        <w:tc>
          <w:tcPr>
            <w:tcW w:w="1083" w:type="dxa"/>
            <w:vMerge/>
            <w:vAlign w:val="center"/>
          </w:tcPr>
          <w:p>
            <w:pPr>
              <w:widowControl w:val="0"/>
              <w:jc w:val="center"/>
            </w:pPr>
          </w:p>
        </w:tc>
        <w:tc>
          <w:tcPr>
            <w:tcW w:w="2631" w:type="dxa"/>
            <w:vAlign w:val="center"/>
          </w:tcPr>
          <w:p>
            <w:pPr>
              <w:widowControl w:val="0"/>
              <w:jc w:val="center"/>
            </w:pPr>
            <w:r>
              <w:t xml:space="preserve">Su PVC išorine danga, nepavojinga prisiliesti, 70 </w:t>
            </w:r>
            <w:r>
              <w:rPr>
                <w:vertAlign w:val="superscript"/>
              </w:rPr>
              <w:t>o</w:t>
            </w:r>
            <w:r>
              <w:t>C</w:t>
            </w:r>
          </w:p>
        </w:tc>
        <w:tc>
          <w:tcPr>
            <w:tcW w:w="3327" w:type="dxa"/>
            <w:vAlign w:val="center"/>
          </w:tcPr>
          <w:p>
            <w:pPr>
              <w:widowControl w:val="0"/>
              <w:jc w:val="center"/>
              <w:rPr>
                <w:vertAlign w:val="superscript"/>
              </w:rPr>
            </w:pPr>
            <w:r>
              <w:t xml:space="preserve">Be išorinės dangos, pavojinga prisiliesti, 105 </w:t>
            </w:r>
            <w:r>
              <w:rPr>
                <w:vertAlign w:val="superscript"/>
              </w:rPr>
              <w:t>o</w:t>
            </w:r>
            <w:r>
              <w:t>C</w:t>
            </w:r>
          </w:p>
        </w:tc>
      </w:tr>
      <w:tr>
        <w:trPr>
          <w:trHeight w:val="20"/>
        </w:trPr>
        <w:tc>
          <w:tcPr>
            <w:tcW w:w="903" w:type="dxa"/>
            <w:vAlign w:val="center"/>
          </w:tcPr>
          <w:p>
            <w:pPr>
              <w:widowControl w:val="0"/>
              <w:jc w:val="center"/>
            </w:pPr>
            <w:r>
              <w:t>10</w:t>
            </w:r>
          </w:p>
        </w:tc>
        <w:tc>
          <w:tcPr>
            <w:tcW w:w="1084" w:type="dxa"/>
            <w:vAlign w:val="center"/>
          </w:tcPr>
          <w:p>
            <w:pPr>
              <w:widowControl w:val="0"/>
              <w:jc w:val="center"/>
            </w:pPr>
            <w:r>
              <w:t>1,22</w:t>
            </w:r>
          </w:p>
        </w:tc>
        <w:tc>
          <w:tcPr>
            <w:tcW w:w="1083" w:type="dxa"/>
            <w:vAlign w:val="center"/>
          </w:tcPr>
          <w:p>
            <w:pPr>
              <w:widowControl w:val="0"/>
              <w:jc w:val="center"/>
            </w:pPr>
            <w:r>
              <w:t>1,15</w:t>
            </w:r>
          </w:p>
        </w:tc>
        <w:tc>
          <w:tcPr>
            <w:tcW w:w="2631" w:type="dxa"/>
            <w:vAlign w:val="center"/>
          </w:tcPr>
          <w:p>
            <w:pPr>
              <w:widowControl w:val="0"/>
              <w:jc w:val="center"/>
            </w:pPr>
            <w:r>
              <w:t>1,26</w:t>
            </w:r>
          </w:p>
        </w:tc>
        <w:tc>
          <w:tcPr>
            <w:tcW w:w="3327" w:type="dxa"/>
            <w:vAlign w:val="center"/>
          </w:tcPr>
          <w:p>
            <w:pPr>
              <w:widowControl w:val="0"/>
              <w:jc w:val="center"/>
            </w:pPr>
            <w:r>
              <w:t>1,14</w:t>
            </w:r>
          </w:p>
        </w:tc>
      </w:tr>
      <w:tr>
        <w:trPr>
          <w:trHeight w:val="20"/>
        </w:trPr>
        <w:tc>
          <w:tcPr>
            <w:tcW w:w="903" w:type="dxa"/>
            <w:vAlign w:val="center"/>
          </w:tcPr>
          <w:p>
            <w:pPr>
              <w:widowControl w:val="0"/>
              <w:jc w:val="center"/>
            </w:pPr>
            <w:r>
              <w:t>15</w:t>
            </w:r>
          </w:p>
        </w:tc>
        <w:tc>
          <w:tcPr>
            <w:tcW w:w="1084" w:type="dxa"/>
            <w:vAlign w:val="center"/>
          </w:tcPr>
          <w:p>
            <w:pPr>
              <w:widowControl w:val="0"/>
              <w:jc w:val="center"/>
            </w:pPr>
            <w:r>
              <w:t>1,17</w:t>
            </w:r>
          </w:p>
        </w:tc>
        <w:tc>
          <w:tcPr>
            <w:tcW w:w="1083" w:type="dxa"/>
            <w:vAlign w:val="center"/>
          </w:tcPr>
          <w:p>
            <w:pPr>
              <w:widowControl w:val="0"/>
              <w:jc w:val="center"/>
            </w:pPr>
            <w:r>
              <w:t>1,12</w:t>
            </w:r>
          </w:p>
        </w:tc>
        <w:tc>
          <w:tcPr>
            <w:tcW w:w="2631" w:type="dxa"/>
            <w:vAlign w:val="center"/>
          </w:tcPr>
          <w:p>
            <w:pPr>
              <w:widowControl w:val="0"/>
              <w:jc w:val="center"/>
            </w:pPr>
            <w:r>
              <w:t>1,20</w:t>
            </w:r>
          </w:p>
        </w:tc>
        <w:tc>
          <w:tcPr>
            <w:tcW w:w="3327" w:type="dxa"/>
            <w:vAlign w:val="center"/>
          </w:tcPr>
          <w:p>
            <w:pPr>
              <w:widowControl w:val="0"/>
              <w:jc w:val="center"/>
            </w:pPr>
            <w:r>
              <w:t>1,11</w:t>
            </w:r>
          </w:p>
        </w:tc>
      </w:tr>
      <w:tr>
        <w:trPr>
          <w:trHeight w:val="20"/>
        </w:trPr>
        <w:tc>
          <w:tcPr>
            <w:tcW w:w="903" w:type="dxa"/>
            <w:vAlign w:val="center"/>
          </w:tcPr>
          <w:p>
            <w:pPr>
              <w:widowControl w:val="0"/>
              <w:jc w:val="center"/>
            </w:pPr>
            <w:r>
              <w:t>20</w:t>
            </w:r>
          </w:p>
        </w:tc>
        <w:tc>
          <w:tcPr>
            <w:tcW w:w="1084" w:type="dxa"/>
            <w:vAlign w:val="center"/>
          </w:tcPr>
          <w:p>
            <w:pPr>
              <w:widowControl w:val="0"/>
              <w:jc w:val="center"/>
            </w:pPr>
            <w:r>
              <w:t>1,12</w:t>
            </w:r>
          </w:p>
        </w:tc>
        <w:tc>
          <w:tcPr>
            <w:tcW w:w="1083" w:type="dxa"/>
            <w:vAlign w:val="center"/>
          </w:tcPr>
          <w:p>
            <w:pPr>
              <w:widowControl w:val="0"/>
              <w:jc w:val="center"/>
            </w:pPr>
            <w:r>
              <w:t>1,08</w:t>
            </w:r>
          </w:p>
        </w:tc>
        <w:tc>
          <w:tcPr>
            <w:tcW w:w="2631" w:type="dxa"/>
            <w:vAlign w:val="center"/>
          </w:tcPr>
          <w:p>
            <w:pPr>
              <w:widowControl w:val="0"/>
              <w:jc w:val="center"/>
            </w:pPr>
            <w:r>
              <w:t>1,14</w:t>
            </w:r>
          </w:p>
        </w:tc>
        <w:tc>
          <w:tcPr>
            <w:tcW w:w="3327" w:type="dxa"/>
            <w:vAlign w:val="center"/>
          </w:tcPr>
          <w:p>
            <w:pPr>
              <w:widowControl w:val="0"/>
              <w:jc w:val="center"/>
            </w:pPr>
            <w:r>
              <w:t>1,07</w:t>
            </w:r>
          </w:p>
        </w:tc>
      </w:tr>
      <w:tr>
        <w:trPr>
          <w:trHeight w:val="20"/>
        </w:trPr>
        <w:tc>
          <w:tcPr>
            <w:tcW w:w="903" w:type="dxa"/>
            <w:vAlign w:val="center"/>
          </w:tcPr>
          <w:p>
            <w:pPr>
              <w:widowControl w:val="0"/>
              <w:jc w:val="center"/>
            </w:pPr>
            <w:r>
              <w:t>25</w:t>
            </w:r>
          </w:p>
        </w:tc>
        <w:tc>
          <w:tcPr>
            <w:tcW w:w="1084" w:type="dxa"/>
            <w:vAlign w:val="center"/>
          </w:tcPr>
          <w:p>
            <w:pPr>
              <w:widowControl w:val="0"/>
              <w:jc w:val="center"/>
            </w:pPr>
            <w:r>
              <w:t>1,06</w:t>
            </w:r>
          </w:p>
        </w:tc>
        <w:tc>
          <w:tcPr>
            <w:tcW w:w="1083" w:type="dxa"/>
            <w:vAlign w:val="center"/>
          </w:tcPr>
          <w:p>
            <w:pPr>
              <w:widowControl w:val="0"/>
              <w:jc w:val="center"/>
            </w:pPr>
            <w:r>
              <w:t>1,04</w:t>
            </w:r>
          </w:p>
        </w:tc>
        <w:tc>
          <w:tcPr>
            <w:tcW w:w="2631" w:type="dxa"/>
            <w:vAlign w:val="center"/>
          </w:tcPr>
          <w:p>
            <w:pPr>
              <w:widowControl w:val="0"/>
              <w:jc w:val="center"/>
            </w:pPr>
            <w:r>
              <w:t>1,07</w:t>
            </w:r>
          </w:p>
        </w:tc>
        <w:tc>
          <w:tcPr>
            <w:tcW w:w="3327" w:type="dxa"/>
            <w:vAlign w:val="center"/>
          </w:tcPr>
          <w:p>
            <w:pPr>
              <w:widowControl w:val="0"/>
              <w:jc w:val="center"/>
            </w:pPr>
            <w:r>
              <w:t>1,04</w:t>
            </w:r>
          </w:p>
        </w:tc>
      </w:tr>
      <w:tr>
        <w:trPr>
          <w:trHeight w:val="20"/>
        </w:trPr>
        <w:tc>
          <w:tcPr>
            <w:tcW w:w="903" w:type="dxa"/>
            <w:vAlign w:val="center"/>
          </w:tcPr>
          <w:p>
            <w:pPr>
              <w:widowControl w:val="0"/>
              <w:jc w:val="center"/>
            </w:pPr>
            <w:r>
              <w:t>35</w:t>
            </w:r>
          </w:p>
        </w:tc>
        <w:tc>
          <w:tcPr>
            <w:tcW w:w="1084" w:type="dxa"/>
            <w:vAlign w:val="center"/>
          </w:tcPr>
          <w:p>
            <w:pPr>
              <w:widowControl w:val="0"/>
              <w:jc w:val="center"/>
            </w:pPr>
            <w:r>
              <w:t>0,94</w:t>
            </w:r>
          </w:p>
        </w:tc>
        <w:tc>
          <w:tcPr>
            <w:tcW w:w="1083" w:type="dxa"/>
            <w:vAlign w:val="center"/>
          </w:tcPr>
          <w:p>
            <w:pPr>
              <w:widowControl w:val="0"/>
              <w:jc w:val="center"/>
            </w:pPr>
            <w:r>
              <w:t>0,96</w:t>
            </w:r>
          </w:p>
        </w:tc>
        <w:tc>
          <w:tcPr>
            <w:tcW w:w="2631" w:type="dxa"/>
            <w:vAlign w:val="center"/>
          </w:tcPr>
          <w:p>
            <w:pPr>
              <w:widowControl w:val="0"/>
              <w:jc w:val="center"/>
            </w:pPr>
            <w:r>
              <w:t>0,93</w:t>
            </w:r>
          </w:p>
        </w:tc>
        <w:tc>
          <w:tcPr>
            <w:tcW w:w="3327" w:type="dxa"/>
            <w:vAlign w:val="center"/>
          </w:tcPr>
          <w:p>
            <w:pPr>
              <w:widowControl w:val="0"/>
              <w:jc w:val="center"/>
            </w:pPr>
            <w:r>
              <w:t>0,96</w:t>
            </w:r>
          </w:p>
        </w:tc>
      </w:tr>
      <w:tr>
        <w:trPr>
          <w:trHeight w:val="20"/>
        </w:trPr>
        <w:tc>
          <w:tcPr>
            <w:tcW w:w="903" w:type="dxa"/>
            <w:vAlign w:val="center"/>
          </w:tcPr>
          <w:p>
            <w:pPr>
              <w:widowControl w:val="0"/>
              <w:jc w:val="center"/>
            </w:pPr>
            <w:r>
              <w:t>40</w:t>
            </w:r>
          </w:p>
        </w:tc>
        <w:tc>
          <w:tcPr>
            <w:tcW w:w="1084" w:type="dxa"/>
            <w:vAlign w:val="center"/>
          </w:tcPr>
          <w:p>
            <w:pPr>
              <w:widowControl w:val="0"/>
              <w:jc w:val="center"/>
            </w:pPr>
            <w:r>
              <w:t>0,87</w:t>
            </w:r>
          </w:p>
        </w:tc>
        <w:tc>
          <w:tcPr>
            <w:tcW w:w="1083" w:type="dxa"/>
            <w:vAlign w:val="center"/>
          </w:tcPr>
          <w:p>
            <w:pPr>
              <w:widowControl w:val="0"/>
              <w:jc w:val="center"/>
            </w:pPr>
            <w:r>
              <w:t>0,91</w:t>
            </w:r>
          </w:p>
        </w:tc>
        <w:tc>
          <w:tcPr>
            <w:tcW w:w="2631" w:type="dxa"/>
            <w:vAlign w:val="center"/>
          </w:tcPr>
          <w:p>
            <w:pPr>
              <w:widowControl w:val="0"/>
              <w:jc w:val="center"/>
            </w:pPr>
            <w:r>
              <w:t>0,85</w:t>
            </w:r>
          </w:p>
        </w:tc>
        <w:tc>
          <w:tcPr>
            <w:tcW w:w="3327" w:type="dxa"/>
            <w:vAlign w:val="center"/>
          </w:tcPr>
          <w:p>
            <w:pPr>
              <w:widowControl w:val="0"/>
              <w:jc w:val="center"/>
            </w:pPr>
            <w:r>
              <w:t>0,92</w:t>
            </w:r>
          </w:p>
        </w:tc>
      </w:tr>
      <w:tr>
        <w:trPr>
          <w:trHeight w:val="20"/>
        </w:trPr>
        <w:tc>
          <w:tcPr>
            <w:tcW w:w="903" w:type="dxa"/>
            <w:vAlign w:val="center"/>
          </w:tcPr>
          <w:p>
            <w:pPr>
              <w:widowControl w:val="0"/>
              <w:jc w:val="center"/>
            </w:pPr>
            <w:r>
              <w:t>45</w:t>
            </w:r>
          </w:p>
        </w:tc>
        <w:tc>
          <w:tcPr>
            <w:tcW w:w="1084" w:type="dxa"/>
            <w:vAlign w:val="center"/>
          </w:tcPr>
          <w:p>
            <w:pPr>
              <w:widowControl w:val="0"/>
              <w:jc w:val="center"/>
            </w:pPr>
            <w:r>
              <w:t>0,79</w:t>
            </w:r>
          </w:p>
        </w:tc>
        <w:tc>
          <w:tcPr>
            <w:tcW w:w="1083" w:type="dxa"/>
            <w:vAlign w:val="center"/>
          </w:tcPr>
          <w:p>
            <w:pPr>
              <w:widowControl w:val="0"/>
              <w:jc w:val="center"/>
            </w:pPr>
            <w:r>
              <w:t>0,87</w:t>
            </w:r>
          </w:p>
        </w:tc>
        <w:tc>
          <w:tcPr>
            <w:tcW w:w="2631" w:type="dxa"/>
            <w:vAlign w:val="center"/>
          </w:tcPr>
          <w:p>
            <w:pPr>
              <w:widowControl w:val="0"/>
              <w:jc w:val="center"/>
            </w:pPr>
            <w:r>
              <w:t>0,77</w:t>
            </w:r>
          </w:p>
        </w:tc>
        <w:tc>
          <w:tcPr>
            <w:tcW w:w="3327" w:type="dxa"/>
            <w:vAlign w:val="center"/>
          </w:tcPr>
          <w:p>
            <w:pPr>
              <w:widowControl w:val="0"/>
              <w:jc w:val="center"/>
            </w:pPr>
            <w:r>
              <w:t>0,88</w:t>
            </w:r>
          </w:p>
        </w:tc>
      </w:tr>
      <w:tr>
        <w:trPr>
          <w:trHeight w:val="20"/>
        </w:trPr>
        <w:tc>
          <w:tcPr>
            <w:tcW w:w="903" w:type="dxa"/>
            <w:vAlign w:val="center"/>
          </w:tcPr>
          <w:p>
            <w:pPr>
              <w:widowControl w:val="0"/>
              <w:jc w:val="center"/>
            </w:pPr>
            <w:r>
              <w:t>50</w:t>
            </w:r>
          </w:p>
        </w:tc>
        <w:tc>
          <w:tcPr>
            <w:tcW w:w="1084" w:type="dxa"/>
            <w:vAlign w:val="center"/>
          </w:tcPr>
          <w:p>
            <w:pPr>
              <w:widowControl w:val="0"/>
              <w:jc w:val="center"/>
            </w:pPr>
            <w:r>
              <w:t>0,71</w:t>
            </w:r>
          </w:p>
        </w:tc>
        <w:tc>
          <w:tcPr>
            <w:tcW w:w="1083" w:type="dxa"/>
            <w:vAlign w:val="center"/>
          </w:tcPr>
          <w:p>
            <w:pPr>
              <w:widowControl w:val="0"/>
              <w:jc w:val="center"/>
            </w:pPr>
            <w:r>
              <w:t>0,82</w:t>
            </w:r>
          </w:p>
        </w:tc>
        <w:tc>
          <w:tcPr>
            <w:tcW w:w="2631" w:type="dxa"/>
            <w:vAlign w:val="center"/>
          </w:tcPr>
          <w:p>
            <w:pPr>
              <w:widowControl w:val="0"/>
              <w:jc w:val="center"/>
            </w:pPr>
            <w:r>
              <w:t>0,67</w:t>
            </w:r>
          </w:p>
        </w:tc>
        <w:tc>
          <w:tcPr>
            <w:tcW w:w="3327" w:type="dxa"/>
            <w:vAlign w:val="center"/>
          </w:tcPr>
          <w:p>
            <w:pPr>
              <w:widowControl w:val="0"/>
              <w:jc w:val="center"/>
            </w:pPr>
            <w:r>
              <w:t>0,84</w:t>
            </w:r>
          </w:p>
        </w:tc>
      </w:tr>
      <w:tr>
        <w:trPr>
          <w:trHeight w:val="20"/>
        </w:trPr>
        <w:tc>
          <w:tcPr>
            <w:tcW w:w="903" w:type="dxa"/>
            <w:vAlign w:val="center"/>
          </w:tcPr>
          <w:p>
            <w:pPr>
              <w:widowControl w:val="0"/>
              <w:jc w:val="center"/>
            </w:pPr>
            <w:r>
              <w:t>55</w:t>
            </w:r>
          </w:p>
        </w:tc>
        <w:tc>
          <w:tcPr>
            <w:tcW w:w="1084" w:type="dxa"/>
            <w:vAlign w:val="center"/>
          </w:tcPr>
          <w:p>
            <w:pPr>
              <w:widowControl w:val="0"/>
              <w:jc w:val="center"/>
            </w:pPr>
            <w:r>
              <w:t>0,61</w:t>
            </w:r>
          </w:p>
        </w:tc>
        <w:tc>
          <w:tcPr>
            <w:tcW w:w="1083" w:type="dxa"/>
            <w:vAlign w:val="center"/>
          </w:tcPr>
          <w:p>
            <w:pPr>
              <w:widowControl w:val="0"/>
              <w:jc w:val="center"/>
            </w:pPr>
            <w:r>
              <w:t>0,76</w:t>
            </w:r>
          </w:p>
        </w:tc>
        <w:tc>
          <w:tcPr>
            <w:tcW w:w="2631" w:type="dxa"/>
            <w:vAlign w:val="center"/>
          </w:tcPr>
          <w:p>
            <w:pPr>
              <w:widowControl w:val="0"/>
              <w:jc w:val="center"/>
            </w:pPr>
            <w:r>
              <w:t>0,57</w:t>
            </w:r>
          </w:p>
        </w:tc>
        <w:tc>
          <w:tcPr>
            <w:tcW w:w="3327" w:type="dxa"/>
            <w:vAlign w:val="center"/>
          </w:tcPr>
          <w:p>
            <w:pPr>
              <w:widowControl w:val="0"/>
              <w:jc w:val="center"/>
            </w:pPr>
            <w:r>
              <w:t>0,80</w:t>
            </w:r>
          </w:p>
        </w:tc>
      </w:tr>
      <w:tr>
        <w:trPr>
          <w:trHeight w:val="20"/>
        </w:trPr>
        <w:tc>
          <w:tcPr>
            <w:tcW w:w="903" w:type="dxa"/>
            <w:vAlign w:val="center"/>
          </w:tcPr>
          <w:p>
            <w:pPr>
              <w:widowControl w:val="0"/>
              <w:jc w:val="center"/>
            </w:pPr>
            <w:r>
              <w:t>60</w:t>
            </w:r>
          </w:p>
        </w:tc>
        <w:tc>
          <w:tcPr>
            <w:tcW w:w="1084" w:type="dxa"/>
            <w:vAlign w:val="center"/>
          </w:tcPr>
          <w:p>
            <w:pPr>
              <w:widowControl w:val="0"/>
              <w:jc w:val="center"/>
            </w:pPr>
            <w:r>
              <w:t>0,50</w:t>
            </w:r>
          </w:p>
        </w:tc>
        <w:tc>
          <w:tcPr>
            <w:tcW w:w="1083" w:type="dxa"/>
            <w:vAlign w:val="center"/>
          </w:tcPr>
          <w:p>
            <w:pPr>
              <w:widowControl w:val="0"/>
              <w:jc w:val="center"/>
            </w:pPr>
            <w:r>
              <w:t>0,71</w:t>
            </w:r>
          </w:p>
        </w:tc>
        <w:tc>
          <w:tcPr>
            <w:tcW w:w="2631" w:type="dxa"/>
            <w:vAlign w:val="center"/>
          </w:tcPr>
          <w:p>
            <w:pPr>
              <w:widowControl w:val="0"/>
              <w:jc w:val="center"/>
            </w:pPr>
            <w:r>
              <w:t>0,45</w:t>
            </w:r>
          </w:p>
        </w:tc>
        <w:tc>
          <w:tcPr>
            <w:tcW w:w="3327" w:type="dxa"/>
            <w:vAlign w:val="center"/>
          </w:tcPr>
          <w:p>
            <w:pPr>
              <w:widowControl w:val="0"/>
              <w:jc w:val="center"/>
            </w:pPr>
            <w:r>
              <w:t>0,75</w:t>
            </w:r>
          </w:p>
        </w:tc>
      </w:tr>
      <w:tr>
        <w:trPr>
          <w:trHeight w:val="20"/>
        </w:trPr>
        <w:tc>
          <w:tcPr>
            <w:tcW w:w="903" w:type="dxa"/>
            <w:vAlign w:val="center"/>
          </w:tcPr>
          <w:p>
            <w:pPr>
              <w:widowControl w:val="0"/>
              <w:jc w:val="center"/>
            </w:pPr>
            <w:r>
              <w:t>65</w:t>
            </w:r>
          </w:p>
        </w:tc>
        <w:tc>
          <w:tcPr>
            <w:tcW w:w="1084" w:type="dxa"/>
            <w:vAlign w:val="center"/>
          </w:tcPr>
          <w:p>
            <w:pPr>
              <w:widowControl w:val="0"/>
              <w:jc w:val="center"/>
            </w:pPr>
            <w:r>
              <w:t>–</w:t>
            </w:r>
          </w:p>
        </w:tc>
        <w:tc>
          <w:tcPr>
            <w:tcW w:w="1083" w:type="dxa"/>
            <w:vAlign w:val="center"/>
          </w:tcPr>
          <w:p>
            <w:pPr>
              <w:widowControl w:val="0"/>
              <w:jc w:val="center"/>
            </w:pPr>
            <w:r>
              <w:t>0,65</w:t>
            </w:r>
          </w:p>
        </w:tc>
        <w:tc>
          <w:tcPr>
            <w:tcW w:w="2631" w:type="dxa"/>
            <w:vAlign w:val="center"/>
          </w:tcPr>
          <w:p>
            <w:pPr>
              <w:widowControl w:val="0"/>
              <w:jc w:val="center"/>
            </w:pPr>
            <w:r>
              <w:t>–</w:t>
            </w:r>
          </w:p>
        </w:tc>
        <w:tc>
          <w:tcPr>
            <w:tcW w:w="3327" w:type="dxa"/>
            <w:vAlign w:val="center"/>
          </w:tcPr>
          <w:p>
            <w:pPr>
              <w:widowControl w:val="0"/>
              <w:jc w:val="center"/>
            </w:pPr>
            <w:r>
              <w:t>0,70</w:t>
            </w:r>
          </w:p>
        </w:tc>
      </w:tr>
      <w:tr>
        <w:trPr>
          <w:trHeight w:val="20"/>
        </w:trPr>
        <w:tc>
          <w:tcPr>
            <w:tcW w:w="903" w:type="dxa"/>
            <w:vAlign w:val="center"/>
          </w:tcPr>
          <w:p>
            <w:pPr>
              <w:widowControl w:val="0"/>
              <w:jc w:val="center"/>
            </w:pPr>
            <w:r>
              <w:t>70</w:t>
            </w:r>
          </w:p>
        </w:tc>
        <w:tc>
          <w:tcPr>
            <w:tcW w:w="1084" w:type="dxa"/>
            <w:vAlign w:val="center"/>
          </w:tcPr>
          <w:p>
            <w:pPr>
              <w:widowControl w:val="0"/>
              <w:jc w:val="center"/>
            </w:pPr>
            <w:r>
              <w:t>–</w:t>
            </w:r>
          </w:p>
        </w:tc>
        <w:tc>
          <w:tcPr>
            <w:tcW w:w="1083" w:type="dxa"/>
            <w:vAlign w:val="center"/>
          </w:tcPr>
          <w:p>
            <w:pPr>
              <w:widowControl w:val="0"/>
              <w:jc w:val="center"/>
            </w:pPr>
            <w:r>
              <w:t>0,58</w:t>
            </w:r>
          </w:p>
        </w:tc>
        <w:tc>
          <w:tcPr>
            <w:tcW w:w="2631" w:type="dxa"/>
            <w:vAlign w:val="center"/>
          </w:tcPr>
          <w:p>
            <w:pPr>
              <w:widowControl w:val="0"/>
              <w:jc w:val="center"/>
            </w:pPr>
            <w:r>
              <w:t>–</w:t>
            </w:r>
          </w:p>
        </w:tc>
        <w:tc>
          <w:tcPr>
            <w:tcW w:w="3327" w:type="dxa"/>
            <w:vAlign w:val="center"/>
          </w:tcPr>
          <w:p>
            <w:pPr>
              <w:widowControl w:val="0"/>
              <w:jc w:val="center"/>
            </w:pPr>
            <w:r>
              <w:t>0,65</w:t>
            </w:r>
          </w:p>
        </w:tc>
      </w:tr>
      <w:tr>
        <w:trPr>
          <w:trHeight w:val="20"/>
        </w:trPr>
        <w:tc>
          <w:tcPr>
            <w:tcW w:w="903" w:type="dxa"/>
            <w:vAlign w:val="center"/>
          </w:tcPr>
          <w:p>
            <w:pPr>
              <w:widowControl w:val="0"/>
              <w:jc w:val="center"/>
            </w:pPr>
            <w:r>
              <w:t>75</w:t>
            </w:r>
          </w:p>
        </w:tc>
        <w:tc>
          <w:tcPr>
            <w:tcW w:w="1084" w:type="dxa"/>
            <w:vAlign w:val="center"/>
          </w:tcPr>
          <w:p>
            <w:pPr>
              <w:widowControl w:val="0"/>
              <w:jc w:val="center"/>
            </w:pPr>
            <w:r>
              <w:t>–</w:t>
            </w:r>
          </w:p>
        </w:tc>
        <w:tc>
          <w:tcPr>
            <w:tcW w:w="1083" w:type="dxa"/>
            <w:vAlign w:val="center"/>
          </w:tcPr>
          <w:p>
            <w:pPr>
              <w:widowControl w:val="0"/>
              <w:jc w:val="center"/>
            </w:pPr>
            <w:r>
              <w:t>0,50</w:t>
            </w:r>
          </w:p>
        </w:tc>
        <w:tc>
          <w:tcPr>
            <w:tcW w:w="2631" w:type="dxa"/>
            <w:vAlign w:val="center"/>
          </w:tcPr>
          <w:p>
            <w:pPr>
              <w:widowControl w:val="0"/>
              <w:jc w:val="center"/>
            </w:pPr>
            <w:r>
              <w:t>–</w:t>
            </w:r>
          </w:p>
        </w:tc>
        <w:tc>
          <w:tcPr>
            <w:tcW w:w="3327" w:type="dxa"/>
            <w:vAlign w:val="center"/>
          </w:tcPr>
          <w:p>
            <w:pPr>
              <w:widowControl w:val="0"/>
              <w:jc w:val="center"/>
            </w:pPr>
            <w:r>
              <w:t>0,60</w:t>
            </w:r>
          </w:p>
        </w:tc>
      </w:tr>
      <w:tr>
        <w:trPr>
          <w:trHeight w:val="20"/>
        </w:trPr>
        <w:tc>
          <w:tcPr>
            <w:tcW w:w="903" w:type="dxa"/>
            <w:vAlign w:val="center"/>
          </w:tcPr>
          <w:p>
            <w:pPr>
              <w:widowControl w:val="0"/>
              <w:jc w:val="center"/>
            </w:pPr>
            <w:r>
              <w:t>80</w:t>
            </w:r>
          </w:p>
        </w:tc>
        <w:tc>
          <w:tcPr>
            <w:tcW w:w="1084" w:type="dxa"/>
            <w:vAlign w:val="center"/>
          </w:tcPr>
          <w:p>
            <w:pPr>
              <w:widowControl w:val="0"/>
              <w:jc w:val="center"/>
            </w:pPr>
            <w:r>
              <w:t>–</w:t>
            </w:r>
          </w:p>
        </w:tc>
        <w:tc>
          <w:tcPr>
            <w:tcW w:w="1083" w:type="dxa"/>
            <w:vAlign w:val="center"/>
          </w:tcPr>
          <w:p>
            <w:pPr>
              <w:widowControl w:val="0"/>
              <w:jc w:val="center"/>
            </w:pPr>
            <w:r>
              <w:t>0,41</w:t>
            </w:r>
          </w:p>
        </w:tc>
        <w:tc>
          <w:tcPr>
            <w:tcW w:w="2631" w:type="dxa"/>
            <w:vAlign w:val="center"/>
          </w:tcPr>
          <w:p>
            <w:pPr>
              <w:widowControl w:val="0"/>
              <w:jc w:val="center"/>
            </w:pPr>
            <w:r>
              <w:t>–</w:t>
            </w:r>
          </w:p>
        </w:tc>
        <w:tc>
          <w:tcPr>
            <w:tcW w:w="3327" w:type="dxa"/>
            <w:vAlign w:val="center"/>
          </w:tcPr>
          <w:p>
            <w:pPr>
              <w:widowControl w:val="0"/>
              <w:jc w:val="center"/>
            </w:pPr>
            <w:r>
              <w:t>0,54</w:t>
            </w:r>
          </w:p>
        </w:tc>
      </w:tr>
      <w:tr>
        <w:trPr>
          <w:trHeight w:val="20"/>
        </w:trPr>
        <w:tc>
          <w:tcPr>
            <w:tcW w:w="903" w:type="dxa"/>
            <w:vAlign w:val="center"/>
          </w:tcPr>
          <w:p>
            <w:pPr>
              <w:widowControl w:val="0"/>
              <w:jc w:val="center"/>
            </w:pPr>
            <w:r>
              <w:t>85</w:t>
            </w:r>
          </w:p>
        </w:tc>
        <w:tc>
          <w:tcPr>
            <w:tcW w:w="1084" w:type="dxa"/>
            <w:vAlign w:val="center"/>
          </w:tcPr>
          <w:p>
            <w:pPr>
              <w:widowControl w:val="0"/>
              <w:jc w:val="center"/>
            </w:pPr>
            <w:r>
              <w:t>–</w:t>
            </w:r>
          </w:p>
        </w:tc>
        <w:tc>
          <w:tcPr>
            <w:tcW w:w="1083" w:type="dxa"/>
            <w:vAlign w:val="center"/>
          </w:tcPr>
          <w:p>
            <w:pPr>
              <w:widowControl w:val="0"/>
              <w:jc w:val="center"/>
            </w:pPr>
            <w:r>
              <w:t>–</w:t>
            </w:r>
          </w:p>
        </w:tc>
        <w:tc>
          <w:tcPr>
            <w:tcW w:w="2631" w:type="dxa"/>
            <w:vAlign w:val="center"/>
          </w:tcPr>
          <w:p>
            <w:pPr>
              <w:widowControl w:val="0"/>
              <w:jc w:val="center"/>
            </w:pPr>
            <w:r>
              <w:t>–</w:t>
            </w:r>
          </w:p>
        </w:tc>
        <w:tc>
          <w:tcPr>
            <w:tcW w:w="3327" w:type="dxa"/>
            <w:vAlign w:val="center"/>
          </w:tcPr>
          <w:p>
            <w:pPr>
              <w:widowControl w:val="0"/>
              <w:jc w:val="center"/>
            </w:pPr>
            <w:r>
              <w:t>0,47</w:t>
            </w:r>
          </w:p>
        </w:tc>
      </w:tr>
      <w:tr>
        <w:trPr>
          <w:trHeight w:val="20"/>
        </w:trPr>
        <w:tc>
          <w:tcPr>
            <w:tcW w:w="903" w:type="dxa"/>
            <w:vAlign w:val="center"/>
          </w:tcPr>
          <w:p>
            <w:pPr>
              <w:widowControl w:val="0"/>
              <w:jc w:val="center"/>
            </w:pPr>
            <w:r>
              <w:t>90</w:t>
            </w:r>
          </w:p>
        </w:tc>
        <w:tc>
          <w:tcPr>
            <w:tcW w:w="1084" w:type="dxa"/>
            <w:vAlign w:val="center"/>
          </w:tcPr>
          <w:p>
            <w:pPr>
              <w:widowControl w:val="0"/>
              <w:jc w:val="center"/>
            </w:pPr>
            <w:r>
              <w:t>–</w:t>
            </w:r>
          </w:p>
        </w:tc>
        <w:tc>
          <w:tcPr>
            <w:tcW w:w="1083" w:type="dxa"/>
            <w:vAlign w:val="center"/>
          </w:tcPr>
          <w:p>
            <w:pPr>
              <w:widowControl w:val="0"/>
              <w:jc w:val="center"/>
            </w:pPr>
            <w:r>
              <w:t>–</w:t>
            </w:r>
          </w:p>
        </w:tc>
        <w:tc>
          <w:tcPr>
            <w:tcW w:w="2631" w:type="dxa"/>
            <w:vAlign w:val="center"/>
          </w:tcPr>
          <w:p>
            <w:pPr>
              <w:widowControl w:val="0"/>
              <w:jc w:val="center"/>
            </w:pPr>
            <w:r>
              <w:t>–</w:t>
            </w:r>
          </w:p>
        </w:tc>
        <w:tc>
          <w:tcPr>
            <w:tcW w:w="3327" w:type="dxa"/>
            <w:vAlign w:val="center"/>
          </w:tcPr>
          <w:p>
            <w:pPr>
              <w:widowControl w:val="0"/>
              <w:jc w:val="center"/>
            </w:pPr>
            <w:r>
              <w:t>0,40</w:t>
            </w:r>
          </w:p>
        </w:tc>
      </w:tr>
      <w:tr>
        <w:trPr>
          <w:trHeight w:val="20"/>
        </w:trPr>
        <w:tc>
          <w:tcPr>
            <w:tcW w:w="903" w:type="dxa"/>
            <w:vAlign w:val="center"/>
          </w:tcPr>
          <w:p>
            <w:pPr>
              <w:widowControl w:val="0"/>
              <w:jc w:val="center"/>
            </w:pPr>
            <w:r>
              <w:t>95</w:t>
            </w:r>
          </w:p>
        </w:tc>
        <w:tc>
          <w:tcPr>
            <w:tcW w:w="1084" w:type="dxa"/>
            <w:vAlign w:val="center"/>
          </w:tcPr>
          <w:p>
            <w:pPr>
              <w:widowControl w:val="0"/>
              <w:jc w:val="center"/>
            </w:pPr>
            <w:r>
              <w:t>–</w:t>
            </w:r>
          </w:p>
        </w:tc>
        <w:tc>
          <w:tcPr>
            <w:tcW w:w="1083" w:type="dxa"/>
            <w:vAlign w:val="center"/>
          </w:tcPr>
          <w:p>
            <w:pPr>
              <w:widowControl w:val="0"/>
              <w:jc w:val="center"/>
            </w:pPr>
            <w:r>
              <w:t>–</w:t>
            </w:r>
          </w:p>
        </w:tc>
        <w:tc>
          <w:tcPr>
            <w:tcW w:w="2631" w:type="dxa"/>
            <w:vAlign w:val="center"/>
          </w:tcPr>
          <w:p>
            <w:pPr>
              <w:widowControl w:val="0"/>
              <w:jc w:val="center"/>
            </w:pPr>
            <w:r>
              <w:t>–</w:t>
            </w:r>
          </w:p>
        </w:tc>
        <w:tc>
          <w:tcPr>
            <w:tcW w:w="3327" w:type="dxa"/>
            <w:vAlign w:val="center"/>
          </w:tcPr>
          <w:p>
            <w:pPr>
              <w:widowControl w:val="0"/>
              <w:jc w:val="center"/>
            </w:pPr>
            <w:r>
              <w:t>0,32</w:t>
            </w:r>
          </w:p>
        </w:tc>
      </w:tr>
    </w:tbl>
    <w:p>
      <w:pPr>
        <w:widowControl w:val="0"/>
        <w:ind w:firstLine="284"/>
        <w:jc w:val="both"/>
        <w:rPr>
          <w:b/>
        </w:rPr>
      </w:pPr>
    </w:p>
    <w:p>
      <w:pPr>
        <w:widowControl w:val="0"/>
        <w:ind w:firstLine="567"/>
        <w:jc w:val="both"/>
        <w:rPr>
          <w:b/>
        </w:rPr>
      </w:pPr>
      <w:r>
        <w:rPr>
          <w:b/>
        </w:rPr>
        <w:t>10 lentelė. Ilgalaikės leistinosios srovės pataisos koeficientai, esant kitokiai nei 20 oc žemės temperatūrai</w:t>
      </w:r>
    </w:p>
    <w:p>
      <w:pPr>
        <w:widowControl w:val="0"/>
        <w:ind w:firstLine="567"/>
        <w:jc w:val="both"/>
      </w:pPr>
    </w:p>
    <w:p>
      <w:pPr>
        <w:widowControl w:val="0"/>
        <w:ind w:firstLine="567"/>
        <w:jc w:val="both"/>
        <w:rPr>
          <w:spacing w:val="-4"/>
        </w:rPr>
      </w:pPr>
      <w:r>
        <w:t>Taiko</w:t>
      </w:r>
      <w:r>
        <w:rPr>
          <w:spacing w:val="-4"/>
        </w:rPr>
        <w:t>mi žemėje, vamzdžiuose, nutiestų kabelių ilgalaikei leistinajai srovei.</w:t>
      </w:r>
    </w:p>
    <w:p>
      <w:pPr>
        <w:widowControl w:val="0"/>
        <w:jc w:val="both"/>
        <w:rPr>
          <w:iC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2602"/>
        <w:gridCol w:w="3582"/>
      </w:tblGrid>
      <w:tr>
        <w:trPr>
          <w:cantSplit/>
          <w:trHeight w:val="20"/>
        </w:trPr>
        <w:tc>
          <w:tcPr>
            <w:tcW w:w="2898" w:type="dxa"/>
            <w:vMerge w:val="restart"/>
            <w:vAlign w:val="center"/>
          </w:tcPr>
          <w:p>
            <w:pPr>
              <w:widowControl w:val="0"/>
              <w:jc w:val="center"/>
            </w:pPr>
            <w:r>
              <w:t>Žemės temperatūra,</w:t>
            </w:r>
            <w:r>
              <w:rPr>
                <w:vertAlign w:val="superscript"/>
              </w:rPr>
              <w:t xml:space="preserve"> o</w:t>
            </w:r>
            <w:r>
              <w:t>C</w:t>
            </w:r>
          </w:p>
        </w:tc>
        <w:tc>
          <w:tcPr>
            <w:tcW w:w="6210" w:type="dxa"/>
            <w:gridSpan w:val="2"/>
            <w:vAlign w:val="center"/>
          </w:tcPr>
          <w:p>
            <w:pPr>
              <w:widowControl w:val="0"/>
              <w:jc w:val="center"/>
            </w:pPr>
            <w:r>
              <w:t>Izoliacija</w:t>
            </w:r>
          </w:p>
        </w:tc>
      </w:tr>
      <w:tr>
        <w:trPr>
          <w:cantSplit/>
          <w:trHeight w:val="20"/>
        </w:trPr>
        <w:tc>
          <w:tcPr>
            <w:tcW w:w="2898" w:type="dxa"/>
            <w:vMerge/>
            <w:vAlign w:val="center"/>
          </w:tcPr>
          <w:p>
            <w:pPr>
              <w:widowControl w:val="0"/>
              <w:jc w:val="center"/>
            </w:pPr>
          </w:p>
        </w:tc>
        <w:tc>
          <w:tcPr>
            <w:tcW w:w="2613" w:type="dxa"/>
            <w:vAlign w:val="center"/>
          </w:tcPr>
          <w:p>
            <w:pPr>
              <w:widowControl w:val="0"/>
              <w:jc w:val="center"/>
            </w:pPr>
            <w:r>
              <w:t>PVC</w:t>
            </w:r>
          </w:p>
        </w:tc>
        <w:tc>
          <w:tcPr>
            <w:tcW w:w="3597" w:type="dxa"/>
            <w:vAlign w:val="center"/>
          </w:tcPr>
          <w:p>
            <w:pPr>
              <w:widowControl w:val="0"/>
              <w:jc w:val="center"/>
            </w:pPr>
            <w:r>
              <w:t>XLPE arba EPR</w:t>
            </w:r>
          </w:p>
        </w:tc>
      </w:tr>
      <w:tr>
        <w:trPr>
          <w:cantSplit/>
          <w:trHeight w:val="20"/>
        </w:trPr>
        <w:tc>
          <w:tcPr>
            <w:tcW w:w="2898" w:type="dxa"/>
            <w:vAlign w:val="center"/>
          </w:tcPr>
          <w:p>
            <w:pPr>
              <w:widowControl w:val="0"/>
              <w:jc w:val="center"/>
            </w:pPr>
            <w:r>
              <w:t>10</w:t>
            </w:r>
          </w:p>
        </w:tc>
        <w:tc>
          <w:tcPr>
            <w:tcW w:w="2613" w:type="dxa"/>
            <w:vAlign w:val="center"/>
          </w:tcPr>
          <w:p>
            <w:pPr>
              <w:widowControl w:val="0"/>
              <w:jc w:val="center"/>
            </w:pPr>
            <w:r>
              <w:t>1,10</w:t>
            </w:r>
          </w:p>
        </w:tc>
        <w:tc>
          <w:tcPr>
            <w:tcW w:w="3597" w:type="dxa"/>
            <w:vAlign w:val="center"/>
          </w:tcPr>
          <w:p>
            <w:pPr>
              <w:widowControl w:val="0"/>
              <w:jc w:val="center"/>
            </w:pPr>
            <w:r>
              <w:t>1,07</w:t>
            </w:r>
          </w:p>
        </w:tc>
      </w:tr>
      <w:tr>
        <w:trPr>
          <w:cantSplit/>
          <w:trHeight w:val="20"/>
        </w:trPr>
        <w:tc>
          <w:tcPr>
            <w:tcW w:w="2898" w:type="dxa"/>
            <w:vAlign w:val="center"/>
          </w:tcPr>
          <w:p>
            <w:pPr>
              <w:widowControl w:val="0"/>
              <w:jc w:val="center"/>
            </w:pPr>
            <w:r>
              <w:t>15</w:t>
            </w:r>
          </w:p>
        </w:tc>
        <w:tc>
          <w:tcPr>
            <w:tcW w:w="2613" w:type="dxa"/>
            <w:vAlign w:val="center"/>
          </w:tcPr>
          <w:p>
            <w:pPr>
              <w:widowControl w:val="0"/>
              <w:jc w:val="center"/>
            </w:pPr>
            <w:r>
              <w:t>1,05</w:t>
            </w:r>
          </w:p>
        </w:tc>
        <w:tc>
          <w:tcPr>
            <w:tcW w:w="3597" w:type="dxa"/>
            <w:vAlign w:val="center"/>
          </w:tcPr>
          <w:p>
            <w:pPr>
              <w:widowControl w:val="0"/>
              <w:jc w:val="center"/>
            </w:pPr>
            <w:r>
              <w:t>1,04</w:t>
            </w:r>
          </w:p>
        </w:tc>
      </w:tr>
      <w:tr>
        <w:trPr>
          <w:cantSplit/>
          <w:trHeight w:val="20"/>
        </w:trPr>
        <w:tc>
          <w:tcPr>
            <w:tcW w:w="2898" w:type="dxa"/>
            <w:vAlign w:val="center"/>
          </w:tcPr>
          <w:p>
            <w:pPr>
              <w:widowControl w:val="0"/>
              <w:jc w:val="center"/>
            </w:pPr>
            <w:r>
              <w:t>25</w:t>
            </w:r>
          </w:p>
        </w:tc>
        <w:tc>
          <w:tcPr>
            <w:tcW w:w="2613" w:type="dxa"/>
            <w:vAlign w:val="center"/>
          </w:tcPr>
          <w:p>
            <w:pPr>
              <w:widowControl w:val="0"/>
              <w:jc w:val="center"/>
            </w:pPr>
            <w:r>
              <w:t>0,95</w:t>
            </w:r>
          </w:p>
        </w:tc>
        <w:tc>
          <w:tcPr>
            <w:tcW w:w="3597" w:type="dxa"/>
            <w:vAlign w:val="center"/>
          </w:tcPr>
          <w:p>
            <w:pPr>
              <w:widowControl w:val="0"/>
              <w:jc w:val="center"/>
            </w:pPr>
            <w:r>
              <w:t>0,96</w:t>
            </w:r>
          </w:p>
        </w:tc>
      </w:tr>
      <w:tr>
        <w:trPr>
          <w:cantSplit/>
          <w:trHeight w:val="20"/>
        </w:trPr>
        <w:tc>
          <w:tcPr>
            <w:tcW w:w="2898" w:type="dxa"/>
            <w:vAlign w:val="center"/>
          </w:tcPr>
          <w:p>
            <w:pPr>
              <w:widowControl w:val="0"/>
              <w:jc w:val="center"/>
            </w:pPr>
            <w:r>
              <w:t>30</w:t>
            </w:r>
          </w:p>
        </w:tc>
        <w:tc>
          <w:tcPr>
            <w:tcW w:w="2613" w:type="dxa"/>
            <w:vAlign w:val="center"/>
          </w:tcPr>
          <w:p>
            <w:pPr>
              <w:widowControl w:val="0"/>
              <w:jc w:val="center"/>
            </w:pPr>
            <w:r>
              <w:t>0,89</w:t>
            </w:r>
          </w:p>
        </w:tc>
        <w:tc>
          <w:tcPr>
            <w:tcW w:w="3597" w:type="dxa"/>
            <w:vAlign w:val="center"/>
          </w:tcPr>
          <w:p>
            <w:pPr>
              <w:widowControl w:val="0"/>
              <w:jc w:val="center"/>
            </w:pPr>
            <w:r>
              <w:t>0,93</w:t>
            </w:r>
          </w:p>
        </w:tc>
      </w:tr>
      <w:tr>
        <w:trPr>
          <w:cantSplit/>
          <w:trHeight w:val="20"/>
        </w:trPr>
        <w:tc>
          <w:tcPr>
            <w:tcW w:w="2898" w:type="dxa"/>
            <w:vAlign w:val="center"/>
          </w:tcPr>
          <w:p>
            <w:pPr>
              <w:widowControl w:val="0"/>
              <w:jc w:val="center"/>
            </w:pPr>
            <w:r>
              <w:t>35</w:t>
            </w:r>
          </w:p>
        </w:tc>
        <w:tc>
          <w:tcPr>
            <w:tcW w:w="2613" w:type="dxa"/>
            <w:vAlign w:val="center"/>
          </w:tcPr>
          <w:p>
            <w:pPr>
              <w:widowControl w:val="0"/>
              <w:jc w:val="center"/>
            </w:pPr>
            <w:r>
              <w:t>0,84</w:t>
            </w:r>
          </w:p>
        </w:tc>
        <w:tc>
          <w:tcPr>
            <w:tcW w:w="3597" w:type="dxa"/>
            <w:vAlign w:val="center"/>
          </w:tcPr>
          <w:p>
            <w:pPr>
              <w:widowControl w:val="0"/>
              <w:jc w:val="center"/>
            </w:pPr>
            <w:r>
              <w:t>0,89</w:t>
            </w:r>
          </w:p>
        </w:tc>
      </w:tr>
      <w:tr>
        <w:trPr>
          <w:cantSplit/>
          <w:trHeight w:val="20"/>
        </w:trPr>
        <w:tc>
          <w:tcPr>
            <w:tcW w:w="2898" w:type="dxa"/>
            <w:vAlign w:val="center"/>
          </w:tcPr>
          <w:p>
            <w:pPr>
              <w:widowControl w:val="0"/>
              <w:jc w:val="center"/>
            </w:pPr>
            <w:r>
              <w:t>40</w:t>
            </w:r>
          </w:p>
        </w:tc>
        <w:tc>
          <w:tcPr>
            <w:tcW w:w="2613" w:type="dxa"/>
            <w:vAlign w:val="center"/>
          </w:tcPr>
          <w:p>
            <w:pPr>
              <w:widowControl w:val="0"/>
              <w:jc w:val="center"/>
            </w:pPr>
            <w:r>
              <w:t>0,77</w:t>
            </w:r>
          </w:p>
        </w:tc>
        <w:tc>
          <w:tcPr>
            <w:tcW w:w="3597" w:type="dxa"/>
            <w:vAlign w:val="center"/>
          </w:tcPr>
          <w:p>
            <w:pPr>
              <w:widowControl w:val="0"/>
              <w:jc w:val="center"/>
            </w:pPr>
            <w:r>
              <w:t>0,85</w:t>
            </w:r>
          </w:p>
        </w:tc>
      </w:tr>
      <w:tr>
        <w:trPr>
          <w:cantSplit/>
          <w:trHeight w:val="20"/>
        </w:trPr>
        <w:tc>
          <w:tcPr>
            <w:tcW w:w="2898" w:type="dxa"/>
            <w:vAlign w:val="center"/>
          </w:tcPr>
          <w:p>
            <w:pPr>
              <w:widowControl w:val="0"/>
              <w:jc w:val="center"/>
            </w:pPr>
            <w:r>
              <w:t>45</w:t>
            </w:r>
          </w:p>
        </w:tc>
        <w:tc>
          <w:tcPr>
            <w:tcW w:w="2613" w:type="dxa"/>
            <w:vAlign w:val="center"/>
          </w:tcPr>
          <w:p>
            <w:pPr>
              <w:widowControl w:val="0"/>
              <w:jc w:val="center"/>
            </w:pPr>
            <w:r>
              <w:t>0,71</w:t>
            </w:r>
          </w:p>
        </w:tc>
        <w:tc>
          <w:tcPr>
            <w:tcW w:w="3597" w:type="dxa"/>
            <w:vAlign w:val="center"/>
          </w:tcPr>
          <w:p>
            <w:pPr>
              <w:widowControl w:val="0"/>
              <w:jc w:val="center"/>
            </w:pPr>
            <w:r>
              <w:t>0,80</w:t>
            </w:r>
          </w:p>
        </w:tc>
      </w:tr>
      <w:tr>
        <w:trPr>
          <w:cantSplit/>
          <w:trHeight w:val="20"/>
        </w:trPr>
        <w:tc>
          <w:tcPr>
            <w:tcW w:w="2898" w:type="dxa"/>
            <w:vAlign w:val="center"/>
          </w:tcPr>
          <w:p>
            <w:pPr>
              <w:widowControl w:val="0"/>
              <w:jc w:val="center"/>
            </w:pPr>
            <w:r>
              <w:t>50</w:t>
            </w:r>
          </w:p>
        </w:tc>
        <w:tc>
          <w:tcPr>
            <w:tcW w:w="2613" w:type="dxa"/>
            <w:vAlign w:val="center"/>
          </w:tcPr>
          <w:p>
            <w:pPr>
              <w:widowControl w:val="0"/>
              <w:jc w:val="center"/>
            </w:pPr>
            <w:r>
              <w:t>0,63</w:t>
            </w:r>
          </w:p>
        </w:tc>
        <w:tc>
          <w:tcPr>
            <w:tcW w:w="3597" w:type="dxa"/>
            <w:vAlign w:val="center"/>
          </w:tcPr>
          <w:p>
            <w:pPr>
              <w:widowControl w:val="0"/>
              <w:jc w:val="center"/>
            </w:pPr>
            <w:r>
              <w:t>0,76</w:t>
            </w:r>
          </w:p>
        </w:tc>
      </w:tr>
      <w:tr>
        <w:trPr>
          <w:cantSplit/>
          <w:trHeight w:val="20"/>
        </w:trPr>
        <w:tc>
          <w:tcPr>
            <w:tcW w:w="2898" w:type="dxa"/>
            <w:vAlign w:val="center"/>
          </w:tcPr>
          <w:p>
            <w:pPr>
              <w:widowControl w:val="0"/>
              <w:jc w:val="center"/>
            </w:pPr>
            <w:r>
              <w:t>55</w:t>
            </w:r>
          </w:p>
        </w:tc>
        <w:tc>
          <w:tcPr>
            <w:tcW w:w="2613" w:type="dxa"/>
            <w:vAlign w:val="center"/>
          </w:tcPr>
          <w:p>
            <w:pPr>
              <w:widowControl w:val="0"/>
              <w:jc w:val="center"/>
            </w:pPr>
            <w:r>
              <w:t>0,55</w:t>
            </w:r>
          </w:p>
        </w:tc>
        <w:tc>
          <w:tcPr>
            <w:tcW w:w="3597" w:type="dxa"/>
            <w:vAlign w:val="center"/>
          </w:tcPr>
          <w:p>
            <w:pPr>
              <w:widowControl w:val="0"/>
              <w:jc w:val="center"/>
            </w:pPr>
            <w:r>
              <w:t>0,71</w:t>
            </w:r>
          </w:p>
        </w:tc>
      </w:tr>
      <w:tr>
        <w:trPr>
          <w:cantSplit/>
          <w:trHeight w:val="20"/>
        </w:trPr>
        <w:tc>
          <w:tcPr>
            <w:tcW w:w="2898" w:type="dxa"/>
            <w:vAlign w:val="center"/>
          </w:tcPr>
          <w:p>
            <w:pPr>
              <w:widowControl w:val="0"/>
              <w:jc w:val="center"/>
            </w:pPr>
            <w:r>
              <w:t>60</w:t>
            </w:r>
          </w:p>
        </w:tc>
        <w:tc>
          <w:tcPr>
            <w:tcW w:w="2613" w:type="dxa"/>
            <w:vAlign w:val="center"/>
          </w:tcPr>
          <w:p>
            <w:pPr>
              <w:widowControl w:val="0"/>
              <w:jc w:val="center"/>
            </w:pPr>
            <w:r>
              <w:t>0,45</w:t>
            </w:r>
          </w:p>
        </w:tc>
        <w:tc>
          <w:tcPr>
            <w:tcW w:w="3597" w:type="dxa"/>
            <w:vAlign w:val="center"/>
          </w:tcPr>
          <w:p>
            <w:pPr>
              <w:widowControl w:val="0"/>
              <w:jc w:val="center"/>
            </w:pPr>
            <w:r>
              <w:t>0,65</w:t>
            </w:r>
          </w:p>
        </w:tc>
      </w:tr>
      <w:tr>
        <w:trPr>
          <w:cantSplit/>
          <w:trHeight w:val="20"/>
        </w:trPr>
        <w:tc>
          <w:tcPr>
            <w:tcW w:w="2898" w:type="dxa"/>
            <w:vAlign w:val="center"/>
          </w:tcPr>
          <w:p>
            <w:pPr>
              <w:widowControl w:val="0"/>
              <w:jc w:val="center"/>
            </w:pPr>
            <w:r>
              <w:t>65</w:t>
            </w:r>
          </w:p>
        </w:tc>
        <w:tc>
          <w:tcPr>
            <w:tcW w:w="2613" w:type="dxa"/>
            <w:vAlign w:val="center"/>
          </w:tcPr>
          <w:p>
            <w:pPr>
              <w:widowControl w:val="0"/>
              <w:jc w:val="center"/>
            </w:pPr>
            <w:r>
              <w:t>–</w:t>
            </w:r>
          </w:p>
        </w:tc>
        <w:tc>
          <w:tcPr>
            <w:tcW w:w="3597" w:type="dxa"/>
            <w:vAlign w:val="center"/>
          </w:tcPr>
          <w:p>
            <w:pPr>
              <w:widowControl w:val="0"/>
              <w:jc w:val="center"/>
            </w:pPr>
            <w:r>
              <w:t>0,60</w:t>
            </w:r>
          </w:p>
        </w:tc>
      </w:tr>
      <w:tr>
        <w:trPr>
          <w:cantSplit/>
          <w:trHeight w:val="20"/>
        </w:trPr>
        <w:tc>
          <w:tcPr>
            <w:tcW w:w="2898" w:type="dxa"/>
            <w:vAlign w:val="center"/>
          </w:tcPr>
          <w:p>
            <w:pPr>
              <w:widowControl w:val="0"/>
              <w:jc w:val="center"/>
            </w:pPr>
            <w:r>
              <w:t>70</w:t>
            </w:r>
          </w:p>
        </w:tc>
        <w:tc>
          <w:tcPr>
            <w:tcW w:w="2613" w:type="dxa"/>
            <w:vAlign w:val="center"/>
          </w:tcPr>
          <w:p>
            <w:pPr>
              <w:widowControl w:val="0"/>
              <w:jc w:val="center"/>
            </w:pPr>
            <w:r>
              <w:t>–</w:t>
            </w:r>
          </w:p>
        </w:tc>
        <w:tc>
          <w:tcPr>
            <w:tcW w:w="3597" w:type="dxa"/>
            <w:vAlign w:val="center"/>
          </w:tcPr>
          <w:p>
            <w:pPr>
              <w:widowControl w:val="0"/>
              <w:jc w:val="center"/>
            </w:pPr>
            <w:r>
              <w:t>0,53</w:t>
            </w:r>
          </w:p>
        </w:tc>
      </w:tr>
      <w:tr>
        <w:trPr>
          <w:cantSplit/>
          <w:trHeight w:val="20"/>
        </w:trPr>
        <w:tc>
          <w:tcPr>
            <w:tcW w:w="2898" w:type="dxa"/>
            <w:vAlign w:val="center"/>
          </w:tcPr>
          <w:p>
            <w:pPr>
              <w:widowControl w:val="0"/>
              <w:jc w:val="center"/>
            </w:pPr>
            <w:r>
              <w:t>75</w:t>
            </w:r>
          </w:p>
        </w:tc>
        <w:tc>
          <w:tcPr>
            <w:tcW w:w="2613" w:type="dxa"/>
            <w:vAlign w:val="center"/>
          </w:tcPr>
          <w:p>
            <w:pPr>
              <w:widowControl w:val="0"/>
              <w:jc w:val="center"/>
            </w:pPr>
            <w:r>
              <w:t>–</w:t>
            </w:r>
          </w:p>
        </w:tc>
        <w:tc>
          <w:tcPr>
            <w:tcW w:w="3597" w:type="dxa"/>
            <w:vAlign w:val="center"/>
          </w:tcPr>
          <w:p>
            <w:pPr>
              <w:widowControl w:val="0"/>
              <w:jc w:val="center"/>
            </w:pPr>
            <w:r>
              <w:t>0,46</w:t>
            </w:r>
          </w:p>
        </w:tc>
      </w:tr>
      <w:tr>
        <w:trPr>
          <w:cantSplit/>
          <w:trHeight w:val="20"/>
        </w:trPr>
        <w:tc>
          <w:tcPr>
            <w:tcW w:w="2898" w:type="dxa"/>
            <w:vAlign w:val="center"/>
          </w:tcPr>
          <w:p>
            <w:pPr>
              <w:widowControl w:val="0"/>
              <w:jc w:val="center"/>
            </w:pPr>
            <w:r>
              <w:t>80</w:t>
            </w:r>
          </w:p>
        </w:tc>
        <w:tc>
          <w:tcPr>
            <w:tcW w:w="2613" w:type="dxa"/>
            <w:vAlign w:val="center"/>
          </w:tcPr>
          <w:p>
            <w:pPr>
              <w:widowControl w:val="0"/>
              <w:jc w:val="center"/>
            </w:pPr>
            <w:r>
              <w:t>–</w:t>
            </w:r>
          </w:p>
        </w:tc>
        <w:tc>
          <w:tcPr>
            <w:tcW w:w="3597" w:type="dxa"/>
            <w:vAlign w:val="center"/>
          </w:tcPr>
          <w:p>
            <w:pPr>
              <w:widowControl w:val="0"/>
              <w:jc w:val="center"/>
            </w:pPr>
            <w:r>
              <w:t>0,38</w:t>
            </w:r>
          </w:p>
        </w:tc>
      </w:tr>
    </w:tbl>
    <w:p>
      <w:pPr>
        <w:widowControl w:val="0"/>
        <w:ind w:firstLine="284"/>
        <w:jc w:val="both"/>
        <w:rPr>
          <w:b/>
        </w:rPr>
      </w:pPr>
    </w:p>
    <w:p>
      <w:pPr>
        <w:widowControl w:val="0"/>
        <w:ind w:firstLine="567"/>
        <w:jc w:val="both"/>
        <w:rPr>
          <w:b/>
        </w:rPr>
      </w:pPr>
      <w:r>
        <w:rPr>
          <w:b/>
        </w:rPr>
        <w:t>11 lentelė. Kabelių, nutiestų vamzdžiuose žemėje, ilgalaikės leistinosios srovės pataisos koeficientai, esant kitokiai nei 2,5 K·m/W savitajai šiluminei žemės varžai</w:t>
      </w:r>
    </w:p>
    <w:p>
      <w:pPr>
        <w:widowControl w:val="0"/>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805"/>
        <w:gridCol w:w="871"/>
        <w:gridCol w:w="871"/>
        <w:gridCol w:w="871"/>
        <w:gridCol w:w="871"/>
        <w:gridCol w:w="781"/>
      </w:tblGrid>
      <w:tr>
        <w:trPr>
          <w:cantSplit/>
        </w:trPr>
        <w:tc>
          <w:tcPr>
            <w:tcW w:w="4808" w:type="dxa"/>
            <w:vAlign w:val="center"/>
          </w:tcPr>
          <w:p>
            <w:pPr>
              <w:widowControl w:val="0"/>
            </w:pPr>
            <w:r>
              <w:t>Savitoji šiluminė žemės varža, K*m/W</w:t>
            </w:r>
          </w:p>
        </w:tc>
        <w:tc>
          <w:tcPr>
            <w:tcW w:w="871" w:type="dxa"/>
            <w:vAlign w:val="center"/>
          </w:tcPr>
          <w:p>
            <w:pPr>
              <w:widowControl w:val="0"/>
              <w:jc w:val="center"/>
            </w:pPr>
            <w:r>
              <w:t>1</w:t>
            </w:r>
          </w:p>
        </w:tc>
        <w:tc>
          <w:tcPr>
            <w:tcW w:w="871" w:type="dxa"/>
            <w:vAlign w:val="center"/>
          </w:tcPr>
          <w:p>
            <w:pPr>
              <w:widowControl w:val="0"/>
              <w:jc w:val="center"/>
            </w:pPr>
            <w:r>
              <w:t>1,5</w:t>
            </w:r>
          </w:p>
        </w:tc>
        <w:tc>
          <w:tcPr>
            <w:tcW w:w="871" w:type="dxa"/>
            <w:vAlign w:val="center"/>
          </w:tcPr>
          <w:p>
            <w:pPr>
              <w:widowControl w:val="0"/>
              <w:jc w:val="center"/>
            </w:pPr>
            <w:r>
              <w:t>2</w:t>
            </w:r>
          </w:p>
        </w:tc>
        <w:tc>
          <w:tcPr>
            <w:tcW w:w="871" w:type="dxa"/>
            <w:vAlign w:val="center"/>
          </w:tcPr>
          <w:p>
            <w:pPr>
              <w:widowControl w:val="0"/>
              <w:jc w:val="center"/>
            </w:pPr>
            <w:r>
              <w:t>2,5</w:t>
            </w:r>
          </w:p>
        </w:tc>
        <w:tc>
          <w:tcPr>
            <w:tcW w:w="781" w:type="dxa"/>
            <w:vAlign w:val="center"/>
          </w:tcPr>
          <w:p>
            <w:pPr>
              <w:widowControl w:val="0"/>
              <w:jc w:val="center"/>
            </w:pPr>
            <w:r>
              <w:t>3</w:t>
            </w:r>
          </w:p>
        </w:tc>
      </w:tr>
      <w:tr>
        <w:trPr>
          <w:cantSplit/>
        </w:trPr>
        <w:tc>
          <w:tcPr>
            <w:tcW w:w="4808" w:type="dxa"/>
            <w:vAlign w:val="center"/>
          </w:tcPr>
          <w:p>
            <w:pPr>
              <w:widowControl w:val="0"/>
            </w:pPr>
            <w:r>
              <w:t>Pataisos koeficientas</w:t>
            </w:r>
          </w:p>
        </w:tc>
        <w:tc>
          <w:tcPr>
            <w:tcW w:w="871" w:type="dxa"/>
            <w:vAlign w:val="center"/>
          </w:tcPr>
          <w:p>
            <w:pPr>
              <w:widowControl w:val="0"/>
              <w:jc w:val="center"/>
            </w:pPr>
            <w:r>
              <w:t>1,18</w:t>
            </w:r>
          </w:p>
        </w:tc>
        <w:tc>
          <w:tcPr>
            <w:tcW w:w="871" w:type="dxa"/>
            <w:vAlign w:val="center"/>
          </w:tcPr>
          <w:p>
            <w:pPr>
              <w:widowControl w:val="0"/>
              <w:jc w:val="center"/>
            </w:pPr>
            <w:r>
              <w:t>1,10</w:t>
            </w:r>
          </w:p>
        </w:tc>
        <w:tc>
          <w:tcPr>
            <w:tcW w:w="871" w:type="dxa"/>
            <w:vAlign w:val="center"/>
          </w:tcPr>
          <w:p>
            <w:pPr>
              <w:widowControl w:val="0"/>
              <w:jc w:val="center"/>
            </w:pPr>
            <w:r>
              <w:t>1,05</w:t>
            </w:r>
          </w:p>
        </w:tc>
        <w:tc>
          <w:tcPr>
            <w:tcW w:w="871" w:type="dxa"/>
            <w:vAlign w:val="center"/>
          </w:tcPr>
          <w:p>
            <w:pPr>
              <w:widowControl w:val="0"/>
              <w:jc w:val="center"/>
            </w:pPr>
            <w:r>
              <w:t>1,00</w:t>
            </w:r>
          </w:p>
        </w:tc>
        <w:tc>
          <w:tcPr>
            <w:tcW w:w="781" w:type="dxa"/>
            <w:vAlign w:val="center"/>
          </w:tcPr>
          <w:p>
            <w:pPr>
              <w:widowControl w:val="0"/>
              <w:jc w:val="center"/>
            </w:pPr>
            <w:r>
              <w:t>0,95</w:t>
            </w:r>
          </w:p>
        </w:tc>
      </w:tr>
    </w:tbl>
    <w:p>
      <w:pPr>
        <w:widowControl w:val="0"/>
        <w:ind w:firstLine="567"/>
        <w:jc w:val="both"/>
      </w:pPr>
    </w:p>
    <w:p>
      <w:pPr>
        <w:widowControl w:val="0"/>
        <w:ind w:firstLine="567"/>
        <w:jc w:val="both"/>
      </w:pPr>
      <w:r>
        <w:t>PASTABA. Pataisos koeficientai taikomi 2 priedo 3 ir 4 lentelėse nurodytoms D instaliacijos būdu žemėje (iki 0,8 m gylyje) nutiestų kabelių ilgalaikėms leistinosioms srovėms.</w:t>
      </w:r>
    </w:p>
    <w:p>
      <w:pPr>
        <w:widowControl w:val="0"/>
        <w:ind w:firstLine="567"/>
        <w:jc w:val="both"/>
      </w:pPr>
    </w:p>
    <w:p>
      <w:pPr>
        <w:widowControl w:val="0"/>
        <w:ind w:firstLine="567"/>
        <w:jc w:val="both"/>
        <w:rPr>
          <w:b/>
        </w:rPr>
      </w:pPr>
      <w:r>
        <w:rPr>
          <w:b/>
        </w:rPr>
        <w:t>12 lentelė. Ilgalaikės leistinosios srovės pataisos koeficientai, klojant daugiau kaip vieną kabelių grandį žemėje</w:t>
      </w:r>
    </w:p>
    <w:p>
      <w:pPr>
        <w:widowControl w:val="0"/>
        <w:ind w:firstLine="567"/>
        <w:jc w:val="both"/>
      </w:pPr>
    </w:p>
    <w:p>
      <w:pPr>
        <w:widowControl w:val="0"/>
        <w:ind w:firstLine="567"/>
        <w:jc w:val="both"/>
      </w:pPr>
      <w:r>
        <w:t>Taikomi 2 priedo 3–8 lentelėse pateiktoms leistinosioms ilgalaikėms srovėms.</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000" w:firstRow="0" w:lastRow="0" w:firstColumn="0" w:lastColumn="0" w:noHBand="0" w:noVBand="0"/>
      </w:tblPr>
      <w:tblGrid>
        <w:gridCol w:w="540"/>
        <w:gridCol w:w="1295"/>
        <w:gridCol w:w="487"/>
        <w:gridCol w:w="570"/>
        <w:gridCol w:w="428"/>
        <w:gridCol w:w="429"/>
        <w:gridCol w:w="428"/>
        <w:gridCol w:w="428"/>
        <w:gridCol w:w="428"/>
        <w:gridCol w:w="429"/>
        <w:gridCol w:w="428"/>
        <w:gridCol w:w="428"/>
        <w:gridCol w:w="428"/>
        <w:gridCol w:w="429"/>
        <w:gridCol w:w="1895"/>
      </w:tblGrid>
      <w:tr>
        <w:trPr>
          <w:trHeight w:val="20"/>
        </w:trPr>
        <w:tc>
          <w:tcPr>
            <w:tcW w:w="538" w:type="dxa"/>
            <w:vMerge w:val="restart"/>
            <w:vAlign w:val="center"/>
          </w:tcPr>
          <w:p>
            <w:pPr>
              <w:widowControl w:val="0"/>
              <w:jc w:val="center"/>
            </w:pPr>
            <w:r>
              <w:t>Eil. Nr.</w:t>
            </w:r>
          </w:p>
        </w:tc>
        <w:tc>
          <w:tcPr>
            <w:tcW w:w="1288" w:type="dxa"/>
            <w:vMerge w:val="restart"/>
            <w:vAlign w:val="center"/>
          </w:tcPr>
          <w:p>
            <w:pPr>
              <w:widowControl w:val="0"/>
              <w:jc w:val="center"/>
            </w:pPr>
            <w:r>
              <w:t>Kabelių išdėstymas</w:t>
            </w:r>
          </w:p>
        </w:tc>
        <w:tc>
          <w:tcPr>
            <w:tcW w:w="5305" w:type="dxa"/>
            <w:gridSpan w:val="12"/>
            <w:vAlign w:val="center"/>
          </w:tcPr>
          <w:p>
            <w:pPr>
              <w:widowControl w:val="0"/>
              <w:jc w:val="center"/>
            </w:pPr>
            <w:r>
              <w:t>Grandžių arba daugiagyslių kabelių skaičius</w:t>
            </w:r>
          </w:p>
        </w:tc>
        <w:tc>
          <w:tcPr>
            <w:tcW w:w="1883" w:type="dxa"/>
            <w:vMerge w:val="restart"/>
            <w:tcBorders>
              <w:bottom w:val="nil"/>
            </w:tcBorders>
            <w:vAlign w:val="center"/>
          </w:tcPr>
          <w:p>
            <w:pPr>
              <w:widowControl w:val="0"/>
              <w:jc w:val="center"/>
            </w:pPr>
            <w:r>
              <w:t>Turi būti naudojami su leistinomis srovėmis, pateiktomis</w:t>
            </w:r>
          </w:p>
        </w:tc>
      </w:tr>
      <w:tr>
        <w:trPr>
          <w:trHeight w:val="20"/>
        </w:trPr>
        <w:tc>
          <w:tcPr>
            <w:tcW w:w="538" w:type="dxa"/>
            <w:vMerge/>
            <w:vAlign w:val="center"/>
          </w:tcPr>
          <w:p>
            <w:pPr>
              <w:widowControl w:val="0"/>
              <w:jc w:val="center"/>
            </w:pPr>
          </w:p>
        </w:tc>
        <w:tc>
          <w:tcPr>
            <w:tcW w:w="1288" w:type="dxa"/>
            <w:vMerge/>
            <w:vAlign w:val="center"/>
          </w:tcPr>
          <w:p>
            <w:pPr>
              <w:widowControl w:val="0"/>
            </w:pPr>
          </w:p>
        </w:tc>
        <w:tc>
          <w:tcPr>
            <w:tcW w:w="485" w:type="dxa"/>
            <w:vAlign w:val="center"/>
          </w:tcPr>
          <w:p>
            <w:pPr>
              <w:widowControl w:val="0"/>
              <w:jc w:val="center"/>
            </w:pPr>
            <w:r>
              <w:t>1</w:t>
            </w:r>
          </w:p>
        </w:tc>
        <w:tc>
          <w:tcPr>
            <w:tcW w:w="567" w:type="dxa"/>
            <w:vAlign w:val="center"/>
          </w:tcPr>
          <w:p>
            <w:pPr>
              <w:widowControl w:val="0"/>
              <w:jc w:val="center"/>
            </w:pPr>
            <w:r>
              <w:t>2</w:t>
            </w:r>
          </w:p>
        </w:tc>
        <w:tc>
          <w:tcPr>
            <w:tcW w:w="425" w:type="dxa"/>
            <w:vAlign w:val="center"/>
          </w:tcPr>
          <w:p>
            <w:pPr>
              <w:widowControl w:val="0"/>
              <w:jc w:val="center"/>
            </w:pPr>
            <w:r>
              <w:t>3</w:t>
            </w:r>
          </w:p>
        </w:tc>
        <w:tc>
          <w:tcPr>
            <w:tcW w:w="426" w:type="dxa"/>
            <w:vAlign w:val="center"/>
          </w:tcPr>
          <w:p>
            <w:pPr>
              <w:widowControl w:val="0"/>
              <w:jc w:val="center"/>
            </w:pPr>
            <w:r>
              <w:t>4</w:t>
            </w:r>
          </w:p>
        </w:tc>
        <w:tc>
          <w:tcPr>
            <w:tcW w:w="425" w:type="dxa"/>
            <w:vAlign w:val="center"/>
          </w:tcPr>
          <w:p>
            <w:pPr>
              <w:widowControl w:val="0"/>
              <w:jc w:val="center"/>
            </w:pPr>
            <w:r>
              <w:t>5</w:t>
            </w:r>
          </w:p>
        </w:tc>
        <w:tc>
          <w:tcPr>
            <w:tcW w:w="425" w:type="dxa"/>
            <w:vAlign w:val="center"/>
          </w:tcPr>
          <w:p>
            <w:pPr>
              <w:widowControl w:val="0"/>
              <w:jc w:val="center"/>
            </w:pPr>
            <w:r>
              <w:t>6</w:t>
            </w:r>
          </w:p>
        </w:tc>
        <w:tc>
          <w:tcPr>
            <w:tcW w:w="425" w:type="dxa"/>
            <w:vAlign w:val="center"/>
          </w:tcPr>
          <w:p>
            <w:pPr>
              <w:widowControl w:val="0"/>
              <w:jc w:val="center"/>
            </w:pPr>
            <w:r>
              <w:t>7</w:t>
            </w:r>
          </w:p>
        </w:tc>
        <w:tc>
          <w:tcPr>
            <w:tcW w:w="426" w:type="dxa"/>
            <w:vAlign w:val="center"/>
          </w:tcPr>
          <w:p>
            <w:pPr>
              <w:widowControl w:val="0"/>
              <w:jc w:val="center"/>
            </w:pPr>
            <w:r>
              <w:t>8</w:t>
            </w:r>
          </w:p>
        </w:tc>
        <w:tc>
          <w:tcPr>
            <w:tcW w:w="425" w:type="dxa"/>
            <w:vAlign w:val="center"/>
          </w:tcPr>
          <w:p>
            <w:pPr>
              <w:widowControl w:val="0"/>
              <w:jc w:val="center"/>
            </w:pPr>
            <w:r>
              <w:t>9</w:t>
            </w:r>
          </w:p>
        </w:tc>
        <w:tc>
          <w:tcPr>
            <w:tcW w:w="425" w:type="dxa"/>
            <w:vAlign w:val="center"/>
          </w:tcPr>
          <w:p>
            <w:pPr>
              <w:widowControl w:val="0"/>
              <w:jc w:val="center"/>
            </w:pPr>
            <w:r>
              <w:t>12</w:t>
            </w:r>
          </w:p>
        </w:tc>
        <w:tc>
          <w:tcPr>
            <w:tcW w:w="425" w:type="dxa"/>
            <w:vAlign w:val="center"/>
          </w:tcPr>
          <w:p>
            <w:pPr>
              <w:widowControl w:val="0"/>
              <w:jc w:val="center"/>
            </w:pPr>
            <w:r>
              <w:t>16</w:t>
            </w:r>
          </w:p>
        </w:tc>
        <w:tc>
          <w:tcPr>
            <w:tcW w:w="426" w:type="dxa"/>
            <w:vAlign w:val="center"/>
          </w:tcPr>
          <w:p>
            <w:pPr>
              <w:widowControl w:val="0"/>
              <w:jc w:val="center"/>
            </w:pPr>
            <w:r>
              <w:t>20</w:t>
            </w:r>
          </w:p>
        </w:tc>
        <w:tc>
          <w:tcPr>
            <w:tcW w:w="1883" w:type="dxa"/>
            <w:vMerge/>
            <w:tcBorders>
              <w:top w:val="nil"/>
              <w:bottom w:val="single" w:sz="4" w:space="0" w:color="auto"/>
            </w:tcBorders>
            <w:vAlign w:val="center"/>
          </w:tcPr>
          <w:p>
            <w:pPr>
              <w:widowControl w:val="0"/>
            </w:pPr>
          </w:p>
        </w:tc>
      </w:tr>
      <w:tr>
        <w:trPr>
          <w:trHeight w:val="20"/>
        </w:trPr>
        <w:tc>
          <w:tcPr>
            <w:tcW w:w="538" w:type="dxa"/>
            <w:vAlign w:val="center"/>
          </w:tcPr>
          <w:p>
            <w:pPr>
              <w:widowControl w:val="0"/>
              <w:jc w:val="center"/>
            </w:pPr>
            <w:r>
              <w:t>1.</w:t>
            </w:r>
          </w:p>
        </w:tc>
        <w:tc>
          <w:tcPr>
            <w:tcW w:w="1288" w:type="dxa"/>
            <w:vAlign w:val="center"/>
          </w:tcPr>
          <w:p>
            <w:pPr>
              <w:widowControl w:val="0"/>
            </w:pPr>
            <w:r>
              <w:t>Kabelių pluoštai ore ant paviršių arba loviuose</w:t>
            </w:r>
          </w:p>
        </w:tc>
        <w:tc>
          <w:tcPr>
            <w:tcW w:w="485" w:type="dxa"/>
            <w:vAlign w:val="center"/>
          </w:tcPr>
          <w:p>
            <w:pPr>
              <w:widowControl w:val="0"/>
              <w:jc w:val="center"/>
              <w:rPr>
                <w:spacing w:val="-6"/>
              </w:rPr>
            </w:pPr>
            <w:r>
              <w:rPr>
                <w:spacing w:val="-6"/>
              </w:rPr>
              <w:t>1,00</w:t>
            </w:r>
          </w:p>
        </w:tc>
        <w:tc>
          <w:tcPr>
            <w:tcW w:w="567" w:type="dxa"/>
            <w:tcBorders>
              <w:top w:val="nil"/>
            </w:tcBorders>
            <w:vAlign w:val="center"/>
          </w:tcPr>
          <w:p>
            <w:pPr>
              <w:widowControl w:val="0"/>
              <w:jc w:val="center"/>
              <w:rPr>
                <w:spacing w:val="-6"/>
              </w:rPr>
            </w:pPr>
            <w:r>
              <w:rPr>
                <w:spacing w:val="-6"/>
              </w:rPr>
              <w:t>0,80</w:t>
            </w:r>
          </w:p>
        </w:tc>
        <w:tc>
          <w:tcPr>
            <w:tcW w:w="425" w:type="dxa"/>
            <w:tcBorders>
              <w:top w:val="nil"/>
            </w:tcBorders>
            <w:vAlign w:val="center"/>
          </w:tcPr>
          <w:p>
            <w:pPr>
              <w:widowControl w:val="0"/>
              <w:jc w:val="center"/>
              <w:rPr>
                <w:spacing w:val="-6"/>
              </w:rPr>
            </w:pPr>
            <w:r>
              <w:rPr>
                <w:spacing w:val="-6"/>
              </w:rPr>
              <w:t>0,70</w:t>
            </w:r>
          </w:p>
        </w:tc>
        <w:tc>
          <w:tcPr>
            <w:tcW w:w="426" w:type="dxa"/>
            <w:tcBorders>
              <w:top w:val="nil"/>
            </w:tcBorders>
            <w:vAlign w:val="center"/>
          </w:tcPr>
          <w:p>
            <w:pPr>
              <w:widowControl w:val="0"/>
              <w:jc w:val="center"/>
              <w:rPr>
                <w:spacing w:val="-6"/>
              </w:rPr>
            </w:pPr>
            <w:r>
              <w:rPr>
                <w:spacing w:val="-6"/>
              </w:rPr>
              <w:t>0,65</w:t>
            </w:r>
          </w:p>
        </w:tc>
        <w:tc>
          <w:tcPr>
            <w:tcW w:w="425" w:type="dxa"/>
            <w:tcBorders>
              <w:top w:val="nil"/>
            </w:tcBorders>
            <w:vAlign w:val="center"/>
          </w:tcPr>
          <w:p>
            <w:pPr>
              <w:widowControl w:val="0"/>
              <w:jc w:val="center"/>
              <w:rPr>
                <w:spacing w:val="-6"/>
              </w:rPr>
            </w:pPr>
            <w:r>
              <w:rPr>
                <w:spacing w:val="-6"/>
              </w:rPr>
              <w:t>0,60</w:t>
            </w:r>
          </w:p>
        </w:tc>
        <w:tc>
          <w:tcPr>
            <w:tcW w:w="425" w:type="dxa"/>
            <w:tcBorders>
              <w:top w:val="nil"/>
            </w:tcBorders>
            <w:vAlign w:val="center"/>
          </w:tcPr>
          <w:p>
            <w:pPr>
              <w:widowControl w:val="0"/>
              <w:jc w:val="center"/>
              <w:rPr>
                <w:spacing w:val="-6"/>
              </w:rPr>
            </w:pPr>
            <w:r>
              <w:rPr>
                <w:spacing w:val="-6"/>
              </w:rPr>
              <w:t>0,57</w:t>
            </w:r>
          </w:p>
        </w:tc>
        <w:tc>
          <w:tcPr>
            <w:tcW w:w="425" w:type="dxa"/>
            <w:tcBorders>
              <w:top w:val="nil"/>
            </w:tcBorders>
            <w:vAlign w:val="center"/>
          </w:tcPr>
          <w:p>
            <w:pPr>
              <w:widowControl w:val="0"/>
              <w:jc w:val="center"/>
              <w:rPr>
                <w:spacing w:val="-6"/>
              </w:rPr>
            </w:pPr>
            <w:r>
              <w:rPr>
                <w:spacing w:val="-6"/>
              </w:rPr>
              <w:t>0,54</w:t>
            </w:r>
          </w:p>
        </w:tc>
        <w:tc>
          <w:tcPr>
            <w:tcW w:w="426" w:type="dxa"/>
            <w:tcBorders>
              <w:top w:val="nil"/>
            </w:tcBorders>
            <w:vAlign w:val="center"/>
          </w:tcPr>
          <w:p>
            <w:pPr>
              <w:widowControl w:val="0"/>
              <w:jc w:val="center"/>
              <w:rPr>
                <w:spacing w:val="-6"/>
              </w:rPr>
            </w:pPr>
            <w:r>
              <w:rPr>
                <w:spacing w:val="-6"/>
              </w:rPr>
              <w:t>0,52</w:t>
            </w:r>
          </w:p>
        </w:tc>
        <w:tc>
          <w:tcPr>
            <w:tcW w:w="425" w:type="dxa"/>
            <w:tcBorders>
              <w:top w:val="nil"/>
            </w:tcBorders>
            <w:vAlign w:val="center"/>
          </w:tcPr>
          <w:p>
            <w:pPr>
              <w:widowControl w:val="0"/>
              <w:jc w:val="center"/>
              <w:rPr>
                <w:spacing w:val="-6"/>
              </w:rPr>
            </w:pPr>
            <w:r>
              <w:rPr>
                <w:spacing w:val="-6"/>
              </w:rPr>
              <w:t>0,50</w:t>
            </w:r>
          </w:p>
        </w:tc>
        <w:tc>
          <w:tcPr>
            <w:tcW w:w="425" w:type="dxa"/>
            <w:tcBorders>
              <w:top w:val="nil"/>
            </w:tcBorders>
            <w:vAlign w:val="center"/>
          </w:tcPr>
          <w:p>
            <w:pPr>
              <w:widowControl w:val="0"/>
              <w:jc w:val="center"/>
              <w:rPr>
                <w:spacing w:val="-6"/>
              </w:rPr>
            </w:pPr>
            <w:r>
              <w:rPr>
                <w:spacing w:val="-6"/>
              </w:rPr>
              <w:t>0,45</w:t>
            </w:r>
          </w:p>
        </w:tc>
        <w:tc>
          <w:tcPr>
            <w:tcW w:w="425" w:type="dxa"/>
            <w:tcBorders>
              <w:top w:val="nil"/>
            </w:tcBorders>
            <w:vAlign w:val="center"/>
          </w:tcPr>
          <w:p>
            <w:pPr>
              <w:widowControl w:val="0"/>
              <w:jc w:val="center"/>
              <w:rPr>
                <w:spacing w:val="-6"/>
              </w:rPr>
            </w:pPr>
            <w:r>
              <w:rPr>
                <w:spacing w:val="-6"/>
              </w:rPr>
              <w:t>0,41</w:t>
            </w:r>
          </w:p>
        </w:tc>
        <w:tc>
          <w:tcPr>
            <w:tcW w:w="426" w:type="dxa"/>
            <w:tcBorders>
              <w:top w:val="nil"/>
            </w:tcBorders>
            <w:vAlign w:val="center"/>
          </w:tcPr>
          <w:p>
            <w:pPr>
              <w:widowControl w:val="0"/>
              <w:jc w:val="center"/>
              <w:rPr>
                <w:spacing w:val="-6"/>
              </w:rPr>
            </w:pPr>
            <w:r>
              <w:rPr>
                <w:spacing w:val="-6"/>
              </w:rPr>
              <w:t>0,38</w:t>
            </w:r>
          </w:p>
        </w:tc>
        <w:tc>
          <w:tcPr>
            <w:tcW w:w="1883" w:type="dxa"/>
            <w:tcBorders>
              <w:top w:val="nil"/>
            </w:tcBorders>
            <w:vAlign w:val="center"/>
          </w:tcPr>
          <w:p>
            <w:pPr>
              <w:widowControl w:val="0"/>
            </w:pPr>
            <w:r>
              <w:t>nuo 2 priedo 3 iki 8 lentelių nuo A iki F instaliacijos būdams</w:t>
            </w:r>
          </w:p>
        </w:tc>
      </w:tr>
      <w:tr>
        <w:trPr>
          <w:trHeight w:val="20"/>
        </w:trPr>
        <w:tc>
          <w:tcPr>
            <w:tcW w:w="538" w:type="dxa"/>
            <w:vAlign w:val="center"/>
          </w:tcPr>
          <w:p>
            <w:pPr>
              <w:widowControl w:val="0"/>
              <w:jc w:val="center"/>
            </w:pPr>
            <w:r>
              <w:t>2.</w:t>
            </w:r>
          </w:p>
        </w:tc>
        <w:tc>
          <w:tcPr>
            <w:tcW w:w="1288" w:type="dxa"/>
            <w:vAlign w:val="center"/>
          </w:tcPr>
          <w:p>
            <w:pPr>
              <w:widowControl w:val="0"/>
            </w:pPr>
            <w:r>
              <w:t>Vienu sluoksniu ant sienų, grindų arba neperforuotų lentynų</w:t>
            </w:r>
          </w:p>
        </w:tc>
        <w:tc>
          <w:tcPr>
            <w:tcW w:w="485" w:type="dxa"/>
            <w:vAlign w:val="center"/>
          </w:tcPr>
          <w:p>
            <w:pPr>
              <w:widowControl w:val="0"/>
              <w:jc w:val="center"/>
              <w:rPr>
                <w:spacing w:val="-6"/>
              </w:rPr>
            </w:pPr>
            <w:r>
              <w:rPr>
                <w:spacing w:val="-6"/>
              </w:rPr>
              <w:t>1,00</w:t>
            </w:r>
          </w:p>
        </w:tc>
        <w:tc>
          <w:tcPr>
            <w:tcW w:w="567" w:type="dxa"/>
            <w:vAlign w:val="center"/>
          </w:tcPr>
          <w:p>
            <w:pPr>
              <w:widowControl w:val="0"/>
              <w:jc w:val="center"/>
              <w:rPr>
                <w:spacing w:val="-6"/>
              </w:rPr>
            </w:pPr>
            <w:r>
              <w:rPr>
                <w:spacing w:val="-6"/>
              </w:rPr>
              <w:t>0,85</w:t>
            </w:r>
          </w:p>
        </w:tc>
        <w:tc>
          <w:tcPr>
            <w:tcW w:w="425" w:type="dxa"/>
            <w:vAlign w:val="center"/>
          </w:tcPr>
          <w:p>
            <w:pPr>
              <w:widowControl w:val="0"/>
              <w:jc w:val="center"/>
              <w:rPr>
                <w:spacing w:val="-6"/>
              </w:rPr>
            </w:pPr>
            <w:r>
              <w:rPr>
                <w:spacing w:val="-6"/>
              </w:rPr>
              <w:t>0,79</w:t>
            </w:r>
          </w:p>
        </w:tc>
        <w:tc>
          <w:tcPr>
            <w:tcW w:w="426" w:type="dxa"/>
            <w:vAlign w:val="center"/>
          </w:tcPr>
          <w:p>
            <w:pPr>
              <w:widowControl w:val="0"/>
              <w:jc w:val="center"/>
              <w:rPr>
                <w:spacing w:val="-6"/>
              </w:rPr>
            </w:pPr>
            <w:r>
              <w:rPr>
                <w:spacing w:val="-6"/>
              </w:rPr>
              <w:t>0,75</w:t>
            </w:r>
          </w:p>
        </w:tc>
        <w:tc>
          <w:tcPr>
            <w:tcW w:w="425" w:type="dxa"/>
            <w:vAlign w:val="center"/>
          </w:tcPr>
          <w:p>
            <w:pPr>
              <w:widowControl w:val="0"/>
              <w:jc w:val="center"/>
              <w:rPr>
                <w:spacing w:val="-6"/>
              </w:rPr>
            </w:pPr>
            <w:r>
              <w:rPr>
                <w:spacing w:val="-6"/>
              </w:rPr>
              <w:t>0,73</w:t>
            </w:r>
          </w:p>
        </w:tc>
        <w:tc>
          <w:tcPr>
            <w:tcW w:w="425" w:type="dxa"/>
            <w:vAlign w:val="center"/>
          </w:tcPr>
          <w:p>
            <w:pPr>
              <w:widowControl w:val="0"/>
              <w:jc w:val="center"/>
              <w:rPr>
                <w:spacing w:val="-6"/>
              </w:rPr>
            </w:pPr>
            <w:r>
              <w:rPr>
                <w:spacing w:val="-6"/>
              </w:rPr>
              <w:t>0,72</w:t>
            </w:r>
          </w:p>
        </w:tc>
        <w:tc>
          <w:tcPr>
            <w:tcW w:w="425" w:type="dxa"/>
            <w:vAlign w:val="center"/>
          </w:tcPr>
          <w:p>
            <w:pPr>
              <w:widowControl w:val="0"/>
              <w:jc w:val="center"/>
              <w:rPr>
                <w:spacing w:val="-6"/>
              </w:rPr>
            </w:pPr>
            <w:r>
              <w:rPr>
                <w:spacing w:val="-6"/>
              </w:rPr>
              <w:t>0,72</w:t>
            </w:r>
          </w:p>
        </w:tc>
        <w:tc>
          <w:tcPr>
            <w:tcW w:w="426" w:type="dxa"/>
            <w:vAlign w:val="center"/>
          </w:tcPr>
          <w:p>
            <w:pPr>
              <w:widowControl w:val="0"/>
              <w:jc w:val="center"/>
              <w:rPr>
                <w:spacing w:val="-6"/>
              </w:rPr>
            </w:pPr>
            <w:r>
              <w:rPr>
                <w:spacing w:val="-6"/>
              </w:rPr>
              <w:t>0,71</w:t>
            </w:r>
          </w:p>
        </w:tc>
        <w:tc>
          <w:tcPr>
            <w:tcW w:w="425" w:type="dxa"/>
            <w:vAlign w:val="center"/>
          </w:tcPr>
          <w:p>
            <w:pPr>
              <w:widowControl w:val="0"/>
              <w:jc w:val="center"/>
              <w:rPr>
                <w:spacing w:val="-6"/>
              </w:rPr>
            </w:pPr>
            <w:r>
              <w:rPr>
                <w:spacing w:val="-6"/>
              </w:rPr>
              <w:t>0,70</w:t>
            </w:r>
          </w:p>
        </w:tc>
        <w:tc>
          <w:tcPr>
            <w:tcW w:w="1276" w:type="dxa"/>
            <w:gridSpan w:val="3"/>
            <w:vMerge w:val="restart"/>
            <w:vAlign w:val="center"/>
          </w:tcPr>
          <w:p>
            <w:pPr>
              <w:widowControl w:val="0"/>
            </w:pPr>
            <w:r>
              <w:t>Pataisos koeficientai didesniam kaip devynių grandinių arba daugiagyslių kabelių skaičiui nenaudojami</w:t>
            </w:r>
          </w:p>
        </w:tc>
        <w:tc>
          <w:tcPr>
            <w:tcW w:w="1883" w:type="dxa"/>
            <w:vMerge w:val="restart"/>
            <w:vAlign w:val="center"/>
          </w:tcPr>
          <w:p>
            <w:pPr>
              <w:widowControl w:val="0"/>
            </w:pPr>
            <w:r>
              <w:t>nuo 2 priedo 3 iki 5 lentelių C instaliacijos būdui</w:t>
            </w:r>
          </w:p>
        </w:tc>
      </w:tr>
      <w:tr>
        <w:trPr>
          <w:trHeight w:val="20"/>
        </w:trPr>
        <w:tc>
          <w:tcPr>
            <w:tcW w:w="538" w:type="dxa"/>
            <w:vAlign w:val="center"/>
          </w:tcPr>
          <w:p>
            <w:pPr>
              <w:widowControl w:val="0"/>
              <w:jc w:val="center"/>
            </w:pPr>
            <w:r>
              <w:t>3.</w:t>
            </w:r>
          </w:p>
        </w:tc>
        <w:tc>
          <w:tcPr>
            <w:tcW w:w="1288" w:type="dxa"/>
            <w:vAlign w:val="center"/>
          </w:tcPr>
          <w:p>
            <w:pPr>
              <w:widowControl w:val="0"/>
            </w:pPr>
            <w:r>
              <w:t>Vienu sluoksniu tiesiog po medinėmis lubomis</w:t>
            </w:r>
          </w:p>
        </w:tc>
        <w:tc>
          <w:tcPr>
            <w:tcW w:w="485" w:type="dxa"/>
            <w:vAlign w:val="center"/>
          </w:tcPr>
          <w:p>
            <w:pPr>
              <w:widowControl w:val="0"/>
              <w:jc w:val="center"/>
              <w:rPr>
                <w:spacing w:val="-6"/>
              </w:rPr>
            </w:pPr>
            <w:r>
              <w:rPr>
                <w:spacing w:val="-6"/>
              </w:rPr>
              <w:t>0,95</w:t>
            </w:r>
          </w:p>
        </w:tc>
        <w:tc>
          <w:tcPr>
            <w:tcW w:w="567" w:type="dxa"/>
            <w:vAlign w:val="center"/>
          </w:tcPr>
          <w:p>
            <w:pPr>
              <w:widowControl w:val="0"/>
              <w:jc w:val="center"/>
              <w:rPr>
                <w:spacing w:val="-6"/>
              </w:rPr>
            </w:pPr>
            <w:r>
              <w:rPr>
                <w:spacing w:val="-6"/>
              </w:rPr>
              <w:t>0,81</w:t>
            </w:r>
          </w:p>
        </w:tc>
        <w:tc>
          <w:tcPr>
            <w:tcW w:w="425" w:type="dxa"/>
            <w:vAlign w:val="center"/>
          </w:tcPr>
          <w:p>
            <w:pPr>
              <w:widowControl w:val="0"/>
              <w:jc w:val="center"/>
              <w:rPr>
                <w:spacing w:val="-6"/>
              </w:rPr>
            </w:pPr>
            <w:r>
              <w:rPr>
                <w:spacing w:val="-6"/>
              </w:rPr>
              <w:t>0,72</w:t>
            </w:r>
          </w:p>
        </w:tc>
        <w:tc>
          <w:tcPr>
            <w:tcW w:w="426" w:type="dxa"/>
            <w:vAlign w:val="center"/>
          </w:tcPr>
          <w:p>
            <w:pPr>
              <w:widowControl w:val="0"/>
              <w:jc w:val="center"/>
              <w:rPr>
                <w:spacing w:val="-6"/>
              </w:rPr>
            </w:pPr>
            <w:r>
              <w:rPr>
                <w:spacing w:val="-6"/>
              </w:rPr>
              <w:t>0,68</w:t>
            </w:r>
          </w:p>
        </w:tc>
        <w:tc>
          <w:tcPr>
            <w:tcW w:w="425" w:type="dxa"/>
            <w:vAlign w:val="center"/>
          </w:tcPr>
          <w:p>
            <w:pPr>
              <w:widowControl w:val="0"/>
              <w:jc w:val="center"/>
              <w:rPr>
                <w:spacing w:val="-6"/>
              </w:rPr>
            </w:pPr>
            <w:r>
              <w:rPr>
                <w:spacing w:val="-6"/>
              </w:rPr>
              <w:t>0,66</w:t>
            </w:r>
          </w:p>
        </w:tc>
        <w:tc>
          <w:tcPr>
            <w:tcW w:w="425" w:type="dxa"/>
            <w:vAlign w:val="center"/>
          </w:tcPr>
          <w:p>
            <w:pPr>
              <w:widowControl w:val="0"/>
              <w:jc w:val="center"/>
              <w:rPr>
                <w:spacing w:val="-6"/>
              </w:rPr>
            </w:pPr>
            <w:r>
              <w:rPr>
                <w:spacing w:val="-6"/>
              </w:rPr>
              <w:t>0,64</w:t>
            </w:r>
          </w:p>
        </w:tc>
        <w:tc>
          <w:tcPr>
            <w:tcW w:w="425" w:type="dxa"/>
            <w:vAlign w:val="center"/>
          </w:tcPr>
          <w:p>
            <w:pPr>
              <w:widowControl w:val="0"/>
              <w:jc w:val="center"/>
              <w:rPr>
                <w:spacing w:val="-6"/>
              </w:rPr>
            </w:pPr>
            <w:r>
              <w:rPr>
                <w:spacing w:val="-6"/>
              </w:rPr>
              <w:t>0,63</w:t>
            </w:r>
          </w:p>
        </w:tc>
        <w:tc>
          <w:tcPr>
            <w:tcW w:w="426" w:type="dxa"/>
            <w:vAlign w:val="center"/>
          </w:tcPr>
          <w:p>
            <w:pPr>
              <w:widowControl w:val="0"/>
              <w:jc w:val="center"/>
              <w:rPr>
                <w:spacing w:val="-6"/>
              </w:rPr>
            </w:pPr>
            <w:r>
              <w:rPr>
                <w:spacing w:val="-6"/>
              </w:rPr>
              <w:t>0,62</w:t>
            </w:r>
          </w:p>
        </w:tc>
        <w:tc>
          <w:tcPr>
            <w:tcW w:w="425" w:type="dxa"/>
            <w:vAlign w:val="center"/>
          </w:tcPr>
          <w:p>
            <w:pPr>
              <w:widowControl w:val="0"/>
              <w:jc w:val="center"/>
              <w:rPr>
                <w:spacing w:val="-6"/>
              </w:rPr>
            </w:pPr>
            <w:r>
              <w:rPr>
                <w:spacing w:val="-6"/>
              </w:rPr>
              <w:t>0,61</w:t>
            </w:r>
          </w:p>
        </w:tc>
        <w:tc>
          <w:tcPr>
            <w:tcW w:w="1276" w:type="dxa"/>
            <w:gridSpan w:val="3"/>
            <w:vMerge/>
            <w:vAlign w:val="center"/>
          </w:tcPr>
          <w:p>
            <w:pPr>
              <w:widowControl w:val="0"/>
              <w:jc w:val="center"/>
            </w:pPr>
          </w:p>
        </w:tc>
        <w:tc>
          <w:tcPr>
            <w:tcW w:w="1883" w:type="dxa"/>
            <w:vMerge/>
            <w:vAlign w:val="center"/>
          </w:tcPr>
          <w:p>
            <w:pPr>
              <w:widowControl w:val="0"/>
              <w:jc w:val="center"/>
            </w:pPr>
          </w:p>
        </w:tc>
      </w:tr>
      <w:tr>
        <w:trPr>
          <w:trHeight w:val="20"/>
        </w:trPr>
        <w:tc>
          <w:tcPr>
            <w:tcW w:w="538" w:type="dxa"/>
            <w:vAlign w:val="center"/>
          </w:tcPr>
          <w:p>
            <w:pPr>
              <w:widowControl w:val="0"/>
              <w:jc w:val="center"/>
            </w:pPr>
            <w:r>
              <w:t>4.</w:t>
            </w:r>
          </w:p>
        </w:tc>
        <w:tc>
          <w:tcPr>
            <w:tcW w:w="1288" w:type="dxa"/>
            <w:vAlign w:val="center"/>
          </w:tcPr>
          <w:p>
            <w:pPr>
              <w:widowControl w:val="0"/>
            </w:pPr>
            <w:r>
              <w:t>Vienu sluoksniu ant perforuotų horizontalių arba vertikalių lentynų</w:t>
            </w:r>
          </w:p>
        </w:tc>
        <w:tc>
          <w:tcPr>
            <w:tcW w:w="485" w:type="dxa"/>
            <w:vAlign w:val="center"/>
          </w:tcPr>
          <w:p>
            <w:pPr>
              <w:widowControl w:val="0"/>
              <w:jc w:val="center"/>
              <w:rPr>
                <w:spacing w:val="-6"/>
              </w:rPr>
            </w:pPr>
            <w:r>
              <w:rPr>
                <w:spacing w:val="-6"/>
              </w:rPr>
              <w:t>1,00</w:t>
            </w:r>
          </w:p>
        </w:tc>
        <w:tc>
          <w:tcPr>
            <w:tcW w:w="567" w:type="dxa"/>
            <w:vAlign w:val="center"/>
          </w:tcPr>
          <w:p>
            <w:pPr>
              <w:widowControl w:val="0"/>
              <w:jc w:val="center"/>
              <w:rPr>
                <w:spacing w:val="-6"/>
              </w:rPr>
            </w:pPr>
            <w:r>
              <w:rPr>
                <w:spacing w:val="-6"/>
              </w:rPr>
              <w:t>0,88</w:t>
            </w:r>
          </w:p>
        </w:tc>
        <w:tc>
          <w:tcPr>
            <w:tcW w:w="425" w:type="dxa"/>
            <w:vAlign w:val="center"/>
          </w:tcPr>
          <w:p>
            <w:pPr>
              <w:widowControl w:val="0"/>
              <w:jc w:val="center"/>
              <w:rPr>
                <w:spacing w:val="-6"/>
              </w:rPr>
            </w:pPr>
            <w:r>
              <w:rPr>
                <w:spacing w:val="-6"/>
              </w:rPr>
              <w:t>0,82</w:t>
            </w:r>
          </w:p>
        </w:tc>
        <w:tc>
          <w:tcPr>
            <w:tcW w:w="426" w:type="dxa"/>
            <w:vAlign w:val="center"/>
          </w:tcPr>
          <w:p>
            <w:pPr>
              <w:widowControl w:val="0"/>
              <w:jc w:val="center"/>
              <w:rPr>
                <w:spacing w:val="-6"/>
              </w:rPr>
            </w:pPr>
            <w:r>
              <w:rPr>
                <w:spacing w:val="-6"/>
              </w:rPr>
              <w:t>0,77</w:t>
            </w:r>
          </w:p>
        </w:tc>
        <w:tc>
          <w:tcPr>
            <w:tcW w:w="425" w:type="dxa"/>
            <w:vAlign w:val="center"/>
          </w:tcPr>
          <w:p>
            <w:pPr>
              <w:widowControl w:val="0"/>
              <w:jc w:val="center"/>
              <w:rPr>
                <w:spacing w:val="-6"/>
              </w:rPr>
            </w:pPr>
            <w:r>
              <w:rPr>
                <w:spacing w:val="-6"/>
              </w:rPr>
              <w:t>0,75</w:t>
            </w:r>
          </w:p>
        </w:tc>
        <w:tc>
          <w:tcPr>
            <w:tcW w:w="425" w:type="dxa"/>
            <w:vAlign w:val="center"/>
          </w:tcPr>
          <w:p>
            <w:pPr>
              <w:widowControl w:val="0"/>
              <w:jc w:val="center"/>
              <w:rPr>
                <w:spacing w:val="-6"/>
              </w:rPr>
            </w:pPr>
            <w:r>
              <w:rPr>
                <w:spacing w:val="-6"/>
              </w:rPr>
              <w:t>0,73</w:t>
            </w:r>
          </w:p>
        </w:tc>
        <w:tc>
          <w:tcPr>
            <w:tcW w:w="425" w:type="dxa"/>
            <w:vAlign w:val="center"/>
          </w:tcPr>
          <w:p>
            <w:pPr>
              <w:widowControl w:val="0"/>
              <w:jc w:val="center"/>
              <w:rPr>
                <w:spacing w:val="-6"/>
              </w:rPr>
            </w:pPr>
            <w:r>
              <w:rPr>
                <w:spacing w:val="-6"/>
              </w:rPr>
              <w:t>0,73</w:t>
            </w:r>
          </w:p>
        </w:tc>
        <w:tc>
          <w:tcPr>
            <w:tcW w:w="426" w:type="dxa"/>
            <w:vAlign w:val="center"/>
          </w:tcPr>
          <w:p>
            <w:pPr>
              <w:widowControl w:val="0"/>
              <w:jc w:val="center"/>
              <w:rPr>
                <w:spacing w:val="-6"/>
              </w:rPr>
            </w:pPr>
            <w:r>
              <w:rPr>
                <w:spacing w:val="-6"/>
              </w:rPr>
              <w:t>0,72</w:t>
            </w:r>
          </w:p>
        </w:tc>
        <w:tc>
          <w:tcPr>
            <w:tcW w:w="425" w:type="dxa"/>
            <w:vAlign w:val="center"/>
          </w:tcPr>
          <w:p>
            <w:pPr>
              <w:widowControl w:val="0"/>
              <w:jc w:val="center"/>
              <w:rPr>
                <w:spacing w:val="-6"/>
              </w:rPr>
            </w:pPr>
            <w:r>
              <w:rPr>
                <w:spacing w:val="-6"/>
              </w:rPr>
              <w:t>0,72</w:t>
            </w:r>
          </w:p>
        </w:tc>
        <w:tc>
          <w:tcPr>
            <w:tcW w:w="1276" w:type="dxa"/>
            <w:gridSpan w:val="3"/>
            <w:vMerge/>
            <w:vAlign w:val="center"/>
          </w:tcPr>
          <w:p>
            <w:pPr>
              <w:widowControl w:val="0"/>
            </w:pPr>
          </w:p>
        </w:tc>
        <w:tc>
          <w:tcPr>
            <w:tcW w:w="1883" w:type="dxa"/>
            <w:vMerge w:val="restart"/>
            <w:vAlign w:val="center"/>
          </w:tcPr>
          <w:p>
            <w:pPr>
              <w:widowControl w:val="0"/>
            </w:pPr>
            <w:r>
              <w:t>nuo 2 priedo 6 iki 8 lentelių</w:t>
            </w:r>
          </w:p>
          <w:p>
            <w:pPr>
              <w:widowControl w:val="0"/>
            </w:pPr>
            <w:r>
              <w:t>E ir F instaliacijos būdams</w:t>
            </w:r>
          </w:p>
        </w:tc>
      </w:tr>
      <w:tr>
        <w:trPr>
          <w:trHeight w:val="20"/>
        </w:trPr>
        <w:tc>
          <w:tcPr>
            <w:tcW w:w="538" w:type="dxa"/>
            <w:tcBorders>
              <w:left w:val="single" w:sz="2" w:space="0" w:color="auto"/>
              <w:right w:val="single" w:sz="2" w:space="0" w:color="auto"/>
            </w:tcBorders>
            <w:vAlign w:val="center"/>
          </w:tcPr>
          <w:p>
            <w:pPr>
              <w:widowControl w:val="0"/>
              <w:jc w:val="center"/>
            </w:pPr>
            <w:r>
              <w:t>5.</w:t>
            </w:r>
          </w:p>
        </w:tc>
        <w:tc>
          <w:tcPr>
            <w:tcW w:w="1288" w:type="dxa"/>
            <w:tcBorders>
              <w:left w:val="single" w:sz="2" w:space="0" w:color="auto"/>
              <w:right w:val="single" w:sz="2" w:space="0" w:color="auto"/>
            </w:tcBorders>
            <w:vAlign w:val="center"/>
          </w:tcPr>
          <w:p>
            <w:pPr>
              <w:widowControl w:val="0"/>
            </w:pPr>
            <w:r>
              <w:t>Vienu sluoksniu ant atraminių kopėtėlių arba gembių</w:t>
            </w:r>
          </w:p>
        </w:tc>
        <w:tc>
          <w:tcPr>
            <w:tcW w:w="485" w:type="dxa"/>
            <w:tcBorders>
              <w:left w:val="single" w:sz="2" w:space="0" w:color="auto"/>
            </w:tcBorders>
            <w:vAlign w:val="center"/>
          </w:tcPr>
          <w:p>
            <w:pPr>
              <w:widowControl w:val="0"/>
              <w:jc w:val="center"/>
            </w:pPr>
            <w:r>
              <w:rPr>
                <w:spacing w:val="-6"/>
              </w:rPr>
              <w:t>1,00</w:t>
            </w:r>
          </w:p>
        </w:tc>
        <w:tc>
          <w:tcPr>
            <w:tcW w:w="567" w:type="dxa"/>
            <w:vAlign w:val="center"/>
          </w:tcPr>
          <w:p>
            <w:pPr>
              <w:widowControl w:val="0"/>
              <w:jc w:val="center"/>
              <w:rPr>
                <w:spacing w:val="-6"/>
              </w:rPr>
            </w:pPr>
            <w:r>
              <w:rPr>
                <w:spacing w:val="-6"/>
              </w:rPr>
              <w:t>0,87</w:t>
            </w:r>
          </w:p>
        </w:tc>
        <w:tc>
          <w:tcPr>
            <w:tcW w:w="425" w:type="dxa"/>
            <w:vAlign w:val="center"/>
          </w:tcPr>
          <w:p>
            <w:pPr>
              <w:widowControl w:val="0"/>
              <w:jc w:val="center"/>
            </w:pPr>
            <w:r>
              <w:rPr>
                <w:spacing w:val="-6"/>
              </w:rPr>
              <w:t>0,82</w:t>
            </w:r>
          </w:p>
        </w:tc>
        <w:tc>
          <w:tcPr>
            <w:tcW w:w="426" w:type="dxa"/>
            <w:vAlign w:val="center"/>
          </w:tcPr>
          <w:p>
            <w:pPr>
              <w:widowControl w:val="0"/>
              <w:jc w:val="center"/>
            </w:pPr>
            <w:r>
              <w:rPr>
                <w:spacing w:val="-6"/>
              </w:rPr>
              <w:t>0,80</w:t>
            </w:r>
          </w:p>
        </w:tc>
        <w:tc>
          <w:tcPr>
            <w:tcW w:w="425" w:type="dxa"/>
            <w:vAlign w:val="center"/>
          </w:tcPr>
          <w:p>
            <w:pPr>
              <w:widowControl w:val="0"/>
              <w:jc w:val="center"/>
            </w:pPr>
            <w:r>
              <w:rPr>
                <w:spacing w:val="-6"/>
              </w:rPr>
              <w:t>0,80</w:t>
            </w:r>
          </w:p>
        </w:tc>
        <w:tc>
          <w:tcPr>
            <w:tcW w:w="425" w:type="dxa"/>
            <w:vAlign w:val="center"/>
          </w:tcPr>
          <w:p>
            <w:pPr>
              <w:widowControl w:val="0"/>
              <w:jc w:val="center"/>
            </w:pPr>
            <w:r>
              <w:rPr>
                <w:spacing w:val="-6"/>
              </w:rPr>
              <w:t>0,79</w:t>
            </w:r>
          </w:p>
        </w:tc>
        <w:tc>
          <w:tcPr>
            <w:tcW w:w="425" w:type="dxa"/>
            <w:vAlign w:val="center"/>
          </w:tcPr>
          <w:p>
            <w:pPr>
              <w:widowControl w:val="0"/>
              <w:jc w:val="center"/>
            </w:pPr>
            <w:r>
              <w:rPr>
                <w:spacing w:val="-6"/>
              </w:rPr>
              <w:t>0,79</w:t>
            </w:r>
          </w:p>
        </w:tc>
        <w:tc>
          <w:tcPr>
            <w:tcW w:w="426" w:type="dxa"/>
            <w:vAlign w:val="center"/>
          </w:tcPr>
          <w:p>
            <w:pPr>
              <w:widowControl w:val="0"/>
              <w:jc w:val="center"/>
            </w:pPr>
            <w:r>
              <w:rPr>
                <w:spacing w:val="-6"/>
              </w:rPr>
              <w:t>0,78</w:t>
            </w:r>
          </w:p>
        </w:tc>
        <w:tc>
          <w:tcPr>
            <w:tcW w:w="425" w:type="dxa"/>
            <w:vAlign w:val="center"/>
          </w:tcPr>
          <w:p>
            <w:pPr>
              <w:widowControl w:val="0"/>
              <w:jc w:val="center"/>
            </w:pPr>
            <w:r>
              <w:rPr>
                <w:spacing w:val="-6"/>
              </w:rPr>
              <w:t>0,78</w:t>
            </w:r>
          </w:p>
        </w:tc>
        <w:tc>
          <w:tcPr>
            <w:tcW w:w="1276" w:type="dxa"/>
            <w:gridSpan w:val="3"/>
            <w:vMerge/>
            <w:vAlign w:val="center"/>
          </w:tcPr>
          <w:p>
            <w:pPr>
              <w:widowControl w:val="0"/>
            </w:pPr>
          </w:p>
        </w:tc>
        <w:tc>
          <w:tcPr>
            <w:tcW w:w="1883" w:type="dxa"/>
            <w:vMerge/>
            <w:tcBorders>
              <w:bottom w:val="single" w:sz="4" w:space="0" w:color="auto"/>
            </w:tcBorders>
            <w:vAlign w:val="center"/>
          </w:tcPr>
          <w:p>
            <w:pPr>
              <w:widowControl w:val="0"/>
            </w:pPr>
          </w:p>
        </w:tc>
      </w:tr>
    </w:tbl>
    <w:p>
      <w:pPr>
        <w:widowControl w:val="0"/>
        <w:ind w:firstLine="567"/>
        <w:jc w:val="both"/>
        <w:rPr>
          <w:b/>
        </w:rPr>
      </w:pPr>
    </w:p>
    <w:p>
      <w:pPr>
        <w:widowControl w:val="0"/>
        <w:ind w:firstLine="567"/>
        <w:jc w:val="both"/>
        <w:rPr>
          <w:b/>
        </w:rPr>
      </w:pPr>
      <w:r>
        <w:rPr>
          <w:b/>
        </w:rPr>
        <w:t>13 lentelė. Ilgalaikės leistinosios srovės pataisos koeficientai, klojant daugiau kaip vieną kabelių grandį žemėje</w:t>
      </w:r>
    </w:p>
    <w:p>
      <w:pPr>
        <w:widowControl w:val="0"/>
        <w:ind w:firstLine="567"/>
        <w:jc w:val="both"/>
      </w:pPr>
    </w:p>
    <w:p>
      <w:pPr>
        <w:widowControl w:val="0"/>
        <w:ind w:firstLine="567"/>
        <w:jc w:val="both"/>
      </w:pPr>
      <w:r>
        <w:t>Taikomi D instaliacijos būdui pagal 2 priedo 3 ir 4 lenteles.</w:t>
      </w:r>
    </w:p>
    <w:p>
      <w:pPr>
        <w:widowControl w:val="0"/>
        <w:ind w:firstLine="567"/>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398"/>
        <w:gridCol w:w="1400"/>
        <w:gridCol w:w="1400"/>
        <w:gridCol w:w="1400"/>
        <w:gridCol w:w="2197"/>
      </w:tblGrid>
      <w:tr>
        <w:trPr>
          <w:cantSplit/>
          <w:trHeight w:val="20"/>
        </w:trPr>
        <w:tc>
          <w:tcPr>
            <w:tcW w:w="1279" w:type="dxa"/>
            <w:vMerge w:val="restart"/>
            <w:vAlign w:val="center"/>
          </w:tcPr>
          <w:p>
            <w:pPr>
              <w:widowControl w:val="0"/>
              <w:jc w:val="center"/>
            </w:pPr>
            <w:r>
              <w:t>Grandinių skaičius</w:t>
            </w:r>
          </w:p>
        </w:tc>
        <w:tc>
          <w:tcPr>
            <w:tcW w:w="7829" w:type="dxa"/>
            <w:gridSpan w:val="5"/>
            <w:vAlign w:val="center"/>
          </w:tcPr>
          <w:p>
            <w:pPr>
              <w:widowControl w:val="0"/>
              <w:jc w:val="center"/>
            </w:pPr>
            <w:r>
              <w:t>Atstumas tarp kabelių, m</w:t>
            </w:r>
          </w:p>
        </w:tc>
      </w:tr>
      <w:tr>
        <w:trPr>
          <w:cantSplit/>
          <w:trHeight w:val="20"/>
        </w:trPr>
        <w:tc>
          <w:tcPr>
            <w:tcW w:w="1279" w:type="dxa"/>
            <w:vMerge/>
            <w:vAlign w:val="center"/>
          </w:tcPr>
          <w:p>
            <w:pPr>
              <w:widowControl w:val="0"/>
              <w:jc w:val="center"/>
            </w:pPr>
          </w:p>
        </w:tc>
        <w:tc>
          <w:tcPr>
            <w:tcW w:w="1404" w:type="dxa"/>
            <w:vAlign w:val="center"/>
          </w:tcPr>
          <w:p>
            <w:pPr>
              <w:widowControl w:val="0"/>
              <w:jc w:val="center"/>
            </w:pPr>
            <w:r>
              <w:t>Liečiasi</w:t>
            </w:r>
          </w:p>
        </w:tc>
        <w:tc>
          <w:tcPr>
            <w:tcW w:w="1406" w:type="dxa"/>
            <w:vAlign w:val="center"/>
          </w:tcPr>
          <w:p>
            <w:pPr>
              <w:widowControl w:val="0"/>
              <w:jc w:val="center"/>
            </w:pPr>
            <w:r>
              <w:t>Kabelio skersmuo</w:t>
            </w:r>
          </w:p>
        </w:tc>
        <w:tc>
          <w:tcPr>
            <w:tcW w:w="1406" w:type="dxa"/>
            <w:vAlign w:val="center"/>
          </w:tcPr>
          <w:p>
            <w:pPr>
              <w:widowControl w:val="0"/>
              <w:jc w:val="center"/>
            </w:pPr>
            <w:r>
              <w:t>0,125</w:t>
            </w:r>
          </w:p>
        </w:tc>
        <w:tc>
          <w:tcPr>
            <w:tcW w:w="1406" w:type="dxa"/>
            <w:vAlign w:val="center"/>
          </w:tcPr>
          <w:p>
            <w:pPr>
              <w:widowControl w:val="0"/>
              <w:jc w:val="center"/>
            </w:pPr>
            <w:r>
              <w:t>0,25</w:t>
            </w:r>
          </w:p>
        </w:tc>
        <w:tc>
          <w:tcPr>
            <w:tcW w:w="2207" w:type="dxa"/>
            <w:vAlign w:val="center"/>
          </w:tcPr>
          <w:p>
            <w:pPr>
              <w:widowControl w:val="0"/>
              <w:jc w:val="center"/>
            </w:pPr>
            <w:r>
              <w:t>0,5</w:t>
            </w:r>
          </w:p>
        </w:tc>
      </w:tr>
      <w:tr>
        <w:trPr>
          <w:cantSplit/>
          <w:trHeight w:val="20"/>
        </w:trPr>
        <w:tc>
          <w:tcPr>
            <w:tcW w:w="1279" w:type="dxa"/>
            <w:vAlign w:val="center"/>
          </w:tcPr>
          <w:p>
            <w:pPr>
              <w:widowControl w:val="0"/>
              <w:jc w:val="center"/>
            </w:pPr>
            <w:r>
              <w:t>2</w:t>
            </w:r>
          </w:p>
        </w:tc>
        <w:tc>
          <w:tcPr>
            <w:tcW w:w="1404" w:type="dxa"/>
            <w:vAlign w:val="center"/>
          </w:tcPr>
          <w:p>
            <w:pPr>
              <w:widowControl w:val="0"/>
              <w:jc w:val="center"/>
            </w:pPr>
            <w:r>
              <w:t>0,75</w:t>
            </w:r>
          </w:p>
        </w:tc>
        <w:tc>
          <w:tcPr>
            <w:tcW w:w="1406" w:type="dxa"/>
            <w:vAlign w:val="center"/>
          </w:tcPr>
          <w:p>
            <w:pPr>
              <w:widowControl w:val="0"/>
              <w:jc w:val="center"/>
            </w:pPr>
            <w:r>
              <w:t>0,80</w:t>
            </w:r>
          </w:p>
        </w:tc>
        <w:tc>
          <w:tcPr>
            <w:tcW w:w="1406" w:type="dxa"/>
            <w:vAlign w:val="center"/>
          </w:tcPr>
          <w:p>
            <w:pPr>
              <w:widowControl w:val="0"/>
              <w:jc w:val="center"/>
            </w:pPr>
            <w:r>
              <w:t>0,85</w:t>
            </w:r>
          </w:p>
        </w:tc>
        <w:tc>
          <w:tcPr>
            <w:tcW w:w="1406" w:type="dxa"/>
            <w:vAlign w:val="center"/>
          </w:tcPr>
          <w:p>
            <w:pPr>
              <w:widowControl w:val="0"/>
              <w:jc w:val="center"/>
            </w:pPr>
            <w:r>
              <w:t>0,90</w:t>
            </w:r>
          </w:p>
        </w:tc>
        <w:tc>
          <w:tcPr>
            <w:tcW w:w="2207" w:type="dxa"/>
            <w:vAlign w:val="center"/>
          </w:tcPr>
          <w:p>
            <w:pPr>
              <w:widowControl w:val="0"/>
              <w:jc w:val="center"/>
            </w:pPr>
            <w:r>
              <w:t>0,90</w:t>
            </w:r>
          </w:p>
        </w:tc>
      </w:tr>
      <w:tr>
        <w:trPr>
          <w:cantSplit/>
          <w:trHeight w:val="20"/>
        </w:trPr>
        <w:tc>
          <w:tcPr>
            <w:tcW w:w="1279" w:type="dxa"/>
            <w:vAlign w:val="center"/>
          </w:tcPr>
          <w:p>
            <w:pPr>
              <w:widowControl w:val="0"/>
              <w:jc w:val="center"/>
            </w:pPr>
            <w:r>
              <w:t>3</w:t>
            </w:r>
          </w:p>
        </w:tc>
        <w:tc>
          <w:tcPr>
            <w:tcW w:w="1404" w:type="dxa"/>
            <w:vAlign w:val="center"/>
          </w:tcPr>
          <w:p>
            <w:pPr>
              <w:widowControl w:val="0"/>
              <w:jc w:val="center"/>
            </w:pPr>
            <w:r>
              <w:t>0,65</w:t>
            </w:r>
          </w:p>
        </w:tc>
        <w:tc>
          <w:tcPr>
            <w:tcW w:w="1406" w:type="dxa"/>
            <w:vAlign w:val="center"/>
          </w:tcPr>
          <w:p>
            <w:pPr>
              <w:widowControl w:val="0"/>
              <w:jc w:val="center"/>
            </w:pPr>
            <w:r>
              <w:t>0,70</w:t>
            </w:r>
          </w:p>
        </w:tc>
        <w:tc>
          <w:tcPr>
            <w:tcW w:w="1406" w:type="dxa"/>
            <w:vAlign w:val="center"/>
          </w:tcPr>
          <w:p>
            <w:pPr>
              <w:widowControl w:val="0"/>
              <w:jc w:val="center"/>
            </w:pPr>
            <w:r>
              <w:t>0,75</w:t>
            </w:r>
          </w:p>
        </w:tc>
        <w:tc>
          <w:tcPr>
            <w:tcW w:w="1406" w:type="dxa"/>
            <w:vAlign w:val="center"/>
          </w:tcPr>
          <w:p>
            <w:pPr>
              <w:widowControl w:val="0"/>
              <w:jc w:val="center"/>
            </w:pPr>
            <w:r>
              <w:t>0,80</w:t>
            </w:r>
          </w:p>
        </w:tc>
        <w:tc>
          <w:tcPr>
            <w:tcW w:w="2207" w:type="dxa"/>
            <w:vAlign w:val="center"/>
          </w:tcPr>
          <w:p>
            <w:pPr>
              <w:widowControl w:val="0"/>
              <w:jc w:val="center"/>
            </w:pPr>
            <w:r>
              <w:t>0,85</w:t>
            </w:r>
          </w:p>
        </w:tc>
      </w:tr>
      <w:tr>
        <w:trPr>
          <w:cantSplit/>
          <w:trHeight w:val="20"/>
        </w:trPr>
        <w:tc>
          <w:tcPr>
            <w:tcW w:w="1279" w:type="dxa"/>
            <w:vAlign w:val="center"/>
          </w:tcPr>
          <w:p>
            <w:pPr>
              <w:widowControl w:val="0"/>
              <w:jc w:val="center"/>
            </w:pPr>
            <w:r>
              <w:t>4</w:t>
            </w:r>
          </w:p>
        </w:tc>
        <w:tc>
          <w:tcPr>
            <w:tcW w:w="1404" w:type="dxa"/>
            <w:vAlign w:val="center"/>
          </w:tcPr>
          <w:p>
            <w:pPr>
              <w:widowControl w:val="0"/>
              <w:jc w:val="center"/>
            </w:pPr>
            <w:r>
              <w:t>0,60</w:t>
            </w:r>
          </w:p>
        </w:tc>
        <w:tc>
          <w:tcPr>
            <w:tcW w:w="1406" w:type="dxa"/>
            <w:vAlign w:val="center"/>
          </w:tcPr>
          <w:p>
            <w:pPr>
              <w:widowControl w:val="0"/>
              <w:jc w:val="center"/>
            </w:pPr>
            <w:r>
              <w:t>0,60</w:t>
            </w:r>
          </w:p>
        </w:tc>
        <w:tc>
          <w:tcPr>
            <w:tcW w:w="1406" w:type="dxa"/>
            <w:vAlign w:val="center"/>
          </w:tcPr>
          <w:p>
            <w:pPr>
              <w:widowControl w:val="0"/>
              <w:jc w:val="center"/>
            </w:pPr>
            <w:r>
              <w:t>0,70</w:t>
            </w:r>
          </w:p>
        </w:tc>
        <w:tc>
          <w:tcPr>
            <w:tcW w:w="1406" w:type="dxa"/>
            <w:vAlign w:val="center"/>
          </w:tcPr>
          <w:p>
            <w:pPr>
              <w:widowControl w:val="0"/>
              <w:jc w:val="center"/>
            </w:pPr>
            <w:r>
              <w:t>0,75</w:t>
            </w:r>
          </w:p>
        </w:tc>
        <w:tc>
          <w:tcPr>
            <w:tcW w:w="2207" w:type="dxa"/>
            <w:vAlign w:val="center"/>
          </w:tcPr>
          <w:p>
            <w:pPr>
              <w:widowControl w:val="0"/>
              <w:jc w:val="center"/>
            </w:pPr>
            <w:r>
              <w:t>0,80</w:t>
            </w:r>
          </w:p>
        </w:tc>
      </w:tr>
      <w:tr>
        <w:trPr>
          <w:cantSplit/>
          <w:trHeight w:val="20"/>
        </w:trPr>
        <w:tc>
          <w:tcPr>
            <w:tcW w:w="1279" w:type="dxa"/>
            <w:vAlign w:val="center"/>
          </w:tcPr>
          <w:p>
            <w:pPr>
              <w:widowControl w:val="0"/>
              <w:jc w:val="center"/>
            </w:pPr>
            <w:r>
              <w:t>5</w:t>
            </w:r>
          </w:p>
        </w:tc>
        <w:tc>
          <w:tcPr>
            <w:tcW w:w="1404" w:type="dxa"/>
            <w:vAlign w:val="center"/>
          </w:tcPr>
          <w:p>
            <w:pPr>
              <w:widowControl w:val="0"/>
              <w:jc w:val="center"/>
            </w:pPr>
            <w:r>
              <w:t>0,55</w:t>
            </w:r>
          </w:p>
        </w:tc>
        <w:tc>
          <w:tcPr>
            <w:tcW w:w="1406" w:type="dxa"/>
            <w:vAlign w:val="center"/>
          </w:tcPr>
          <w:p>
            <w:pPr>
              <w:widowControl w:val="0"/>
              <w:jc w:val="center"/>
            </w:pPr>
            <w:r>
              <w:t>0,55</w:t>
            </w:r>
          </w:p>
        </w:tc>
        <w:tc>
          <w:tcPr>
            <w:tcW w:w="1406" w:type="dxa"/>
            <w:vAlign w:val="center"/>
          </w:tcPr>
          <w:p>
            <w:pPr>
              <w:widowControl w:val="0"/>
              <w:jc w:val="center"/>
            </w:pPr>
            <w:r>
              <w:t>0,65</w:t>
            </w:r>
          </w:p>
        </w:tc>
        <w:tc>
          <w:tcPr>
            <w:tcW w:w="1406" w:type="dxa"/>
            <w:vAlign w:val="center"/>
          </w:tcPr>
          <w:p>
            <w:pPr>
              <w:widowControl w:val="0"/>
              <w:jc w:val="center"/>
            </w:pPr>
            <w:r>
              <w:t>0,70</w:t>
            </w:r>
          </w:p>
        </w:tc>
        <w:tc>
          <w:tcPr>
            <w:tcW w:w="2207" w:type="dxa"/>
            <w:vAlign w:val="center"/>
          </w:tcPr>
          <w:p>
            <w:pPr>
              <w:widowControl w:val="0"/>
              <w:jc w:val="center"/>
            </w:pPr>
            <w:r>
              <w:t>0,80</w:t>
            </w:r>
          </w:p>
        </w:tc>
      </w:tr>
      <w:tr>
        <w:trPr>
          <w:cantSplit/>
          <w:trHeight w:val="20"/>
        </w:trPr>
        <w:tc>
          <w:tcPr>
            <w:tcW w:w="1279" w:type="dxa"/>
            <w:vAlign w:val="center"/>
          </w:tcPr>
          <w:p>
            <w:pPr>
              <w:widowControl w:val="0"/>
              <w:jc w:val="center"/>
            </w:pPr>
            <w:r>
              <w:t>6</w:t>
            </w:r>
          </w:p>
        </w:tc>
        <w:tc>
          <w:tcPr>
            <w:tcW w:w="1404" w:type="dxa"/>
            <w:vAlign w:val="center"/>
          </w:tcPr>
          <w:p>
            <w:pPr>
              <w:widowControl w:val="0"/>
              <w:jc w:val="center"/>
            </w:pPr>
            <w:r>
              <w:t>0,50</w:t>
            </w:r>
          </w:p>
        </w:tc>
        <w:tc>
          <w:tcPr>
            <w:tcW w:w="1406" w:type="dxa"/>
            <w:vAlign w:val="center"/>
          </w:tcPr>
          <w:p>
            <w:pPr>
              <w:widowControl w:val="0"/>
              <w:jc w:val="center"/>
            </w:pPr>
            <w:r>
              <w:t>0,55</w:t>
            </w:r>
          </w:p>
        </w:tc>
        <w:tc>
          <w:tcPr>
            <w:tcW w:w="1406" w:type="dxa"/>
            <w:vAlign w:val="center"/>
          </w:tcPr>
          <w:p>
            <w:pPr>
              <w:widowControl w:val="0"/>
              <w:jc w:val="center"/>
            </w:pPr>
            <w:r>
              <w:t>0,65</w:t>
            </w:r>
          </w:p>
        </w:tc>
        <w:tc>
          <w:tcPr>
            <w:tcW w:w="1406" w:type="dxa"/>
            <w:vAlign w:val="center"/>
          </w:tcPr>
          <w:p>
            <w:pPr>
              <w:widowControl w:val="0"/>
              <w:jc w:val="center"/>
            </w:pPr>
            <w:r>
              <w:t>0,70</w:t>
            </w:r>
          </w:p>
        </w:tc>
        <w:tc>
          <w:tcPr>
            <w:tcW w:w="2207" w:type="dxa"/>
            <w:vAlign w:val="center"/>
          </w:tcPr>
          <w:p>
            <w:pPr>
              <w:widowControl w:val="0"/>
              <w:jc w:val="center"/>
            </w:pPr>
            <w:r>
              <w:t>0,80</w:t>
            </w:r>
          </w:p>
        </w:tc>
      </w:tr>
    </w:tbl>
    <w:p>
      <w:pPr>
        <w:widowControl w:val="0"/>
        <w:ind w:firstLine="567"/>
        <w:jc w:val="both"/>
      </w:pPr>
    </w:p>
    <w:p>
      <w:pPr>
        <w:widowControl w:val="0"/>
        <w:ind w:firstLine="567"/>
        <w:jc w:val="both"/>
      </w:pPr>
      <w:r>
        <w:t>PASTABA. Koeficientai taikomi kabeliams, klojamiems 0,7 m ir didesniame gylyje, esant 2,5 K*m/W savitajai šiluminei žemės varžai.</w:t>
      </w:r>
    </w:p>
    <w:p>
      <w:pPr>
        <w:widowControl w:val="0"/>
        <w:ind w:firstLine="567"/>
        <w:jc w:val="both"/>
      </w:pPr>
    </w:p>
    <w:p>
      <w:pPr>
        <w:widowControl w:val="0"/>
        <w:ind w:firstLine="567"/>
        <w:jc w:val="both"/>
        <w:rPr>
          <w:b/>
        </w:rPr>
      </w:pPr>
      <w:r>
        <w:rPr>
          <w:b/>
        </w:rPr>
        <w:t>14 lentelė. Ilgalaikės leistinosios srovės pataisos koeficientai, klojant daugiau kaip vieną kabelių grandį žemėje</w:t>
      </w:r>
    </w:p>
    <w:p>
      <w:pPr>
        <w:widowControl w:val="0"/>
        <w:ind w:firstLine="567"/>
        <w:jc w:val="both"/>
      </w:pPr>
    </w:p>
    <w:p>
      <w:pPr>
        <w:widowControl w:val="0"/>
        <w:ind w:firstLine="567"/>
        <w:jc w:val="both"/>
      </w:pPr>
      <w:r>
        <w:t>Taikomi D instaliacijos būdui pagal 2 priedo 3 ir 4 lenteles.</w:t>
      </w:r>
    </w:p>
    <w:p>
      <w:pPr>
        <w:widowControl w:val="0"/>
        <w:ind w:firstLine="567"/>
        <w:jc w:val="both"/>
        <w:rPr>
          <w:i/>
        </w:rPr>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48"/>
        <w:gridCol w:w="260"/>
        <w:gridCol w:w="1440"/>
        <w:gridCol w:w="1874"/>
        <w:gridCol w:w="1874"/>
        <w:gridCol w:w="1276"/>
        <w:gridCol w:w="236"/>
        <w:gridCol w:w="362"/>
      </w:tblGrid>
      <w:tr>
        <w:trPr>
          <w:trHeight w:val="20"/>
        </w:trPr>
        <w:tc>
          <w:tcPr>
            <w:tcW w:w="1748" w:type="dxa"/>
            <w:vMerge w:val="restart"/>
            <w:vAlign w:val="center"/>
          </w:tcPr>
          <w:p>
            <w:pPr>
              <w:widowControl w:val="0"/>
              <w:jc w:val="center"/>
            </w:pPr>
            <w:r>
              <w:t>Grandinių skaičius</w:t>
            </w:r>
          </w:p>
        </w:tc>
        <w:tc>
          <w:tcPr>
            <w:tcW w:w="7322" w:type="dxa"/>
            <w:gridSpan w:val="7"/>
            <w:vAlign w:val="center"/>
          </w:tcPr>
          <w:p>
            <w:pPr>
              <w:widowControl w:val="0"/>
              <w:jc w:val="center"/>
            </w:pPr>
            <w:r>
              <w:t>Atstumas tarp vamzdžių (a), m</w:t>
            </w:r>
          </w:p>
        </w:tc>
      </w:tr>
      <w:tr>
        <w:trPr>
          <w:cantSplit/>
          <w:trHeight w:val="20"/>
        </w:trPr>
        <w:tc>
          <w:tcPr>
            <w:tcW w:w="1748" w:type="dxa"/>
            <w:vMerge/>
            <w:tcBorders>
              <w:bottom w:val="single" w:sz="2" w:space="0" w:color="auto"/>
            </w:tcBorders>
            <w:vAlign w:val="center"/>
          </w:tcPr>
          <w:p>
            <w:pPr>
              <w:widowControl w:val="0"/>
              <w:jc w:val="center"/>
            </w:pPr>
          </w:p>
        </w:tc>
        <w:tc>
          <w:tcPr>
            <w:tcW w:w="1700" w:type="dxa"/>
            <w:gridSpan w:val="2"/>
            <w:tcBorders>
              <w:bottom w:val="single" w:sz="2" w:space="0" w:color="auto"/>
            </w:tcBorders>
            <w:vAlign w:val="center"/>
          </w:tcPr>
          <w:p>
            <w:pPr>
              <w:widowControl w:val="0"/>
              <w:jc w:val="center"/>
            </w:pPr>
            <w:r>
              <w:t>Liečiasi</w:t>
            </w:r>
          </w:p>
        </w:tc>
        <w:tc>
          <w:tcPr>
            <w:tcW w:w="1874" w:type="dxa"/>
            <w:tcBorders>
              <w:bottom w:val="single" w:sz="2" w:space="0" w:color="auto"/>
            </w:tcBorders>
            <w:vAlign w:val="center"/>
          </w:tcPr>
          <w:p>
            <w:pPr>
              <w:widowControl w:val="0"/>
              <w:jc w:val="center"/>
            </w:pPr>
            <w:r>
              <w:t>0,25</w:t>
            </w:r>
          </w:p>
        </w:tc>
        <w:tc>
          <w:tcPr>
            <w:tcW w:w="1874" w:type="dxa"/>
            <w:tcBorders>
              <w:bottom w:val="single" w:sz="2" w:space="0" w:color="auto"/>
            </w:tcBorders>
            <w:vAlign w:val="center"/>
          </w:tcPr>
          <w:p>
            <w:pPr>
              <w:widowControl w:val="0"/>
              <w:jc w:val="center"/>
            </w:pPr>
            <w:r>
              <w:t>0,5</w:t>
            </w:r>
          </w:p>
        </w:tc>
        <w:tc>
          <w:tcPr>
            <w:tcW w:w="1874" w:type="dxa"/>
            <w:gridSpan w:val="3"/>
            <w:vAlign w:val="center"/>
          </w:tcPr>
          <w:p>
            <w:pPr>
              <w:widowControl w:val="0"/>
              <w:jc w:val="center"/>
            </w:pPr>
            <w:r>
              <w:t>1,0</w:t>
            </w:r>
          </w:p>
        </w:tc>
      </w:tr>
      <w:tr>
        <w:trPr>
          <w:cantSplit/>
          <w:trHeight w:val="20"/>
        </w:trPr>
        <w:tc>
          <w:tcPr>
            <w:tcW w:w="1748" w:type="dxa"/>
            <w:tcBorders>
              <w:right w:val="nil"/>
            </w:tcBorders>
            <w:vAlign w:val="center"/>
          </w:tcPr>
          <w:p>
            <w:pPr>
              <w:widowControl w:val="0"/>
              <w:jc w:val="center"/>
            </w:pPr>
          </w:p>
        </w:tc>
        <w:tc>
          <w:tcPr>
            <w:tcW w:w="260" w:type="dxa"/>
            <w:tcBorders>
              <w:left w:val="nil"/>
              <w:right w:val="nil"/>
            </w:tcBorders>
            <w:vAlign w:val="center"/>
          </w:tcPr>
          <w:p>
            <w:pPr>
              <w:widowControl w:val="0"/>
              <w:jc w:val="center"/>
            </w:pPr>
          </w:p>
        </w:tc>
        <w:tc>
          <w:tcPr>
            <w:tcW w:w="6464" w:type="dxa"/>
            <w:gridSpan w:val="4"/>
            <w:tcBorders>
              <w:left w:val="nil"/>
              <w:right w:val="nil"/>
            </w:tcBorders>
            <w:vAlign w:val="center"/>
          </w:tcPr>
          <w:p>
            <w:pPr>
              <w:widowControl w:val="0"/>
              <w:jc w:val="center"/>
            </w:pPr>
            <w:r>
              <w:t>Pavieniai daugiagysliai kabeliai vamzdžiuose</w:t>
            </w:r>
          </w:p>
        </w:tc>
        <w:tc>
          <w:tcPr>
            <w:tcW w:w="236" w:type="dxa"/>
            <w:tcBorders>
              <w:left w:val="nil"/>
              <w:right w:val="nil"/>
            </w:tcBorders>
            <w:vAlign w:val="center"/>
          </w:tcPr>
          <w:p>
            <w:pPr>
              <w:widowControl w:val="0"/>
              <w:jc w:val="center"/>
            </w:pPr>
          </w:p>
        </w:tc>
        <w:tc>
          <w:tcPr>
            <w:tcW w:w="362" w:type="dxa"/>
            <w:tcBorders>
              <w:left w:val="nil"/>
            </w:tcBorders>
            <w:vAlign w:val="center"/>
          </w:tcPr>
          <w:p>
            <w:pPr>
              <w:widowControl w:val="0"/>
              <w:jc w:val="center"/>
            </w:pPr>
          </w:p>
        </w:tc>
      </w:tr>
      <w:tr>
        <w:trPr>
          <w:cantSplit/>
          <w:trHeight w:val="20"/>
        </w:trPr>
        <w:tc>
          <w:tcPr>
            <w:tcW w:w="1748" w:type="dxa"/>
            <w:tcBorders>
              <w:right w:val="nil"/>
            </w:tcBorders>
            <w:vAlign w:val="center"/>
          </w:tcPr>
          <w:p>
            <w:pPr>
              <w:widowControl w:val="0"/>
              <w:jc w:val="center"/>
            </w:pPr>
            <w:r>
              <w:t>Daugiagysliai kabeliai</w:t>
            </w:r>
          </w:p>
        </w:tc>
        <w:tc>
          <w:tcPr>
            <w:tcW w:w="260" w:type="dxa"/>
            <w:tcBorders>
              <w:left w:val="nil"/>
              <w:right w:val="nil"/>
            </w:tcBorders>
            <w:vAlign w:val="center"/>
          </w:tcPr>
          <w:p>
            <w:pPr>
              <w:widowControl w:val="0"/>
              <w:jc w:val="center"/>
            </w:pPr>
          </w:p>
        </w:tc>
        <w:tc>
          <w:tcPr>
            <w:tcW w:w="6464" w:type="dxa"/>
            <w:gridSpan w:val="4"/>
            <w:tcBorders>
              <w:left w:val="nil"/>
              <w:right w:val="nil"/>
            </w:tcBorders>
            <w:vAlign w:val="center"/>
          </w:tcPr>
          <w:p>
            <w:pPr>
              <w:widowControl w:val="0"/>
              <w:jc w:val="center"/>
            </w:pPr>
            <w:r>
              <w:rPr>
                <w:lang w:eastAsia="lt-LT"/>
              </w:rPr>
              <w:drawing>
                <wp:inline distT="0" distB="0" distL="0" distR="0">
                  <wp:extent cx="1047750" cy="600075"/>
                  <wp:effectExtent l="0" t="0" r="0" b="0"/>
                  <wp:docPr id="186" name="Picture 186"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 pav"/>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47750" cy="600075"/>
                          </a:xfrm>
                          <a:prstGeom prst="rect">
                            <a:avLst/>
                          </a:prstGeom>
                          <a:noFill/>
                          <a:ln>
                            <a:noFill/>
                          </a:ln>
                        </pic:spPr>
                      </pic:pic>
                    </a:graphicData>
                  </a:graphic>
                </wp:inline>
              </w:drawing>
            </w:r>
          </w:p>
          <w:p>
            <w:pPr>
              <w:widowControl w:val="0"/>
              <w:jc w:val="center"/>
            </w:pPr>
            <w:r>
              <w:rPr>
                <w:vanish/>
              </w:rPr>
              <w:t>(ženklas)</w:t>
            </w:r>
          </w:p>
        </w:tc>
        <w:tc>
          <w:tcPr>
            <w:tcW w:w="236" w:type="dxa"/>
            <w:tcBorders>
              <w:left w:val="nil"/>
              <w:right w:val="nil"/>
            </w:tcBorders>
            <w:vAlign w:val="center"/>
          </w:tcPr>
          <w:p>
            <w:pPr>
              <w:widowControl w:val="0"/>
              <w:jc w:val="center"/>
            </w:pPr>
          </w:p>
        </w:tc>
        <w:tc>
          <w:tcPr>
            <w:tcW w:w="362" w:type="dxa"/>
            <w:tcBorders>
              <w:left w:val="nil"/>
            </w:tcBorders>
            <w:vAlign w:val="center"/>
          </w:tcPr>
          <w:p>
            <w:pPr>
              <w:widowControl w:val="0"/>
              <w:jc w:val="center"/>
            </w:pPr>
          </w:p>
        </w:tc>
      </w:tr>
      <w:tr>
        <w:trPr>
          <w:cantSplit/>
          <w:trHeight w:val="20"/>
        </w:trPr>
        <w:tc>
          <w:tcPr>
            <w:tcW w:w="1748" w:type="dxa"/>
            <w:vAlign w:val="center"/>
          </w:tcPr>
          <w:p>
            <w:pPr>
              <w:widowControl w:val="0"/>
              <w:jc w:val="center"/>
            </w:pPr>
            <w:r>
              <w:t>2</w:t>
            </w:r>
          </w:p>
        </w:tc>
        <w:tc>
          <w:tcPr>
            <w:tcW w:w="1700" w:type="dxa"/>
            <w:gridSpan w:val="2"/>
            <w:vAlign w:val="center"/>
          </w:tcPr>
          <w:p>
            <w:pPr>
              <w:widowControl w:val="0"/>
              <w:jc w:val="center"/>
            </w:pPr>
            <w:r>
              <w:t>0,85</w:t>
            </w:r>
          </w:p>
        </w:tc>
        <w:tc>
          <w:tcPr>
            <w:tcW w:w="1874" w:type="dxa"/>
            <w:vAlign w:val="center"/>
          </w:tcPr>
          <w:p>
            <w:pPr>
              <w:widowControl w:val="0"/>
              <w:jc w:val="center"/>
            </w:pPr>
            <w:r>
              <w:t>0,90</w:t>
            </w:r>
          </w:p>
        </w:tc>
        <w:tc>
          <w:tcPr>
            <w:tcW w:w="1874" w:type="dxa"/>
            <w:vAlign w:val="center"/>
          </w:tcPr>
          <w:p>
            <w:pPr>
              <w:widowControl w:val="0"/>
              <w:jc w:val="center"/>
            </w:pPr>
            <w:r>
              <w:t>0,95</w:t>
            </w:r>
          </w:p>
        </w:tc>
        <w:tc>
          <w:tcPr>
            <w:tcW w:w="1874" w:type="dxa"/>
            <w:gridSpan w:val="3"/>
            <w:vAlign w:val="center"/>
          </w:tcPr>
          <w:p>
            <w:pPr>
              <w:widowControl w:val="0"/>
              <w:jc w:val="center"/>
            </w:pPr>
            <w:r>
              <w:t>0,95</w:t>
            </w:r>
          </w:p>
        </w:tc>
      </w:tr>
      <w:tr>
        <w:trPr>
          <w:cantSplit/>
          <w:trHeight w:val="20"/>
        </w:trPr>
        <w:tc>
          <w:tcPr>
            <w:tcW w:w="1748" w:type="dxa"/>
            <w:vAlign w:val="center"/>
          </w:tcPr>
          <w:p>
            <w:pPr>
              <w:widowControl w:val="0"/>
              <w:jc w:val="center"/>
            </w:pPr>
            <w:r>
              <w:t>3</w:t>
            </w:r>
          </w:p>
        </w:tc>
        <w:tc>
          <w:tcPr>
            <w:tcW w:w="1700" w:type="dxa"/>
            <w:gridSpan w:val="2"/>
            <w:vAlign w:val="center"/>
          </w:tcPr>
          <w:p>
            <w:pPr>
              <w:widowControl w:val="0"/>
              <w:jc w:val="center"/>
            </w:pPr>
            <w:r>
              <w:t>0,75</w:t>
            </w:r>
          </w:p>
        </w:tc>
        <w:tc>
          <w:tcPr>
            <w:tcW w:w="1874" w:type="dxa"/>
            <w:vAlign w:val="center"/>
          </w:tcPr>
          <w:p>
            <w:pPr>
              <w:widowControl w:val="0"/>
              <w:jc w:val="center"/>
            </w:pPr>
            <w:r>
              <w:t>0,85</w:t>
            </w:r>
          </w:p>
        </w:tc>
        <w:tc>
          <w:tcPr>
            <w:tcW w:w="1874" w:type="dxa"/>
            <w:vAlign w:val="center"/>
          </w:tcPr>
          <w:p>
            <w:pPr>
              <w:widowControl w:val="0"/>
              <w:jc w:val="center"/>
            </w:pPr>
            <w:r>
              <w:t>0,90</w:t>
            </w:r>
          </w:p>
        </w:tc>
        <w:tc>
          <w:tcPr>
            <w:tcW w:w="1874" w:type="dxa"/>
            <w:gridSpan w:val="3"/>
            <w:vAlign w:val="center"/>
          </w:tcPr>
          <w:p>
            <w:pPr>
              <w:widowControl w:val="0"/>
              <w:jc w:val="center"/>
            </w:pPr>
            <w:r>
              <w:t>0,95</w:t>
            </w:r>
          </w:p>
        </w:tc>
      </w:tr>
      <w:tr>
        <w:trPr>
          <w:cantSplit/>
          <w:trHeight w:val="20"/>
        </w:trPr>
        <w:tc>
          <w:tcPr>
            <w:tcW w:w="1748" w:type="dxa"/>
            <w:vAlign w:val="center"/>
          </w:tcPr>
          <w:p>
            <w:pPr>
              <w:widowControl w:val="0"/>
              <w:jc w:val="center"/>
            </w:pPr>
            <w:r>
              <w:t>4</w:t>
            </w:r>
          </w:p>
        </w:tc>
        <w:tc>
          <w:tcPr>
            <w:tcW w:w="1700" w:type="dxa"/>
            <w:gridSpan w:val="2"/>
            <w:vAlign w:val="center"/>
          </w:tcPr>
          <w:p>
            <w:pPr>
              <w:widowControl w:val="0"/>
              <w:jc w:val="center"/>
            </w:pPr>
            <w:r>
              <w:t>0,70</w:t>
            </w:r>
          </w:p>
        </w:tc>
        <w:tc>
          <w:tcPr>
            <w:tcW w:w="1874" w:type="dxa"/>
            <w:vAlign w:val="center"/>
          </w:tcPr>
          <w:p>
            <w:pPr>
              <w:widowControl w:val="0"/>
              <w:jc w:val="center"/>
            </w:pPr>
            <w:r>
              <w:t>0,80</w:t>
            </w:r>
          </w:p>
        </w:tc>
        <w:tc>
          <w:tcPr>
            <w:tcW w:w="1874" w:type="dxa"/>
            <w:vAlign w:val="center"/>
          </w:tcPr>
          <w:p>
            <w:pPr>
              <w:widowControl w:val="0"/>
              <w:jc w:val="center"/>
            </w:pPr>
            <w:r>
              <w:t>0,85</w:t>
            </w:r>
          </w:p>
        </w:tc>
        <w:tc>
          <w:tcPr>
            <w:tcW w:w="1874" w:type="dxa"/>
            <w:gridSpan w:val="3"/>
            <w:vAlign w:val="center"/>
          </w:tcPr>
          <w:p>
            <w:pPr>
              <w:widowControl w:val="0"/>
              <w:jc w:val="center"/>
            </w:pPr>
            <w:r>
              <w:t>0,90</w:t>
            </w:r>
          </w:p>
        </w:tc>
      </w:tr>
      <w:tr>
        <w:trPr>
          <w:cantSplit/>
          <w:trHeight w:val="20"/>
        </w:trPr>
        <w:tc>
          <w:tcPr>
            <w:tcW w:w="1748" w:type="dxa"/>
            <w:vAlign w:val="center"/>
          </w:tcPr>
          <w:p>
            <w:pPr>
              <w:widowControl w:val="0"/>
              <w:jc w:val="center"/>
            </w:pPr>
            <w:r>
              <w:t>5</w:t>
            </w:r>
          </w:p>
        </w:tc>
        <w:tc>
          <w:tcPr>
            <w:tcW w:w="1700" w:type="dxa"/>
            <w:gridSpan w:val="2"/>
            <w:vAlign w:val="center"/>
          </w:tcPr>
          <w:p>
            <w:pPr>
              <w:widowControl w:val="0"/>
              <w:jc w:val="center"/>
            </w:pPr>
            <w:r>
              <w:t>0,65</w:t>
            </w:r>
          </w:p>
        </w:tc>
        <w:tc>
          <w:tcPr>
            <w:tcW w:w="1874" w:type="dxa"/>
            <w:vAlign w:val="center"/>
          </w:tcPr>
          <w:p>
            <w:pPr>
              <w:widowControl w:val="0"/>
              <w:jc w:val="center"/>
            </w:pPr>
            <w:r>
              <w:t>0,80</w:t>
            </w:r>
          </w:p>
        </w:tc>
        <w:tc>
          <w:tcPr>
            <w:tcW w:w="1874" w:type="dxa"/>
            <w:vAlign w:val="center"/>
          </w:tcPr>
          <w:p>
            <w:pPr>
              <w:widowControl w:val="0"/>
              <w:jc w:val="center"/>
            </w:pPr>
            <w:r>
              <w:t>0,85</w:t>
            </w:r>
          </w:p>
        </w:tc>
        <w:tc>
          <w:tcPr>
            <w:tcW w:w="1874" w:type="dxa"/>
            <w:gridSpan w:val="3"/>
            <w:vAlign w:val="center"/>
          </w:tcPr>
          <w:p>
            <w:pPr>
              <w:widowControl w:val="0"/>
              <w:jc w:val="center"/>
            </w:pPr>
            <w:r>
              <w:t>0,90</w:t>
            </w:r>
          </w:p>
        </w:tc>
      </w:tr>
      <w:tr>
        <w:trPr>
          <w:cantSplit/>
          <w:trHeight w:val="20"/>
        </w:trPr>
        <w:tc>
          <w:tcPr>
            <w:tcW w:w="1748" w:type="dxa"/>
            <w:vAlign w:val="center"/>
          </w:tcPr>
          <w:p>
            <w:pPr>
              <w:widowControl w:val="0"/>
              <w:jc w:val="center"/>
            </w:pPr>
            <w:r>
              <w:t>6</w:t>
            </w:r>
          </w:p>
        </w:tc>
        <w:tc>
          <w:tcPr>
            <w:tcW w:w="1700" w:type="dxa"/>
            <w:gridSpan w:val="2"/>
            <w:vAlign w:val="center"/>
          </w:tcPr>
          <w:p>
            <w:pPr>
              <w:widowControl w:val="0"/>
              <w:jc w:val="center"/>
            </w:pPr>
            <w:r>
              <w:t>0,60</w:t>
            </w:r>
          </w:p>
        </w:tc>
        <w:tc>
          <w:tcPr>
            <w:tcW w:w="1874" w:type="dxa"/>
            <w:vAlign w:val="center"/>
          </w:tcPr>
          <w:p>
            <w:pPr>
              <w:widowControl w:val="0"/>
              <w:jc w:val="center"/>
            </w:pPr>
            <w:r>
              <w:t>0,80</w:t>
            </w:r>
          </w:p>
        </w:tc>
        <w:tc>
          <w:tcPr>
            <w:tcW w:w="1874" w:type="dxa"/>
            <w:vAlign w:val="center"/>
          </w:tcPr>
          <w:p>
            <w:pPr>
              <w:widowControl w:val="0"/>
              <w:jc w:val="center"/>
            </w:pPr>
            <w:r>
              <w:t>0,80</w:t>
            </w:r>
          </w:p>
        </w:tc>
        <w:tc>
          <w:tcPr>
            <w:tcW w:w="1874" w:type="dxa"/>
            <w:gridSpan w:val="3"/>
            <w:vAlign w:val="center"/>
          </w:tcPr>
          <w:p>
            <w:pPr>
              <w:widowControl w:val="0"/>
              <w:jc w:val="center"/>
            </w:pPr>
            <w:r>
              <w:t>0,90</w:t>
            </w:r>
          </w:p>
        </w:tc>
      </w:tr>
      <w:tr>
        <w:trPr>
          <w:cantSplit/>
          <w:trHeight w:val="20"/>
        </w:trPr>
        <w:tc>
          <w:tcPr>
            <w:tcW w:w="1748" w:type="dxa"/>
            <w:tcBorders>
              <w:right w:val="nil"/>
            </w:tcBorders>
            <w:vAlign w:val="center"/>
          </w:tcPr>
          <w:p>
            <w:pPr>
              <w:widowControl w:val="0"/>
              <w:jc w:val="center"/>
            </w:pPr>
          </w:p>
        </w:tc>
        <w:tc>
          <w:tcPr>
            <w:tcW w:w="260" w:type="dxa"/>
            <w:tcBorders>
              <w:left w:val="nil"/>
              <w:right w:val="nil"/>
            </w:tcBorders>
            <w:vAlign w:val="center"/>
          </w:tcPr>
          <w:p>
            <w:pPr>
              <w:widowControl w:val="0"/>
              <w:jc w:val="center"/>
            </w:pPr>
          </w:p>
        </w:tc>
        <w:tc>
          <w:tcPr>
            <w:tcW w:w="6464" w:type="dxa"/>
            <w:gridSpan w:val="4"/>
            <w:tcBorders>
              <w:left w:val="nil"/>
              <w:right w:val="nil"/>
            </w:tcBorders>
            <w:vAlign w:val="center"/>
          </w:tcPr>
          <w:p>
            <w:pPr>
              <w:widowControl w:val="0"/>
              <w:jc w:val="center"/>
            </w:pPr>
            <w:r>
              <w:t>Pavieniai viengysliai kabeliai vamzdžiuose</w:t>
            </w:r>
          </w:p>
        </w:tc>
        <w:tc>
          <w:tcPr>
            <w:tcW w:w="236" w:type="dxa"/>
            <w:tcBorders>
              <w:left w:val="nil"/>
              <w:right w:val="nil"/>
            </w:tcBorders>
            <w:vAlign w:val="center"/>
          </w:tcPr>
          <w:p>
            <w:pPr>
              <w:widowControl w:val="0"/>
              <w:jc w:val="center"/>
            </w:pPr>
          </w:p>
        </w:tc>
        <w:tc>
          <w:tcPr>
            <w:tcW w:w="362" w:type="dxa"/>
            <w:tcBorders>
              <w:left w:val="nil"/>
            </w:tcBorders>
            <w:vAlign w:val="center"/>
          </w:tcPr>
          <w:p>
            <w:pPr>
              <w:widowControl w:val="0"/>
              <w:jc w:val="center"/>
            </w:pPr>
          </w:p>
        </w:tc>
      </w:tr>
      <w:tr>
        <w:trPr>
          <w:cantSplit/>
          <w:trHeight w:val="20"/>
        </w:trPr>
        <w:tc>
          <w:tcPr>
            <w:tcW w:w="1748" w:type="dxa"/>
            <w:tcBorders>
              <w:right w:val="nil"/>
            </w:tcBorders>
            <w:vAlign w:val="center"/>
          </w:tcPr>
          <w:p>
            <w:pPr>
              <w:widowControl w:val="0"/>
              <w:jc w:val="center"/>
            </w:pPr>
            <w:r>
              <w:t>Viengysliai kabeliai</w:t>
            </w:r>
          </w:p>
        </w:tc>
        <w:tc>
          <w:tcPr>
            <w:tcW w:w="260" w:type="dxa"/>
            <w:tcBorders>
              <w:left w:val="nil"/>
              <w:right w:val="nil"/>
            </w:tcBorders>
            <w:vAlign w:val="center"/>
          </w:tcPr>
          <w:p>
            <w:pPr>
              <w:widowControl w:val="0"/>
              <w:jc w:val="center"/>
            </w:pPr>
          </w:p>
        </w:tc>
        <w:tc>
          <w:tcPr>
            <w:tcW w:w="6464" w:type="dxa"/>
            <w:gridSpan w:val="4"/>
            <w:tcBorders>
              <w:left w:val="nil"/>
              <w:right w:val="nil"/>
            </w:tcBorders>
            <w:vAlign w:val="center"/>
          </w:tcPr>
          <w:p>
            <w:pPr>
              <w:widowControl w:val="0"/>
              <w:jc w:val="center"/>
            </w:pPr>
            <w:r>
              <w:object w:dxaOrig="3675" w:dyaOrig="855">
                <v:shape id="_x0000_i1115" type="#_x0000_t75" style="width:184pt;height:41.6pt" o:ole="">
                  <v:imagedata r:id="rId284" o:title=""/>
                </v:shape>
                <o:OLEObject Type="Embed" ProgID="Word.Picture.8" ShapeID="_x0000_i1115" DrawAspect="Content" ObjectID="_0000000001" r:id="rId285"/>
              </w:object>
            </w:r>
          </w:p>
          <w:p>
            <w:pPr>
              <w:widowControl w:val="0"/>
              <w:jc w:val="center"/>
            </w:pPr>
            <w:r>
              <w:rPr>
                <w:vanish/>
              </w:rPr>
              <w:t>(ženklas)</w:t>
            </w:r>
          </w:p>
        </w:tc>
        <w:tc>
          <w:tcPr>
            <w:tcW w:w="236" w:type="dxa"/>
            <w:tcBorders>
              <w:left w:val="nil"/>
              <w:right w:val="nil"/>
            </w:tcBorders>
            <w:vAlign w:val="center"/>
          </w:tcPr>
          <w:p>
            <w:pPr>
              <w:widowControl w:val="0"/>
              <w:jc w:val="center"/>
            </w:pPr>
          </w:p>
        </w:tc>
        <w:tc>
          <w:tcPr>
            <w:tcW w:w="362" w:type="dxa"/>
            <w:tcBorders>
              <w:left w:val="nil"/>
            </w:tcBorders>
            <w:vAlign w:val="center"/>
          </w:tcPr>
          <w:p>
            <w:pPr>
              <w:widowControl w:val="0"/>
              <w:jc w:val="center"/>
            </w:pPr>
          </w:p>
        </w:tc>
      </w:tr>
      <w:tr>
        <w:trPr>
          <w:cantSplit/>
          <w:trHeight w:val="20"/>
        </w:trPr>
        <w:tc>
          <w:tcPr>
            <w:tcW w:w="1748" w:type="dxa"/>
            <w:vAlign w:val="center"/>
          </w:tcPr>
          <w:p>
            <w:pPr>
              <w:widowControl w:val="0"/>
              <w:jc w:val="center"/>
            </w:pPr>
            <w:r>
              <w:t>2</w:t>
            </w:r>
          </w:p>
        </w:tc>
        <w:tc>
          <w:tcPr>
            <w:tcW w:w="1700" w:type="dxa"/>
            <w:gridSpan w:val="2"/>
            <w:vAlign w:val="center"/>
          </w:tcPr>
          <w:p>
            <w:pPr>
              <w:widowControl w:val="0"/>
              <w:jc w:val="center"/>
            </w:pPr>
            <w:r>
              <w:t>0,80</w:t>
            </w:r>
          </w:p>
        </w:tc>
        <w:tc>
          <w:tcPr>
            <w:tcW w:w="1874" w:type="dxa"/>
            <w:vAlign w:val="center"/>
          </w:tcPr>
          <w:p>
            <w:pPr>
              <w:widowControl w:val="0"/>
              <w:jc w:val="center"/>
            </w:pPr>
            <w:r>
              <w:t>0,90</w:t>
            </w:r>
          </w:p>
        </w:tc>
        <w:tc>
          <w:tcPr>
            <w:tcW w:w="1874" w:type="dxa"/>
            <w:vAlign w:val="center"/>
          </w:tcPr>
          <w:p>
            <w:pPr>
              <w:widowControl w:val="0"/>
              <w:jc w:val="center"/>
            </w:pPr>
            <w:r>
              <w:t>0,90</w:t>
            </w:r>
          </w:p>
        </w:tc>
        <w:tc>
          <w:tcPr>
            <w:tcW w:w="1874" w:type="dxa"/>
            <w:gridSpan w:val="3"/>
            <w:vAlign w:val="center"/>
          </w:tcPr>
          <w:p>
            <w:pPr>
              <w:widowControl w:val="0"/>
              <w:jc w:val="center"/>
            </w:pPr>
            <w:r>
              <w:t>0,95</w:t>
            </w:r>
          </w:p>
        </w:tc>
      </w:tr>
      <w:tr>
        <w:trPr>
          <w:cantSplit/>
          <w:trHeight w:val="20"/>
        </w:trPr>
        <w:tc>
          <w:tcPr>
            <w:tcW w:w="1748" w:type="dxa"/>
            <w:vAlign w:val="center"/>
          </w:tcPr>
          <w:p>
            <w:pPr>
              <w:widowControl w:val="0"/>
              <w:jc w:val="center"/>
            </w:pPr>
            <w:r>
              <w:t>3</w:t>
            </w:r>
          </w:p>
        </w:tc>
        <w:tc>
          <w:tcPr>
            <w:tcW w:w="1700" w:type="dxa"/>
            <w:gridSpan w:val="2"/>
            <w:vAlign w:val="center"/>
          </w:tcPr>
          <w:p>
            <w:pPr>
              <w:widowControl w:val="0"/>
              <w:jc w:val="center"/>
            </w:pPr>
            <w:r>
              <w:t>0,70</w:t>
            </w:r>
          </w:p>
        </w:tc>
        <w:tc>
          <w:tcPr>
            <w:tcW w:w="1874" w:type="dxa"/>
            <w:vAlign w:val="center"/>
          </w:tcPr>
          <w:p>
            <w:pPr>
              <w:widowControl w:val="0"/>
              <w:jc w:val="center"/>
            </w:pPr>
            <w:r>
              <w:t>0,80</w:t>
            </w:r>
          </w:p>
        </w:tc>
        <w:tc>
          <w:tcPr>
            <w:tcW w:w="1874" w:type="dxa"/>
            <w:vAlign w:val="center"/>
          </w:tcPr>
          <w:p>
            <w:pPr>
              <w:widowControl w:val="0"/>
              <w:jc w:val="center"/>
            </w:pPr>
            <w:r>
              <w:t>0,85</w:t>
            </w:r>
          </w:p>
        </w:tc>
        <w:tc>
          <w:tcPr>
            <w:tcW w:w="1874" w:type="dxa"/>
            <w:gridSpan w:val="3"/>
            <w:vAlign w:val="center"/>
          </w:tcPr>
          <w:p>
            <w:pPr>
              <w:widowControl w:val="0"/>
              <w:jc w:val="center"/>
            </w:pPr>
            <w:r>
              <w:t>0,90</w:t>
            </w:r>
          </w:p>
        </w:tc>
      </w:tr>
      <w:tr>
        <w:trPr>
          <w:cantSplit/>
          <w:trHeight w:val="20"/>
        </w:trPr>
        <w:tc>
          <w:tcPr>
            <w:tcW w:w="1748" w:type="dxa"/>
            <w:vAlign w:val="center"/>
          </w:tcPr>
          <w:p>
            <w:pPr>
              <w:widowControl w:val="0"/>
              <w:jc w:val="center"/>
            </w:pPr>
            <w:r>
              <w:t>4</w:t>
            </w:r>
          </w:p>
        </w:tc>
        <w:tc>
          <w:tcPr>
            <w:tcW w:w="1700" w:type="dxa"/>
            <w:gridSpan w:val="2"/>
            <w:vAlign w:val="center"/>
          </w:tcPr>
          <w:p>
            <w:pPr>
              <w:widowControl w:val="0"/>
              <w:jc w:val="center"/>
            </w:pPr>
            <w:r>
              <w:t>0,65</w:t>
            </w:r>
          </w:p>
        </w:tc>
        <w:tc>
          <w:tcPr>
            <w:tcW w:w="1874" w:type="dxa"/>
            <w:vAlign w:val="center"/>
          </w:tcPr>
          <w:p>
            <w:pPr>
              <w:widowControl w:val="0"/>
              <w:jc w:val="center"/>
            </w:pPr>
            <w:r>
              <w:t>0,75</w:t>
            </w:r>
          </w:p>
        </w:tc>
        <w:tc>
          <w:tcPr>
            <w:tcW w:w="1874" w:type="dxa"/>
            <w:vAlign w:val="center"/>
          </w:tcPr>
          <w:p>
            <w:pPr>
              <w:widowControl w:val="0"/>
              <w:jc w:val="center"/>
            </w:pPr>
            <w:r>
              <w:t>0,80</w:t>
            </w:r>
          </w:p>
        </w:tc>
        <w:tc>
          <w:tcPr>
            <w:tcW w:w="1874" w:type="dxa"/>
            <w:gridSpan w:val="3"/>
            <w:vAlign w:val="center"/>
          </w:tcPr>
          <w:p>
            <w:pPr>
              <w:widowControl w:val="0"/>
              <w:jc w:val="center"/>
            </w:pPr>
            <w:r>
              <w:t>0,90</w:t>
            </w:r>
          </w:p>
        </w:tc>
      </w:tr>
      <w:tr>
        <w:trPr>
          <w:cantSplit/>
          <w:trHeight w:val="20"/>
        </w:trPr>
        <w:tc>
          <w:tcPr>
            <w:tcW w:w="1748" w:type="dxa"/>
            <w:vAlign w:val="center"/>
          </w:tcPr>
          <w:p>
            <w:pPr>
              <w:widowControl w:val="0"/>
              <w:jc w:val="center"/>
            </w:pPr>
            <w:r>
              <w:t>5</w:t>
            </w:r>
          </w:p>
        </w:tc>
        <w:tc>
          <w:tcPr>
            <w:tcW w:w="1700" w:type="dxa"/>
            <w:gridSpan w:val="2"/>
            <w:vAlign w:val="center"/>
          </w:tcPr>
          <w:p>
            <w:pPr>
              <w:widowControl w:val="0"/>
              <w:jc w:val="center"/>
            </w:pPr>
            <w:r>
              <w:t>0,60</w:t>
            </w:r>
          </w:p>
        </w:tc>
        <w:tc>
          <w:tcPr>
            <w:tcW w:w="1874" w:type="dxa"/>
            <w:vAlign w:val="center"/>
          </w:tcPr>
          <w:p>
            <w:pPr>
              <w:widowControl w:val="0"/>
              <w:jc w:val="center"/>
            </w:pPr>
            <w:r>
              <w:t>0,70</w:t>
            </w:r>
          </w:p>
        </w:tc>
        <w:tc>
          <w:tcPr>
            <w:tcW w:w="1874" w:type="dxa"/>
            <w:vAlign w:val="center"/>
          </w:tcPr>
          <w:p>
            <w:pPr>
              <w:widowControl w:val="0"/>
              <w:jc w:val="center"/>
            </w:pPr>
            <w:r>
              <w:t>0,80</w:t>
            </w:r>
          </w:p>
        </w:tc>
        <w:tc>
          <w:tcPr>
            <w:tcW w:w="1874" w:type="dxa"/>
            <w:gridSpan w:val="3"/>
            <w:vAlign w:val="center"/>
          </w:tcPr>
          <w:p>
            <w:pPr>
              <w:widowControl w:val="0"/>
              <w:jc w:val="center"/>
            </w:pPr>
            <w:r>
              <w:t>0,90</w:t>
            </w:r>
          </w:p>
        </w:tc>
      </w:tr>
      <w:tr>
        <w:trPr>
          <w:cantSplit/>
          <w:trHeight w:val="20"/>
        </w:trPr>
        <w:tc>
          <w:tcPr>
            <w:tcW w:w="1748" w:type="dxa"/>
            <w:vAlign w:val="center"/>
          </w:tcPr>
          <w:p>
            <w:pPr>
              <w:widowControl w:val="0"/>
              <w:jc w:val="center"/>
            </w:pPr>
            <w:r>
              <w:t>6</w:t>
            </w:r>
          </w:p>
        </w:tc>
        <w:tc>
          <w:tcPr>
            <w:tcW w:w="1700" w:type="dxa"/>
            <w:gridSpan w:val="2"/>
            <w:vAlign w:val="center"/>
          </w:tcPr>
          <w:p>
            <w:pPr>
              <w:widowControl w:val="0"/>
              <w:jc w:val="center"/>
            </w:pPr>
            <w:r>
              <w:t>0,60</w:t>
            </w:r>
          </w:p>
        </w:tc>
        <w:tc>
          <w:tcPr>
            <w:tcW w:w="1874" w:type="dxa"/>
            <w:vAlign w:val="center"/>
          </w:tcPr>
          <w:p>
            <w:pPr>
              <w:widowControl w:val="0"/>
              <w:jc w:val="center"/>
            </w:pPr>
            <w:r>
              <w:t>0,70</w:t>
            </w:r>
          </w:p>
        </w:tc>
        <w:tc>
          <w:tcPr>
            <w:tcW w:w="1874" w:type="dxa"/>
            <w:vAlign w:val="center"/>
          </w:tcPr>
          <w:p>
            <w:pPr>
              <w:widowControl w:val="0"/>
              <w:jc w:val="center"/>
            </w:pPr>
            <w:r>
              <w:t>0,80</w:t>
            </w:r>
          </w:p>
        </w:tc>
        <w:tc>
          <w:tcPr>
            <w:tcW w:w="1874" w:type="dxa"/>
            <w:gridSpan w:val="3"/>
            <w:vAlign w:val="center"/>
          </w:tcPr>
          <w:p>
            <w:pPr>
              <w:widowControl w:val="0"/>
              <w:jc w:val="center"/>
            </w:pPr>
            <w:r>
              <w:t>0,90</w:t>
            </w:r>
          </w:p>
        </w:tc>
      </w:tr>
    </w:tbl>
    <w:p>
      <w:pPr>
        <w:widowControl w:val="0"/>
        <w:ind w:firstLine="567"/>
        <w:jc w:val="both"/>
      </w:pPr>
    </w:p>
    <w:p>
      <w:pPr>
        <w:widowControl w:val="0"/>
        <w:ind w:firstLine="567"/>
        <w:jc w:val="both"/>
      </w:pPr>
      <w:r>
        <w:t>PASTABA. Koeficientai taikomi kabeliams, klojamiems 0,7 m ir didesniame gylyje, esant 2,5 K*m/W savitajai šiluminei žemės varžai.</w:t>
      </w:r>
    </w:p>
    <w:p>
      <w:pPr>
        <w:widowControl w:val="0"/>
        <w:ind w:firstLine="567"/>
        <w:jc w:val="both"/>
        <w:rPr>
          <w:b/>
        </w:rPr>
      </w:pPr>
    </w:p>
    <w:p>
      <w:pPr>
        <w:widowControl w:val="0"/>
        <w:ind w:firstLine="567"/>
        <w:jc w:val="both"/>
        <w:rPr>
          <w:b/>
        </w:rPr>
      </w:pPr>
      <w:r>
        <w:rPr>
          <w:b/>
        </w:rPr>
        <w:t>15 lentelė. Ilgalaikės leistinosios srovės pataisos koeficientai, esant daugiau kaip vienam daugiagysliam kabeliui</w:t>
      </w:r>
    </w:p>
    <w:p>
      <w:pPr>
        <w:widowControl w:val="0"/>
        <w:ind w:firstLine="567"/>
        <w:jc w:val="both"/>
      </w:pPr>
    </w:p>
    <w:p>
      <w:pPr>
        <w:widowControl w:val="0"/>
        <w:ind w:firstLine="567"/>
        <w:jc w:val="both"/>
      </w:pPr>
      <w:r>
        <w:t>Taikomi atvirame ore tiesiamiems daugiagysliams kabeliams.</w:t>
      </w:r>
    </w:p>
    <w:p>
      <w:pPr>
        <w:widowControl w:val="0"/>
        <w:ind w:firstLine="567"/>
        <w:jc w:val="both"/>
      </w:pPr>
      <w:r>
        <w:t>Taikomi F ir E instaliacijos būdams pagal 2 priedo 6–8 lenteles.</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4" w:type="dxa"/>
          <w:right w:w="34" w:type="dxa"/>
        </w:tblCellMar>
        <w:tblLook w:val="0000" w:firstRow="0" w:lastRow="0" w:firstColumn="0" w:lastColumn="0" w:noHBand="0" w:noVBand="0"/>
      </w:tblPr>
      <w:tblGrid>
        <w:gridCol w:w="1407"/>
        <w:gridCol w:w="422"/>
        <w:gridCol w:w="2372"/>
        <w:gridCol w:w="845"/>
        <w:gridCol w:w="670"/>
        <w:gridCol w:w="671"/>
        <w:gridCol w:w="671"/>
        <w:gridCol w:w="670"/>
        <w:gridCol w:w="671"/>
        <w:gridCol w:w="671"/>
      </w:tblGrid>
      <w:tr>
        <w:trPr>
          <w:cantSplit/>
          <w:trHeight w:val="20"/>
          <w:tblHeader/>
        </w:trPr>
        <w:tc>
          <w:tcPr>
            <w:tcW w:w="4234" w:type="dxa"/>
            <w:gridSpan w:val="3"/>
            <w:vMerge w:val="restart"/>
            <w:vAlign w:val="center"/>
          </w:tcPr>
          <w:p>
            <w:pPr>
              <w:widowControl w:val="0"/>
              <w:jc w:val="center"/>
            </w:pPr>
            <w:r>
              <w:t>Instaliacijos būdas</w:t>
            </w:r>
          </w:p>
          <w:p>
            <w:pPr>
              <w:widowControl w:val="0"/>
              <w:jc w:val="center"/>
            </w:pPr>
            <w:r>
              <w:t>(pagal 2 priedo 2 lentelę)</w:t>
            </w:r>
          </w:p>
        </w:tc>
        <w:tc>
          <w:tcPr>
            <w:tcW w:w="851" w:type="dxa"/>
            <w:vMerge w:val="restart"/>
            <w:vAlign w:val="center"/>
          </w:tcPr>
          <w:p>
            <w:pPr>
              <w:widowControl w:val="0"/>
              <w:jc w:val="center"/>
            </w:pPr>
            <w:r>
              <w:t>Lentynų skaičius</w:t>
            </w:r>
          </w:p>
        </w:tc>
        <w:tc>
          <w:tcPr>
            <w:tcW w:w="4054" w:type="dxa"/>
            <w:gridSpan w:val="6"/>
            <w:vAlign w:val="center"/>
          </w:tcPr>
          <w:p>
            <w:pPr>
              <w:widowControl w:val="0"/>
              <w:jc w:val="center"/>
            </w:pPr>
            <w:r>
              <w:t>Kabelių skaičius</w:t>
            </w:r>
          </w:p>
        </w:tc>
      </w:tr>
      <w:tr>
        <w:trPr>
          <w:cantSplit/>
          <w:trHeight w:val="20"/>
          <w:tblHeader/>
        </w:trPr>
        <w:tc>
          <w:tcPr>
            <w:tcW w:w="4234" w:type="dxa"/>
            <w:gridSpan w:val="3"/>
            <w:vMerge/>
            <w:vAlign w:val="center"/>
          </w:tcPr>
          <w:p>
            <w:pPr>
              <w:widowControl w:val="0"/>
              <w:jc w:val="both"/>
            </w:pPr>
          </w:p>
        </w:tc>
        <w:tc>
          <w:tcPr>
            <w:tcW w:w="851" w:type="dxa"/>
            <w:vMerge/>
            <w:tcBorders>
              <w:bottom w:val="single" w:sz="2" w:space="0" w:color="auto"/>
            </w:tcBorders>
            <w:vAlign w:val="center"/>
          </w:tcPr>
          <w:p>
            <w:pPr>
              <w:widowControl w:val="0"/>
              <w:jc w:val="center"/>
            </w:pPr>
          </w:p>
        </w:tc>
        <w:tc>
          <w:tcPr>
            <w:tcW w:w="675" w:type="dxa"/>
            <w:tcBorders>
              <w:bottom w:val="single" w:sz="2" w:space="0" w:color="auto"/>
            </w:tcBorders>
            <w:vAlign w:val="center"/>
          </w:tcPr>
          <w:p>
            <w:pPr>
              <w:widowControl w:val="0"/>
              <w:jc w:val="center"/>
            </w:pPr>
            <w:r>
              <w:t>1</w:t>
            </w:r>
          </w:p>
        </w:tc>
        <w:tc>
          <w:tcPr>
            <w:tcW w:w="676" w:type="dxa"/>
            <w:tcBorders>
              <w:bottom w:val="single" w:sz="2" w:space="0" w:color="auto"/>
            </w:tcBorders>
            <w:vAlign w:val="center"/>
          </w:tcPr>
          <w:p>
            <w:pPr>
              <w:widowControl w:val="0"/>
              <w:jc w:val="center"/>
            </w:pPr>
            <w:r>
              <w:t>2</w:t>
            </w:r>
          </w:p>
        </w:tc>
        <w:tc>
          <w:tcPr>
            <w:tcW w:w="676" w:type="dxa"/>
            <w:tcBorders>
              <w:bottom w:val="single" w:sz="2" w:space="0" w:color="auto"/>
            </w:tcBorders>
            <w:vAlign w:val="center"/>
          </w:tcPr>
          <w:p>
            <w:pPr>
              <w:widowControl w:val="0"/>
              <w:jc w:val="center"/>
            </w:pPr>
            <w:r>
              <w:t>3</w:t>
            </w:r>
          </w:p>
        </w:tc>
        <w:tc>
          <w:tcPr>
            <w:tcW w:w="675" w:type="dxa"/>
            <w:tcBorders>
              <w:bottom w:val="single" w:sz="2" w:space="0" w:color="auto"/>
            </w:tcBorders>
            <w:vAlign w:val="center"/>
          </w:tcPr>
          <w:p>
            <w:pPr>
              <w:widowControl w:val="0"/>
              <w:jc w:val="center"/>
            </w:pPr>
            <w:r>
              <w:t>4</w:t>
            </w:r>
          </w:p>
        </w:tc>
        <w:tc>
          <w:tcPr>
            <w:tcW w:w="676" w:type="dxa"/>
            <w:tcBorders>
              <w:bottom w:val="single" w:sz="2" w:space="0" w:color="auto"/>
            </w:tcBorders>
            <w:vAlign w:val="center"/>
          </w:tcPr>
          <w:p>
            <w:pPr>
              <w:widowControl w:val="0"/>
              <w:jc w:val="center"/>
            </w:pPr>
            <w:r>
              <w:t>6</w:t>
            </w:r>
          </w:p>
        </w:tc>
        <w:tc>
          <w:tcPr>
            <w:tcW w:w="676" w:type="dxa"/>
            <w:tcBorders>
              <w:bottom w:val="single" w:sz="2" w:space="0" w:color="auto"/>
            </w:tcBorders>
            <w:vAlign w:val="center"/>
          </w:tcPr>
          <w:p>
            <w:pPr>
              <w:widowControl w:val="0"/>
              <w:jc w:val="center"/>
            </w:pPr>
            <w:r>
              <w:t>9</w:t>
            </w:r>
          </w:p>
        </w:tc>
      </w:tr>
      <w:tr>
        <w:trPr>
          <w:cantSplit/>
          <w:trHeight w:val="225"/>
        </w:trPr>
        <w:tc>
          <w:tcPr>
            <w:tcW w:w="1418" w:type="dxa"/>
            <w:vMerge w:val="restart"/>
            <w:vAlign w:val="center"/>
          </w:tcPr>
          <w:p>
            <w:pPr>
              <w:widowControl w:val="0"/>
            </w:pPr>
            <w:r>
              <w:t>Perforuotos lentynos*</w:t>
            </w:r>
          </w:p>
        </w:tc>
        <w:tc>
          <w:tcPr>
            <w:tcW w:w="425" w:type="dxa"/>
            <w:vMerge w:val="restart"/>
            <w:vAlign w:val="center"/>
          </w:tcPr>
          <w:p>
            <w:pPr>
              <w:widowControl w:val="0"/>
              <w:jc w:val="both"/>
            </w:pPr>
            <w:r>
              <w:t>13</w:t>
            </w:r>
          </w:p>
        </w:tc>
        <w:tc>
          <w:tcPr>
            <w:tcW w:w="2391" w:type="dxa"/>
            <w:vMerge w:val="restart"/>
            <w:vAlign w:val="center"/>
          </w:tcPr>
          <w:p>
            <w:pPr>
              <w:widowControl w:val="0"/>
              <w:jc w:val="center"/>
            </w:pPr>
            <w:r>
              <w:rPr>
                <w:lang w:eastAsia="lt-LT"/>
              </w:rPr>
              <w:drawing>
                <wp:inline distT="0" distB="0" distL="0" distR="0">
                  <wp:extent cx="676275" cy="276225"/>
                  <wp:effectExtent l="0" t="0" r="0" b="0"/>
                  <wp:docPr id="188" name="Picture 188"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 pav"/>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p>
          <w:p>
            <w:pPr>
              <w:widowControl w:val="0"/>
              <w:jc w:val="center"/>
            </w:pPr>
            <w:r>
              <w:rPr>
                <w:vanish/>
              </w:rPr>
              <w:t>(ženklas)</w:t>
            </w:r>
          </w:p>
        </w:tc>
        <w:tc>
          <w:tcPr>
            <w:tcW w:w="851" w:type="dxa"/>
            <w:tcBorders>
              <w:bottom w:val="nil"/>
            </w:tcBorders>
            <w:vAlign w:val="center"/>
          </w:tcPr>
          <w:p>
            <w:pPr>
              <w:widowControl w:val="0"/>
              <w:jc w:val="center"/>
            </w:pPr>
            <w:r>
              <w:t>1</w:t>
            </w:r>
          </w:p>
        </w:tc>
        <w:tc>
          <w:tcPr>
            <w:tcW w:w="675" w:type="dxa"/>
            <w:tcBorders>
              <w:bottom w:val="nil"/>
            </w:tcBorders>
            <w:vAlign w:val="center"/>
          </w:tcPr>
          <w:p>
            <w:pPr>
              <w:widowControl w:val="0"/>
              <w:jc w:val="center"/>
            </w:pPr>
            <w:r>
              <w:t>1,00</w:t>
            </w:r>
          </w:p>
        </w:tc>
        <w:tc>
          <w:tcPr>
            <w:tcW w:w="676" w:type="dxa"/>
            <w:tcBorders>
              <w:bottom w:val="nil"/>
            </w:tcBorders>
            <w:vAlign w:val="center"/>
          </w:tcPr>
          <w:p>
            <w:pPr>
              <w:widowControl w:val="0"/>
              <w:jc w:val="center"/>
            </w:pPr>
            <w:r>
              <w:t>0,88</w:t>
            </w:r>
          </w:p>
        </w:tc>
        <w:tc>
          <w:tcPr>
            <w:tcW w:w="676" w:type="dxa"/>
            <w:tcBorders>
              <w:bottom w:val="nil"/>
            </w:tcBorders>
            <w:vAlign w:val="center"/>
          </w:tcPr>
          <w:p>
            <w:pPr>
              <w:widowControl w:val="0"/>
              <w:jc w:val="center"/>
            </w:pPr>
            <w:r>
              <w:t>0,82</w:t>
            </w:r>
          </w:p>
        </w:tc>
        <w:tc>
          <w:tcPr>
            <w:tcW w:w="675" w:type="dxa"/>
            <w:tcBorders>
              <w:bottom w:val="nil"/>
            </w:tcBorders>
            <w:vAlign w:val="center"/>
          </w:tcPr>
          <w:p>
            <w:pPr>
              <w:widowControl w:val="0"/>
              <w:jc w:val="center"/>
            </w:pPr>
            <w:r>
              <w:t>0,79</w:t>
            </w:r>
          </w:p>
        </w:tc>
        <w:tc>
          <w:tcPr>
            <w:tcW w:w="676" w:type="dxa"/>
            <w:tcBorders>
              <w:bottom w:val="nil"/>
            </w:tcBorders>
            <w:vAlign w:val="center"/>
          </w:tcPr>
          <w:p>
            <w:pPr>
              <w:widowControl w:val="0"/>
              <w:jc w:val="center"/>
            </w:pPr>
            <w:r>
              <w:t>0,76</w:t>
            </w:r>
          </w:p>
        </w:tc>
        <w:tc>
          <w:tcPr>
            <w:tcW w:w="676" w:type="dxa"/>
            <w:tcBorders>
              <w:bottom w:val="nil"/>
            </w:tcBorders>
            <w:vAlign w:val="center"/>
          </w:tcPr>
          <w:p>
            <w:pPr>
              <w:widowControl w:val="0"/>
              <w:jc w:val="center"/>
            </w:pPr>
            <w:r>
              <w:t>0,73</w:t>
            </w:r>
          </w:p>
        </w:tc>
      </w:tr>
      <w:tr>
        <w:trPr>
          <w:cantSplit/>
          <w:trHeight w:val="285"/>
        </w:trPr>
        <w:tc>
          <w:tcPr>
            <w:tcW w:w="1418" w:type="dxa"/>
            <w:vMerge/>
            <w:vAlign w:val="center"/>
          </w:tcPr>
          <w:p>
            <w:pPr>
              <w:widowControl w:val="0"/>
            </w:pPr>
          </w:p>
        </w:tc>
        <w:tc>
          <w:tcPr>
            <w:tcW w:w="425" w:type="dxa"/>
            <w:vMerge/>
            <w:tcBorders>
              <w:top w:val="nil"/>
            </w:tcBorders>
            <w:vAlign w:val="center"/>
          </w:tcPr>
          <w:p>
            <w:pPr>
              <w:widowControl w:val="0"/>
              <w:jc w:val="both"/>
            </w:pPr>
          </w:p>
        </w:tc>
        <w:tc>
          <w:tcPr>
            <w:tcW w:w="2391" w:type="dxa"/>
            <w:vMerge/>
            <w:tcBorders>
              <w:top w:val="nil"/>
            </w:tcBorders>
            <w:vAlign w:val="center"/>
          </w:tcPr>
          <w:p>
            <w:pPr>
              <w:widowControl w:val="0"/>
              <w:jc w:val="center"/>
            </w:pPr>
          </w:p>
        </w:tc>
        <w:tc>
          <w:tcPr>
            <w:tcW w:w="851" w:type="dxa"/>
            <w:tcBorders>
              <w:top w:val="nil"/>
              <w:bottom w:val="nil"/>
            </w:tcBorders>
            <w:vAlign w:val="center"/>
          </w:tcPr>
          <w:p>
            <w:pPr>
              <w:widowControl w:val="0"/>
              <w:jc w:val="center"/>
            </w:pPr>
            <w:r>
              <w:t>2</w:t>
            </w:r>
          </w:p>
        </w:tc>
        <w:tc>
          <w:tcPr>
            <w:tcW w:w="675" w:type="dxa"/>
            <w:tcBorders>
              <w:top w:val="nil"/>
              <w:bottom w:val="nil"/>
            </w:tcBorders>
            <w:vAlign w:val="center"/>
          </w:tcPr>
          <w:p>
            <w:pPr>
              <w:widowControl w:val="0"/>
              <w:jc w:val="center"/>
            </w:pPr>
            <w:r>
              <w:t>1,00</w:t>
            </w:r>
          </w:p>
        </w:tc>
        <w:tc>
          <w:tcPr>
            <w:tcW w:w="676" w:type="dxa"/>
            <w:tcBorders>
              <w:top w:val="nil"/>
              <w:bottom w:val="nil"/>
            </w:tcBorders>
            <w:vAlign w:val="center"/>
          </w:tcPr>
          <w:p>
            <w:pPr>
              <w:widowControl w:val="0"/>
              <w:jc w:val="center"/>
            </w:pPr>
            <w:r>
              <w:t>0,87</w:t>
            </w:r>
          </w:p>
        </w:tc>
        <w:tc>
          <w:tcPr>
            <w:tcW w:w="676" w:type="dxa"/>
            <w:tcBorders>
              <w:top w:val="nil"/>
              <w:bottom w:val="nil"/>
            </w:tcBorders>
            <w:vAlign w:val="center"/>
          </w:tcPr>
          <w:p>
            <w:pPr>
              <w:widowControl w:val="0"/>
              <w:jc w:val="center"/>
            </w:pPr>
            <w:r>
              <w:t>0,80</w:t>
            </w:r>
          </w:p>
        </w:tc>
        <w:tc>
          <w:tcPr>
            <w:tcW w:w="675" w:type="dxa"/>
            <w:tcBorders>
              <w:top w:val="nil"/>
              <w:bottom w:val="nil"/>
            </w:tcBorders>
            <w:vAlign w:val="center"/>
          </w:tcPr>
          <w:p>
            <w:pPr>
              <w:widowControl w:val="0"/>
              <w:jc w:val="center"/>
            </w:pPr>
            <w:r>
              <w:t>0,77</w:t>
            </w:r>
          </w:p>
        </w:tc>
        <w:tc>
          <w:tcPr>
            <w:tcW w:w="676" w:type="dxa"/>
            <w:tcBorders>
              <w:top w:val="nil"/>
              <w:bottom w:val="nil"/>
            </w:tcBorders>
            <w:vAlign w:val="center"/>
          </w:tcPr>
          <w:p>
            <w:pPr>
              <w:widowControl w:val="0"/>
              <w:jc w:val="center"/>
            </w:pPr>
            <w:r>
              <w:t>0,73</w:t>
            </w:r>
          </w:p>
        </w:tc>
        <w:tc>
          <w:tcPr>
            <w:tcW w:w="676" w:type="dxa"/>
            <w:tcBorders>
              <w:top w:val="nil"/>
              <w:bottom w:val="nil"/>
            </w:tcBorders>
            <w:vAlign w:val="center"/>
          </w:tcPr>
          <w:p>
            <w:pPr>
              <w:widowControl w:val="0"/>
              <w:jc w:val="center"/>
            </w:pPr>
            <w:r>
              <w:t>0,68</w:t>
            </w:r>
          </w:p>
        </w:tc>
      </w:tr>
      <w:tr>
        <w:trPr>
          <w:cantSplit/>
          <w:trHeight w:val="315"/>
        </w:trPr>
        <w:tc>
          <w:tcPr>
            <w:tcW w:w="1418" w:type="dxa"/>
            <w:vMerge/>
            <w:vAlign w:val="center"/>
          </w:tcPr>
          <w:p>
            <w:pPr>
              <w:widowControl w:val="0"/>
            </w:pPr>
          </w:p>
        </w:tc>
        <w:tc>
          <w:tcPr>
            <w:tcW w:w="425" w:type="dxa"/>
            <w:vMerge/>
            <w:vAlign w:val="center"/>
          </w:tcPr>
          <w:p>
            <w:pPr>
              <w:widowControl w:val="0"/>
              <w:jc w:val="both"/>
            </w:pPr>
          </w:p>
        </w:tc>
        <w:tc>
          <w:tcPr>
            <w:tcW w:w="2391" w:type="dxa"/>
            <w:vMerge/>
            <w:vAlign w:val="center"/>
          </w:tcPr>
          <w:p>
            <w:pPr>
              <w:widowControl w:val="0"/>
              <w:jc w:val="center"/>
            </w:pPr>
          </w:p>
        </w:tc>
        <w:tc>
          <w:tcPr>
            <w:tcW w:w="851" w:type="dxa"/>
            <w:tcBorders>
              <w:top w:val="nil"/>
              <w:bottom w:val="single" w:sz="2" w:space="0" w:color="auto"/>
            </w:tcBorders>
            <w:vAlign w:val="center"/>
          </w:tcPr>
          <w:p>
            <w:pPr>
              <w:widowControl w:val="0"/>
              <w:jc w:val="center"/>
            </w:pPr>
            <w:r>
              <w:t>3</w:t>
            </w:r>
          </w:p>
        </w:tc>
        <w:tc>
          <w:tcPr>
            <w:tcW w:w="675" w:type="dxa"/>
            <w:tcBorders>
              <w:top w:val="nil"/>
              <w:bottom w:val="single" w:sz="2" w:space="0" w:color="auto"/>
            </w:tcBorders>
            <w:vAlign w:val="center"/>
          </w:tcPr>
          <w:p>
            <w:pPr>
              <w:widowControl w:val="0"/>
              <w:jc w:val="center"/>
            </w:pPr>
            <w:r>
              <w:t>1,00</w:t>
            </w:r>
          </w:p>
        </w:tc>
        <w:tc>
          <w:tcPr>
            <w:tcW w:w="676" w:type="dxa"/>
            <w:tcBorders>
              <w:top w:val="nil"/>
              <w:bottom w:val="single" w:sz="2" w:space="0" w:color="auto"/>
            </w:tcBorders>
            <w:vAlign w:val="center"/>
          </w:tcPr>
          <w:p>
            <w:pPr>
              <w:widowControl w:val="0"/>
              <w:jc w:val="center"/>
            </w:pPr>
            <w:r>
              <w:t>0,86</w:t>
            </w:r>
          </w:p>
        </w:tc>
        <w:tc>
          <w:tcPr>
            <w:tcW w:w="676" w:type="dxa"/>
            <w:tcBorders>
              <w:top w:val="nil"/>
              <w:bottom w:val="single" w:sz="2" w:space="0" w:color="auto"/>
            </w:tcBorders>
            <w:vAlign w:val="center"/>
          </w:tcPr>
          <w:p>
            <w:pPr>
              <w:widowControl w:val="0"/>
              <w:jc w:val="center"/>
            </w:pPr>
            <w:r>
              <w:t>0,76</w:t>
            </w:r>
          </w:p>
        </w:tc>
        <w:tc>
          <w:tcPr>
            <w:tcW w:w="675" w:type="dxa"/>
            <w:tcBorders>
              <w:top w:val="nil"/>
              <w:bottom w:val="single" w:sz="2" w:space="0" w:color="auto"/>
            </w:tcBorders>
            <w:vAlign w:val="center"/>
          </w:tcPr>
          <w:p>
            <w:pPr>
              <w:widowControl w:val="0"/>
              <w:jc w:val="center"/>
            </w:pPr>
            <w:r>
              <w:t>0,76</w:t>
            </w:r>
          </w:p>
        </w:tc>
        <w:tc>
          <w:tcPr>
            <w:tcW w:w="676" w:type="dxa"/>
            <w:tcBorders>
              <w:top w:val="nil"/>
              <w:bottom w:val="single" w:sz="2" w:space="0" w:color="auto"/>
            </w:tcBorders>
            <w:vAlign w:val="center"/>
          </w:tcPr>
          <w:p>
            <w:pPr>
              <w:widowControl w:val="0"/>
              <w:jc w:val="center"/>
            </w:pPr>
            <w:r>
              <w:t>0,71</w:t>
            </w:r>
          </w:p>
        </w:tc>
        <w:tc>
          <w:tcPr>
            <w:tcW w:w="676" w:type="dxa"/>
            <w:tcBorders>
              <w:top w:val="nil"/>
              <w:bottom w:val="single" w:sz="2" w:space="0" w:color="auto"/>
            </w:tcBorders>
            <w:vAlign w:val="center"/>
          </w:tcPr>
          <w:p>
            <w:pPr>
              <w:widowControl w:val="0"/>
              <w:jc w:val="center"/>
            </w:pPr>
            <w:r>
              <w:t>0,66</w:t>
            </w:r>
          </w:p>
        </w:tc>
      </w:tr>
      <w:tr>
        <w:trPr>
          <w:cantSplit/>
          <w:trHeight w:val="225"/>
        </w:trPr>
        <w:tc>
          <w:tcPr>
            <w:tcW w:w="1418" w:type="dxa"/>
            <w:vMerge/>
          </w:tcPr>
          <w:p>
            <w:pPr>
              <w:widowControl w:val="0"/>
            </w:pPr>
          </w:p>
        </w:tc>
        <w:tc>
          <w:tcPr>
            <w:tcW w:w="425" w:type="dxa"/>
            <w:vMerge/>
          </w:tcPr>
          <w:p>
            <w:pPr>
              <w:widowControl w:val="0"/>
              <w:jc w:val="both"/>
            </w:pPr>
          </w:p>
        </w:tc>
        <w:tc>
          <w:tcPr>
            <w:tcW w:w="2391" w:type="dxa"/>
            <w:vMerge w:val="restart"/>
            <w:vAlign w:val="center"/>
          </w:tcPr>
          <w:p>
            <w:pPr>
              <w:widowControl w:val="0"/>
              <w:jc w:val="center"/>
            </w:pPr>
            <w:r>
              <w:rPr>
                <w:lang w:eastAsia="lt-LT"/>
              </w:rPr>
              <w:drawing>
                <wp:inline distT="0" distB="0" distL="0" distR="0">
                  <wp:extent cx="676275" cy="342900"/>
                  <wp:effectExtent l="0" t="0" r="0" b="0"/>
                  <wp:docPr id="189" name="Picture 189" descr="2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2 pav"/>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p>
          <w:p>
            <w:pPr>
              <w:widowControl w:val="0"/>
              <w:jc w:val="center"/>
            </w:pPr>
            <w:r>
              <w:rPr>
                <w:vanish/>
              </w:rPr>
              <w:t>(ženklas)</w:t>
            </w:r>
          </w:p>
        </w:tc>
        <w:tc>
          <w:tcPr>
            <w:tcW w:w="851" w:type="dxa"/>
            <w:tcBorders>
              <w:bottom w:val="nil"/>
            </w:tcBorders>
            <w:vAlign w:val="center"/>
          </w:tcPr>
          <w:p>
            <w:pPr>
              <w:widowControl w:val="0"/>
              <w:jc w:val="center"/>
            </w:pPr>
            <w:r>
              <w:t>1</w:t>
            </w:r>
          </w:p>
        </w:tc>
        <w:tc>
          <w:tcPr>
            <w:tcW w:w="675" w:type="dxa"/>
            <w:tcBorders>
              <w:bottom w:val="nil"/>
            </w:tcBorders>
            <w:vAlign w:val="center"/>
          </w:tcPr>
          <w:p>
            <w:pPr>
              <w:widowControl w:val="0"/>
              <w:jc w:val="center"/>
            </w:pPr>
            <w:r>
              <w:t>1,00</w:t>
            </w:r>
          </w:p>
        </w:tc>
        <w:tc>
          <w:tcPr>
            <w:tcW w:w="676" w:type="dxa"/>
            <w:tcBorders>
              <w:bottom w:val="nil"/>
            </w:tcBorders>
            <w:vAlign w:val="center"/>
          </w:tcPr>
          <w:p>
            <w:pPr>
              <w:widowControl w:val="0"/>
              <w:jc w:val="center"/>
            </w:pPr>
            <w:r>
              <w:t>1,00</w:t>
            </w:r>
          </w:p>
        </w:tc>
        <w:tc>
          <w:tcPr>
            <w:tcW w:w="676" w:type="dxa"/>
            <w:tcBorders>
              <w:bottom w:val="nil"/>
            </w:tcBorders>
            <w:vAlign w:val="center"/>
          </w:tcPr>
          <w:p>
            <w:pPr>
              <w:widowControl w:val="0"/>
              <w:jc w:val="center"/>
            </w:pPr>
            <w:r>
              <w:t>0,98</w:t>
            </w:r>
          </w:p>
        </w:tc>
        <w:tc>
          <w:tcPr>
            <w:tcW w:w="675" w:type="dxa"/>
            <w:tcBorders>
              <w:bottom w:val="nil"/>
            </w:tcBorders>
            <w:vAlign w:val="center"/>
          </w:tcPr>
          <w:p>
            <w:pPr>
              <w:widowControl w:val="0"/>
              <w:jc w:val="center"/>
            </w:pPr>
            <w:r>
              <w:t>0,95</w:t>
            </w:r>
          </w:p>
        </w:tc>
        <w:tc>
          <w:tcPr>
            <w:tcW w:w="676" w:type="dxa"/>
            <w:tcBorders>
              <w:bottom w:val="nil"/>
            </w:tcBorders>
            <w:vAlign w:val="center"/>
          </w:tcPr>
          <w:p>
            <w:pPr>
              <w:widowControl w:val="0"/>
              <w:jc w:val="center"/>
            </w:pPr>
            <w:r>
              <w:t>0,91</w:t>
            </w:r>
          </w:p>
        </w:tc>
        <w:tc>
          <w:tcPr>
            <w:tcW w:w="676" w:type="dxa"/>
            <w:tcBorders>
              <w:bottom w:val="nil"/>
            </w:tcBorders>
            <w:vAlign w:val="center"/>
          </w:tcPr>
          <w:p>
            <w:pPr>
              <w:widowControl w:val="0"/>
              <w:jc w:val="center"/>
            </w:pPr>
            <w:r>
              <w:t>–</w:t>
            </w:r>
          </w:p>
        </w:tc>
      </w:tr>
      <w:tr>
        <w:trPr>
          <w:cantSplit/>
          <w:trHeight w:val="285"/>
        </w:trPr>
        <w:tc>
          <w:tcPr>
            <w:tcW w:w="1418" w:type="dxa"/>
            <w:vMerge/>
          </w:tcPr>
          <w:p>
            <w:pPr>
              <w:widowControl w:val="0"/>
            </w:pPr>
          </w:p>
        </w:tc>
        <w:tc>
          <w:tcPr>
            <w:tcW w:w="425" w:type="dxa"/>
            <w:vMerge/>
          </w:tcPr>
          <w:p>
            <w:pPr>
              <w:widowControl w:val="0"/>
              <w:jc w:val="both"/>
            </w:pPr>
          </w:p>
        </w:tc>
        <w:tc>
          <w:tcPr>
            <w:tcW w:w="2391" w:type="dxa"/>
            <w:vMerge/>
            <w:vAlign w:val="center"/>
          </w:tcPr>
          <w:p>
            <w:pPr>
              <w:widowControl w:val="0"/>
              <w:jc w:val="center"/>
            </w:pPr>
          </w:p>
        </w:tc>
        <w:tc>
          <w:tcPr>
            <w:tcW w:w="851" w:type="dxa"/>
            <w:tcBorders>
              <w:top w:val="nil"/>
              <w:bottom w:val="nil"/>
            </w:tcBorders>
            <w:vAlign w:val="center"/>
          </w:tcPr>
          <w:p>
            <w:pPr>
              <w:widowControl w:val="0"/>
              <w:jc w:val="center"/>
            </w:pPr>
            <w:r>
              <w:t>2</w:t>
            </w:r>
          </w:p>
        </w:tc>
        <w:tc>
          <w:tcPr>
            <w:tcW w:w="675" w:type="dxa"/>
            <w:tcBorders>
              <w:top w:val="nil"/>
              <w:bottom w:val="nil"/>
            </w:tcBorders>
            <w:vAlign w:val="center"/>
          </w:tcPr>
          <w:p>
            <w:pPr>
              <w:widowControl w:val="0"/>
              <w:jc w:val="center"/>
            </w:pPr>
            <w:r>
              <w:t>1,00</w:t>
            </w:r>
          </w:p>
        </w:tc>
        <w:tc>
          <w:tcPr>
            <w:tcW w:w="676" w:type="dxa"/>
            <w:tcBorders>
              <w:top w:val="nil"/>
              <w:bottom w:val="nil"/>
            </w:tcBorders>
            <w:vAlign w:val="center"/>
          </w:tcPr>
          <w:p>
            <w:pPr>
              <w:widowControl w:val="0"/>
              <w:jc w:val="center"/>
            </w:pPr>
            <w:r>
              <w:t>0,99</w:t>
            </w:r>
          </w:p>
        </w:tc>
        <w:tc>
          <w:tcPr>
            <w:tcW w:w="676" w:type="dxa"/>
            <w:tcBorders>
              <w:top w:val="nil"/>
              <w:bottom w:val="nil"/>
            </w:tcBorders>
            <w:vAlign w:val="center"/>
          </w:tcPr>
          <w:p>
            <w:pPr>
              <w:widowControl w:val="0"/>
              <w:jc w:val="center"/>
            </w:pPr>
            <w:r>
              <w:t>0,96</w:t>
            </w:r>
          </w:p>
        </w:tc>
        <w:tc>
          <w:tcPr>
            <w:tcW w:w="675" w:type="dxa"/>
            <w:tcBorders>
              <w:top w:val="nil"/>
              <w:bottom w:val="nil"/>
            </w:tcBorders>
            <w:vAlign w:val="center"/>
          </w:tcPr>
          <w:p>
            <w:pPr>
              <w:widowControl w:val="0"/>
              <w:jc w:val="center"/>
            </w:pPr>
            <w:r>
              <w:t>0,92</w:t>
            </w:r>
          </w:p>
        </w:tc>
        <w:tc>
          <w:tcPr>
            <w:tcW w:w="676" w:type="dxa"/>
            <w:tcBorders>
              <w:top w:val="nil"/>
              <w:bottom w:val="nil"/>
            </w:tcBorders>
            <w:vAlign w:val="center"/>
          </w:tcPr>
          <w:p>
            <w:pPr>
              <w:widowControl w:val="0"/>
              <w:jc w:val="center"/>
            </w:pPr>
            <w:r>
              <w:t>0,87</w:t>
            </w:r>
          </w:p>
        </w:tc>
        <w:tc>
          <w:tcPr>
            <w:tcW w:w="676" w:type="dxa"/>
            <w:tcBorders>
              <w:top w:val="nil"/>
              <w:bottom w:val="nil"/>
            </w:tcBorders>
            <w:vAlign w:val="center"/>
          </w:tcPr>
          <w:p>
            <w:pPr>
              <w:widowControl w:val="0"/>
              <w:jc w:val="center"/>
            </w:pPr>
            <w:r>
              <w:t>–</w:t>
            </w:r>
          </w:p>
        </w:tc>
      </w:tr>
      <w:tr>
        <w:trPr>
          <w:cantSplit/>
          <w:trHeight w:val="315"/>
        </w:trPr>
        <w:tc>
          <w:tcPr>
            <w:tcW w:w="1418" w:type="dxa"/>
            <w:vMerge/>
          </w:tcPr>
          <w:p>
            <w:pPr>
              <w:widowControl w:val="0"/>
            </w:pPr>
          </w:p>
        </w:tc>
        <w:tc>
          <w:tcPr>
            <w:tcW w:w="425" w:type="dxa"/>
            <w:vMerge/>
          </w:tcPr>
          <w:p>
            <w:pPr>
              <w:widowControl w:val="0"/>
              <w:jc w:val="both"/>
            </w:pPr>
          </w:p>
        </w:tc>
        <w:tc>
          <w:tcPr>
            <w:tcW w:w="2391" w:type="dxa"/>
            <w:vMerge/>
            <w:vAlign w:val="center"/>
          </w:tcPr>
          <w:p>
            <w:pPr>
              <w:widowControl w:val="0"/>
              <w:jc w:val="center"/>
            </w:pPr>
          </w:p>
        </w:tc>
        <w:tc>
          <w:tcPr>
            <w:tcW w:w="851" w:type="dxa"/>
            <w:tcBorders>
              <w:top w:val="nil"/>
              <w:bottom w:val="single" w:sz="2" w:space="0" w:color="auto"/>
            </w:tcBorders>
            <w:vAlign w:val="center"/>
          </w:tcPr>
          <w:p>
            <w:pPr>
              <w:widowControl w:val="0"/>
              <w:jc w:val="center"/>
            </w:pPr>
            <w:r>
              <w:t>3</w:t>
            </w:r>
          </w:p>
        </w:tc>
        <w:tc>
          <w:tcPr>
            <w:tcW w:w="675" w:type="dxa"/>
            <w:tcBorders>
              <w:top w:val="nil"/>
              <w:bottom w:val="single" w:sz="2" w:space="0" w:color="auto"/>
            </w:tcBorders>
            <w:vAlign w:val="center"/>
          </w:tcPr>
          <w:p>
            <w:pPr>
              <w:widowControl w:val="0"/>
              <w:jc w:val="center"/>
            </w:pPr>
            <w:r>
              <w:t>1,00</w:t>
            </w:r>
          </w:p>
        </w:tc>
        <w:tc>
          <w:tcPr>
            <w:tcW w:w="676" w:type="dxa"/>
            <w:tcBorders>
              <w:top w:val="nil"/>
              <w:bottom w:val="single" w:sz="2" w:space="0" w:color="auto"/>
            </w:tcBorders>
            <w:vAlign w:val="center"/>
          </w:tcPr>
          <w:p>
            <w:pPr>
              <w:widowControl w:val="0"/>
              <w:jc w:val="center"/>
            </w:pPr>
            <w:r>
              <w:t>0,98</w:t>
            </w:r>
          </w:p>
        </w:tc>
        <w:tc>
          <w:tcPr>
            <w:tcW w:w="676" w:type="dxa"/>
            <w:tcBorders>
              <w:top w:val="nil"/>
              <w:bottom w:val="single" w:sz="2" w:space="0" w:color="auto"/>
            </w:tcBorders>
            <w:vAlign w:val="center"/>
          </w:tcPr>
          <w:p>
            <w:pPr>
              <w:widowControl w:val="0"/>
              <w:jc w:val="center"/>
            </w:pPr>
            <w:r>
              <w:t>0,95</w:t>
            </w:r>
          </w:p>
        </w:tc>
        <w:tc>
          <w:tcPr>
            <w:tcW w:w="675" w:type="dxa"/>
            <w:tcBorders>
              <w:top w:val="nil"/>
              <w:bottom w:val="single" w:sz="2" w:space="0" w:color="auto"/>
            </w:tcBorders>
            <w:vAlign w:val="center"/>
          </w:tcPr>
          <w:p>
            <w:pPr>
              <w:widowControl w:val="0"/>
              <w:jc w:val="center"/>
            </w:pPr>
            <w:r>
              <w:t>0,91</w:t>
            </w:r>
          </w:p>
        </w:tc>
        <w:tc>
          <w:tcPr>
            <w:tcW w:w="676" w:type="dxa"/>
            <w:tcBorders>
              <w:top w:val="nil"/>
              <w:bottom w:val="single" w:sz="2" w:space="0" w:color="auto"/>
            </w:tcBorders>
            <w:vAlign w:val="center"/>
          </w:tcPr>
          <w:p>
            <w:pPr>
              <w:widowControl w:val="0"/>
              <w:jc w:val="center"/>
            </w:pPr>
            <w:r>
              <w:t>0,85</w:t>
            </w:r>
          </w:p>
        </w:tc>
        <w:tc>
          <w:tcPr>
            <w:tcW w:w="676" w:type="dxa"/>
            <w:tcBorders>
              <w:top w:val="nil"/>
              <w:bottom w:val="single" w:sz="2" w:space="0" w:color="auto"/>
            </w:tcBorders>
            <w:vAlign w:val="center"/>
          </w:tcPr>
          <w:p>
            <w:pPr>
              <w:widowControl w:val="0"/>
              <w:jc w:val="center"/>
            </w:pPr>
            <w:r>
              <w:t>–</w:t>
            </w:r>
          </w:p>
        </w:tc>
      </w:tr>
      <w:tr>
        <w:trPr>
          <w:cantSplit/>
          <w:trHeight w:val="240"/>
        </w:trPr>
        <w:tc>
          <w:tcPr>
            <w:tcW w:w="1418" w:type="dxa"/>
            <w:vMerge w:val="restart"/>
            <w:vAlign w:val="center"/>
          </w:tcPr>
          <w:p>
            <w:pPr>
              <w:widowControl w:val="0"/>
            </w:pPr>
            <w:r>
              <w:t>Vertikalios perforuotos lentynos**</w:t>
            </w:r>
          </w:p>
        </w:tc>
        <w:tc>
          <w:tcPr>
            <w:tcW w:w="425" w:type="dxa"/>
            <w:vMerge w:val="restart"/>
            <w:vAlign w:val="center"/>
          </w:tcPr>
          <w:p>
            <w:pPr>
              <w:widowControl w:val="0"/>
              <w:jc w:val="both"/>
            </w:pPr>
            <w:r>
              <w:t>13</w:t>
            </w:r>
          </w:p>
        </w:tc>
        <w:tc>
          <w:tcPr>
            <w:tcW w:w="2391" w:type="dxa"/>
            <w:vMerge w:val="restart"/>
            <w:vAlign w:val="center"/>
          </w:tcPr>
          <w:p>
            <w:pPr>
              <w:widowControl w:val="0"/>
              <w:jc w:val="center"/>
            </w:pPr>
            <w:r>
              <w:rPr>
                <w:lang w:eastAsia="lt-LT"/>
              </w:rPr>
              <w:drawing>
                <wp:inline distT="0" distB="0" distL="0" distR="0">
                  <wp:extent cx="676275" cy="771525"/>
                  <wp:effectExtent l="0" t="0" r="0" b="0"/>
                  <wp:docPr id="190" name="Picture 190" descr="3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3 pav"/>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76275" cy="771525"/>
                          </a:xfrm>
                          <a:prstGeom prst="rect">
                            <a:avLst/>
                          </a:prstGeom>
                          <a:noFill/>
                          <a:ln>
                            <a:noFill/>
                          </a:ln>
                        </pic:spPr>
                      </pic:pic>
                    </a:graphicData>
                  </a:graphic>
                </wp:inline>
              </w:drawing>
            </w:r>
          </w:p>
          <w:p>
            <w:pPr>
              <w:widowControl w:val="0"/>
              <w:jc w:val="center"/>
            </w:pPr>
            <w:r>
              <w:rPr>
                <w:vanish/>
              </w:rPr>
              <w:t>(ženklas)</w:t>
            </w:r>
          </w:p>
        </w:tc>
        <w:tc>
          <w:tcPr>
            <w:tcW w:w="851" w:type="dxa"/>
            <w:tcBorders>
              <w:bottom w:val="nil"/>
            </w:tcBorders>
          </w:tcPr>
          <w:p>
            <w:pPr>
              <w:widowControl w:val="0"/>
              <w:jc w:val="center"/>
            </w:pPr>
            <w:r>
              <w:t>1</w:t>
            </w:r>
          </w:p>
        </w:tc>
        <w:tc>
          <w:tcPr>
            <w:tcW w:w="675" w:type="dxa"/>
            <w:tcBorders>
              <w:bottom w:val="nil"/>
            </w:tcBorders>
          </w:tcPr>
          <w:p>
            <w:pPr>
              <w:widowControl w:val="0"/>
              <w:jc w:val="center"/>
            </w:pPr>
            <w:r>
              <w:t>1,00</w:t>
            </w:r>
          </w:p>
        </w:tc>
        <w:tc>
          <w:tcPr>
            <w:tcW w:w="676" w:type="dxa"/>
            <w:tcBorders>
              <w:bottom w:val="nil"/>
            </w:tcBorders>
          </w:tcPr>
          <w:p>
            <w:pPr>
              <w:widowControl w:val="0"/>
              <w:jc w:val="center"/>
            </w:pPr>
            <w:r>
              <w:t>0,88</w:t>
            </w:r>
          </w:p>
        </w:tc>
        <w:tc>
          <w:tcPr>
            <w:tcW w:w="676" w:type="dxa"/>
            <w:tcBorders>
              <w:bottom w:val="nil"/>
            </w:tcBorders>
          </w:tcPr>
          <w:p>
            <w:pPr>
              <w:widowControl w:val="0"/>
              <w:jc w:val="center"/>
            </w:pPr>
            <w:r>
              <w:t>0,82</w:t>
            </w:r>
          </w:p>
        </w:tc>
        <w:tc>
          <w:tcPr>
            <w:tcW w:w="675" w:type="dxa"/>
            <w:tcBorders>
              <w:bottom w:val="nil"/>
            </w:tcBorders>
          </w:tcPr>
          <w:p>
            <w:pPr>
              <w:widowControl w:val="0"/>
              <w:jc w:val="center"/>
            </w:pPr>
            <w:r>
              <w:t>0,78</w:t>
            </w:r>
          </w:p>
        </w:tc>
        <w:tc>
          <w:tcPr>
            <w:tcW w:w="676" w:type="dxa"/>
            <w:tcBorders>
              <w:bottom w:val="nil"/>
            </w:tcBorders>
          </w:tcPr>
          <w:p>
            <w:pPr>
              <w:widowControl w:val="0"/>
              <w:jc w:val="center"/>
            </w:pPr>
            <w:r>
              <w:t>0,73</w:t>
            </w:r>
          </w:p>
        </w:tc>
        <w:tc>
          <w:tcPr>
            <w:tcW w:w="676" w:type="dxa"/>
            <w:tcBorders>
              <w:bottom w:val="nil"/>
            </w:tcBorders>
          </w:tcPr>
          <w:p>
            <w:pPr>
              <w:widowControl w:val="0"/>
              <w:jc w:val="center"/>
            </w:pPr>
            <w:r>
              <w:t>0,72</w:t>
            </w:r>
          </w:p>
        </w:tc>
      </w:tr>
      <w:tr>
        <w:trPr>
          <w:cantSplit/>
          <w:trHeight w:val="1245"/>
        </w:trPr>
        <w:tc>
          <w:tcPr>
            <w:tcW w:w="1418" w:type="dxa"/>
            <w:vMerge/>
            <w:vAlign w:val="center"/>
          </w:tcPr>
          <w:p>
            <w:pPr>
              <w:widowControl w:val="0"/>
            </w:pPr>
          </w:p>
        </w:tc>
        <w:tc>
          <w:tcPr>
            <w:tcW w:w="425" w:type="dxa"/>
            <w:vMerge/>
            <w:vAlign w:val="center"/>
          </w:tcPr>
          <w:p>
            <w:pPr>
              <w:widowControl w:val="0"/>
              <w:jc w:val="both"/>
            </w:pPr>
          </w:p>
        </w:tc>
        <w:tc>
          <w:tcPr>
            <w:tcW w:w="2391" w:type="dxa"/>
            <w:vMerge/>
            <w:vAlign w:val="center"/>
          </w:tcPr>
          <w:p>
            <w:pPr>
              <w:widowControl w:val="0"/>
              <w:jc w:val="center"/>
            </w:pPr>
          </w:p>
        </w:tc>
        <w:tc>
          <w:tcPr>
            <w:tcW w:w="851" w:type="dxa"/>
            <w:tcBorders>
              <w:top w:val="nil"/>
              <w:bottom w:val="single" w:sz="2" w:space="0" w:color="auto"/>
            </w:tcBorders>
          </w:tcPr>
          <w:p>
            <w:pPr>
              <w:widowControl w:val="0"/>
              <w:jc w:val="center"/>
            </w:pPr>
            <w:r>
              <w:t>2</w:t>
            </w:r>
          </w:p>
        </w:tc>
        <w:tc>
          <w:tcPr>
            <w:tcW w:w="675" w:type="dxa"/>
            <w:tcBorders>
              <w:top w:val="nil"/>
              <w:bottom w:val="single" w:sz="2" w:space="0" w:color="auto"/>
            </w:tcBorders>
          </w:tcPr>
          <w:p>
            <w:pPr>
              <w:widowControl w:val="0"/>
              <w:jc w:val="center"/>
            </w:pPr>
            <w:r>
              <w:t>1,00</w:t>
            </w:r>
          </w:p>
        </w:tc>
        <w:tc>
          <w:tcPr>
            <w:tcW w:w="676" w:type="dxa"/>
            <w:tcBorders>
              <w:top w:val="nil"/>
              <w:bottom w:val="single" w:sz="2" w:space="0" w:color="auto"/>
            </w:tcBorders>
          </w:tcPr>
          <w:p>
            <w:pPr>
              <w:widowControl w:val="0"/>
              <w:jc w:val="center"/>
            </w:pPr>
            <w:r>
              <w:t>0,88</w:t>
            </w:r>
          </w:p>
        </w:tc>
        <w:tc>
          <w:tcPr>
            <w:tcW w:w="676" w:type="dxa"/>
            <w:tcBorders>
              <w:top w:val="nil"/>
              <w:bottom w:val="single" w:sz="2" w:space="0" w:color="auto"/>
            </w:tcBorders>
          </w:tcPr>
          <w:p>
            <w:pPr>
              <w:widowControl w:val="0"/>
              <w:jc w:val="center"/>
            </w:pPr>
            <w:r>
              <w:t>0,81</w:t>
            </w:r>
          </w:p>
        </w:tc>
        <w:tc>
          <w:tcPr>
            <w:tcW w:w="675" w:type="dxa"/>
            <w:tcBorders>
              <w:top w:val="nil"/>
              <w:bottom w:val="single" w:sz="2" w:space="0" w:color="auto"/>
            </w:tcBorders>
          </w:tcPr>
          <w:p>
            <w:pPr>
              <w:widowControl w:val="0"/>
              <w:jc w:val="center"/>
            </w:pPr>
            <w:r>
              <w:t>0,76</w:t>
            </w:r>
          </w:p>
        </w:tc>
        <w:tc>
          <w:tcPr>
            <w:tcW w:w="676" w:type="dxa"/>
            <w:tcBorders>
              <w:top w:val="nil"/>
              <w:bottom w:val="single" w:sz="2" w:space="0" w:color="auto"/>
            </w:tcBorders>
          </w:tcPr>
          <w:p>
            <w:pPr>
              <w:widowControl w:val="0"/>
              <w:jc w:val="center"/>
            </w:pPr>
            <w:r>
              <w:t>0,71</w:t>
            </w:r>
          </w:p>
        </w:tc>
        <w:tc>
          <w:tcPr>
            <w:tcW w:w="676" w:type="dxa"/>
            <w:tcBorders>
              <w:top w:val="nil"/>
              <w:bottom w:val="single" w:sz="2" w:space="0" w:color="auto"/>
            </w:tcBorders>
          </w:tcPr>
          <w:p>
            <w:pPr>
              <w:widowControl w:val="0"/>
              <w:jc w:val="center"/>
            </w:pPr>
            <w:r>
              <w:t>0,70</w:t>
            </w:r>
          </w:p>
        </w:tc>
      </w:tr>
      <w:tr>
        <w:trPr>
          <w:cantSplit/>
          <w:trHeight w:val="315"/>
        </w:trPr>
        <w:tc>
          <w:tcPr>
            <w:tcW w:w="1418" w:type="dxa"/>
            <w:vMerge/>
            <w:vAlign w:val="center"/>
          </w:tcPr>
          <w:p>
            <w:pPr>
              <w:widowControl w:val="0"/>
            </w:pPr>
          </w:p>
        </w:tc>
        <w:tc>
          <w:tcPr>
            <w:tcW w:w="425" w:type="dxa"/>
            <w:vMerge/>
            <w:vAlign w:val="center"/>
          </w:tcPr>
          <w:p>
            <w:pPr>
              <w:widowControl w:val="0"/>
              <w:jc w:val="both"/>
            </w:pPr>
          </w:p>
        </w:tc>
        <w:tc>
          <w:tcPr>
            <w:tcW w:w="2391" w:type="dxa"/>
            <w:vMerge w:val="restart"/>
            <w:vAlign w:val="center"/>
          </w:tcPr>
          <w:p>
            <w:pPr>
              <w:widowControl w:val="0"/>
              <w:jc w:val="center"/>
            </w:pPr>
            <w:r>
              <w:rPr>
                <w:lang w:eastAsia="lt-LT"/>
              </w:rPr>
              <w:drawing>
                <wp:inline distT="0" distB="0" distL="0" distR="0">
                  <wp:extent cx="676275" cy="619125"/>
                  <wp:effectExtent l="0" t="0" r="0" b="0"/>
                  <wp:docPr id="191" name="Picture 191" descr="4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4 pav"/>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76275" cy="619125"/>
                          </a:xfrm>
                          <a:prstGeom prst="rect">
                            <a:avLst/>
                          </a:prstGeom>
                          <a:noFill/>
                          <a:ln>
                            <a:noFill/>
                          </a:ln>
                        </pic:spPr>
                      </pic:pic>
                    </a:graphicData>
                  </a:graphic>
                </wp:inline>
              </w:drawing>
            </w:r>
          </w:p>
          <w:p>
            <w:pPr>
              <w:widowControl w:val="0"/>
              <w:jc w:val="center"/>
            </w:pPr>
            <w:r>
              <w:rPr>
                <w:vanish/>
              </w:rPr>
              <w:t>(ženklas)</w:t>
            </w:r>
          </w:p>
        </w:tc>
        <w:tc>
          <w:tcPr>
            <w:tcW w:w="851" w:type="dxa"/>
            <w:tcBorders>
              <w:bottom w:val="nil"/>
            </w:tcBorders>
          </w:tcPr>
          <w:p>
            <w:pPr>
              <w:widowControl w:val="0"/>
              <w:jc w:val="center"/>
            </w:pPr>
            <w:r>
              <w:t>1</w:t>
            </w:r>
          </w:p>
        </w:tc>
        <w:tc>
          <w:tcPr>
            <w:tcW w:w="675" w:type="dxa"/>
            <w:tcBorders>
              <w:bottom w:val="nil"/>
            </w:tcBorders>
          </w:tcPr>
          <w:p>
            <w:pPr>
              <w:widowControl w:val="0"/>
              <w:jc w:val="center"/>
            </w:pPr>
            <w:r>
              <w:t>1,0</w:t>
            </w:r>
          </w:p>
        </w:tc>
        <w:tc>
          <w:tcPr>
            <w:tcW w:w="676" w:type="dxa"/>
            <w:tcBorders>
              <w:bottom w:val="nil"/>
            </w:tcBorders>
          </w:tcPr>
          <w:p>
            <w:pPr>
              <w:widowControl w:val="0"/>
              <w:jc w:val="center"/>
            </w:pPr>
            <w:r>
              <w:t>0,91</w:t>
            </w:r>
          </w:p>
        </w:tc>
        <w:tc>
          <w:tcPr>
            <w:tcW w:w="676" w:type="dxa"/>
            <w:tcBorders>
              <w:bottom w:val="nil"/>
            </w:tcBorders>
          </w:tcPr>
          <w:p>
            <w:pPr>
              <w:widowControl w:val="0"/>
              <w:jc w:val="center"/>
            </w:pPr>
            <w:r>
              <w:t>0,89</w:t>
            </w:r>
          </w:p>
        </w:tc>
        <w:tc>
          <w:tcPr>
            <w:tcW w:w="675" w:type="dxa"/>
            <w:tcBorders>
              <w:bottom w:val="nil"/>
            </w:tcBorders>
          </w:tcPr>
          <w:p>
            <w:pPr>
              <w:widowControl w:val="0"/>
              <w:jc w:val="center"/>
            </w:pPr>
            <w:r>
              <w:t>0,88</w:t>
            </w:r>
          </w:p>
        </w:tc>
        <w:tc>
          <w:tcPr>
            <w:tcW w:w="676" w:type="dxa"/>
            <w:tcBorders>
              <w:bottom w:val="nil"/>
            </w:tcBorders>
          </w:tcPr>
          <w:p>
            <w:pPr>
              <w:widowControl w:val="0"/>
              <w:jc w:val="center"/>
            </w:pPr>
            <w:r>
              <w:t>0,87</w:t>
            </w:r>
          </w:p>
        </w:tc>
        <w:tc>
          <w:tcPr>
            <w:tcW w:w="676" w:type="dxa"/>
            <w:tcBorders>
              <w:bottom w:val="nil"/>
            </w:tcBorders>
          </w:tcPr>
          <w:p>
            <w:pPr>
              <w:widowControl w:val="0"/>
              <w:jc w:val="center"/>
            </w:pPr>
            <w:r>
              <w:t>–</w:t>
            </w:r>
          </w:p>
        </w:tc>
      </w:tr>
      <w:tr>
        <w:trPr>
          <w:cantSplit/>
          <w:trHeight w:val="930"/>
        </w:trPr>
        <w:tc>
          <w:tcPr>
            <w:tcW w:w="1418" w:type="dxa"/>
            <w:vMerge/>
            <w:vAlign w:val="center"/>
          </w:tcPr>
          <w:p>
            <w:pPr>
              <w:widowControl w:val="0"/>
            </w:pPr>
          </w:p>
        </w:tc>
        <w:tc>
          <w:tcPr>
            <w:tcW w:w="425" w:type="dxa"/>
            <w:vMerge/>
            <w:tcBorders>
              <w:bottom w:val="single" w:sz="2" w:space="0" w:color="auto"/>
            </w:tcBorders>
            <w:vAlign w:val="center"/>
          </w:tcPr>
          <w:p>
            <w:pPr>
              <w:widowControl w:val="0"/>
              <w:jc w:val="both"/>
            </w:pPr>
          </w:p>
        </w:tc>
        <w:tc>
          <w:tcPr>
            <w:tcW w:w="2391" w:type="dxa"/>
            <w:vMerge/>
            <w:vAlign w:val="center"/>
          </w:tcPr>
          <w:p>
            <w:pPr>
              <w:widowControl w:val="0"/>
              <w:jc w:val="center"/>
            </w:pPr>
          </w:p>
        </w:tc>
        <w:tc>
          <w:tcPr>
            <w:tcW w:w="851" w:type="dxa"/>
            <w:tcBorders>
              <w:top w:val="nil"/>
              <w:bottom w:val="single" w:sz="2" w:space="0" w:color="auto"/>
            </w:tcBorders>
          </w:tcPr>
          <w:p>
            <w:pPr>
              <w:widowControl w:val="0"/>
              <w:jc w:val="center"/>
            </w:pPr>
            <w:r>
              <w:t>2</w:t>
            </w:r>
          </w:p>
        </w:tc>
        <w:tc>
          <w:tcPr>
            <w:tcW w:w="675" w:type="dxa"/>
            <w:tcBorders>
              <w:top w:val="nil"/>
              <w:bottom w:val="single" w:sz="2" w:space="0" w:color="auto"/>
            </w:tcBorders>
          </w:tcPr>
          <w:p>
            <w:pPr>
              <w:widowControl w:val="0"/>
              <w:jc w:val="center"/>
            </w:pPr>
            <w:r>
              <w:t>1,0</w:t>
            </w:r>
          </w:p>
        </w:tc>
        <w:tc>
          <w:tcPr>
            <w:tcW w:w="676" w:type="dxa"/>
            <w:tcBorders>
              <w:top w:val="nil"/>
              <w:bottom w:val="single" w:sz="2" w:space="0" w:color="auto"/>
            </w:tcBorders>
          </w:tcPr>
          <w:p>
            <w:pPr>
              <w:widowControl w:val="0"/>
              <w:jc w:val="center"/>
            </w:pPr>
            <w:r>
              <w:t>0,91</w:t>
            </w:r>
          </w:p>
        </w:tc>
        <w:tc>
          <w:tcPr>
            <w:tcW w:w="676" w:type="dxa"/>
            <w:tcBorders>
              <w:top w:val="nil"/>
              <w:bottom w:val="single" w:sz="2" w:space="0" w:color="auto"/>
            </w:tcBorders>
          </w:tcPr>
          <w:p>
            <w:pPr>
              <w:widowControl w:val="0"/>
              <w:jc w:val="center"/>
            </w:pPr>
            <w:r>
              <w:t>0,88</w:t>
            </w:r>
          </w:p>
        </w:tc>
        <w:tc>
          <w:tcPr>
            <w:tcW w:w="675" w:type="dxa"/>
            <w:tcBorders>
              <w:top w:val="nil"/>
              <w:bottom w:val="single" w:sz="2" w:space="0" w:color="auto"/>
            </w:tcBorders>
          </w:tcPr>
          <w:p>
            <w:pPr>
              <w:widowControl w:val="0"/>
              <w:jc w:val="center"/>
            </w:pPr>
            <w:r>
              <w:t>0,87</w:t>
            </w:r>
          </w:p>
        </w:tc>
        <w:tc>
          <w:tcPr>
            <w:tcW w:w="676" w:type="dxa"/>
            <w:tcBorders>
              <w:top w:val="nil"/>
              <w:bottom w:val="single" w:sz="2" w:space="0" w:color="auto"/>
            </w:tcBorders>
          </w:tcPr>
          <w:p>
            <w:pPr>
              <w:widowControl w:val="0"/>
              <w:jc w:val="center"/>
            </w:pPr>
            <w:r>
              <w:t>0,85</w:t>
            </w:r>
          </w:p>
        </w:tc>
        <w:tc>
          <w:tcPr>
            <w:tcW w:w="676" w:type="dxa"/>
            <w:tcBorders>
              <w:top w:val="nil"/>
              <w:bottom w:val="single" w:sz="2" w:space="0" w:color="auto"/>
            </w:tcBorders>
          </w:tcPr>
          <w:p>
            <w:pPr>
              <w:widowControl w:val="0"/>
              <w:jc w:val="center"/>
            </w:pPr>
            <w:r>
              <w:t>–</w:t>
            </w:r>
          </w:p>
        </w:tc>
      </w:tr>
      <w:tr>
        <w:trPr>
          <w:cantSplit/>
          <w:trHeight w:val="315"/>
        </w:trPr>
        <w:tc>
          <w:tcPr>
            <w:tcW w:w="1418" w:type="dxa"/>
            <w:vMerge w:val="restart"/>
            <w:vAlign w:val="center"/>
          </w:tcPr>
          <w:p>
            <w:pPr>
              <w:widowControl w:val="0"/>
            </w:pPr>
            <w:r>
              <w:br w:type="page"/>
              <w:t>Kopėčių tipo atraminės konstrukcijos, gembės ir pan.*</w:t>
            </w:r>
          </w:p>
        </w:tc>
        <w:tc>
          <w:tcPr>
            <w:tcW w:w="425" w:type="dxa"/>
            <w:tcBorders>
              <w:bottom w:val="nil"/>
              <w:right w:val="single" w:sz="4" w:space="0" w:color="auto"/>
            </w:tcBorders>
          </w:tcPr>
          <w:p>
            <w:pPr>
              <w:widowControl w:val="0"/>
              <w:jc w:val="center"/>
            </w:pPr>
            <w:r>
              <w:t>14</w:t>
            </w:r>
          </w:p>
        </w:tc>
        <w:tc>
          <w:tcPr>
            <w:tcW w:w="2391" w:type="dxa"/>
            <w:vMerge w:val="restart"/>
            <w:tcBorders>
              <w:left w:val="single" w:sz="4" w:space="0" w:color="auto"/>
            </w:tcBorders>
            <w:vAlign w:val="center"/>
          </w:tcPr>
          <w:p>
            <w:pPr>
              <w:widowControl w:val="0"/>
              <w:jc w:val="center"/>
            </w:pPr>
            <w:r>
              <w:rPr>
                <w:lang w:eastAsia="lt-LT"/>
              </w:rPr>
              <w:drawing>
                <wp:inline distT="0" distB="0" distL="0" distR="0">
                  <wp:extent cx="676275" cy="257175"/>
                  <wp:effectExtent l="0" t="0" r="0" b="0"/>
                  <wp:docPr id="192" name="Picture 192" descr="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5 pav"/>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pPr>
              <w:widowControl w:val="0"/>
              <w:jc w:val="center"/>
            </w:pPr>
            <w:r>
              <w:rPr>
                <w:vanish/>
              </w:rPr>
              <w:t>(ženklas)</w:t>
            </w:r>
          </w:p>
        </w:tc>
        <w:tc>
          <w:tcPr>
            <w:tcW w:w="851" w:type="dxa"/>
            <w:tcBorders>
              <w:bottom w:val="nil"/>
            </w:tcBorders>
            <w:vAlign w:val="center"/>
          </w:tcPr>
          <w:p>
            <w:pPr>
              <w:widowControl w:val="0"/>
              <w:jc w:val="center"/>
            </w:pPr>
            <w:r>
              <w:t>1</w:t>
            </w:r>
          </w:p>
        </w:tc>
        <w:tc>
          <w:tcPr>
            <w:tcW w:w="675" w:type="dxa"/>
            <w:tcBorders>
              <w:bottom w:val="nil"/>
            </w:tcBorders>
            <w:vAlign w:val="center"/>
          </w:tcPr>
          <w:p>
            <w:pPr>
              <w:widowControl w:val="0"/>
              <w:jc w:val="center"/>
            </w:pPr>
            <w:r>
              <w:t>1,00</w:t>
            </w:r>
          </w:p>
        </w:tc>
        <w:tc>
          <w:tcPr>
            <w:tcW w:w="676" w:type="dxa"/>
            <w:tcBorders>
              <w:bottom w:val="nil"/>
            </w:tcBorders>
            <w:vAlign w:val="center"/>
          </w:tcPr>
          <w:p>
            <w:pPr>
              <w:widowControl w:val="0"/>
              <w:jc w:val="center"/>
            </w:pPr>
            <w:r>
              <w:t>0,87</w:t>
            </w:r>
          </w:p>
        </w:tc>
        <w:tc>
          <w:tcPr>
            <w:tcW w:w="676" w:type="dxa"/>
            <w:tcBorders>
              <w:bottom w:val="nil"/>
            </w:tcBorders>
            <w:vAlign w:val="center"/>
          </w:tcPr>
          <w:p>
            <w:pPr>
              <w:widowControl w:val="0"/>
              <w:jc w:val="center"/>
            </w:pPr>
            <w:r>
              <w:t>0,82</w:t>
            </w:r>
          </w:p>
        </w:tc>
        <w:tc>
          <w:tcPr>
            <w:tcW w:w="675" w:type="dxa"/>
            <w:tcBorders>
              <w:bottom w:val="nil"/>
            </w:tcBorders>
            <w:vAlign w:val="center"/>
          </w:tcPr>
          <w:p>
            <w:pPr>
              <w:widowControl w:val="0"/>
              <w:jc w:val="center"/>
            </w:pPr>
            <w:r>
              <w:t>0,80</w:t>
            </w:r>
          </w:p>
        </w:tc>
        <w:tc>
          <w:tcPr>
            <w:tcW w:w="676" w:type="dxa"/>
            <w:tcBorders>
              <w:bottom w:val="nil"/>
            </w:tcBorders>
            <w:vAlign w:val="center"/>
          </w:tcPr>
          <w:p>
            <w:pPr>
              <w:widowControl w:val="0"/>
              <w:jc w:val="center"/>
            </w:pPr>
            <w:r>
              <w:t>0,79</w:t>
            </w:r>
          </w:p>
        </w:tc>
        <w:tc>
          <w:tcPr>
            <w:tcW w:w="676" w:type="dxa"/>
            <w:tcBorders>
              <w:bottom w:val="nil"/>
            </w:tcBorders>
            <w:vAlign w:val="center"/>
          </w:tcPr>
          <w:p>
            <w:pPr>
              <w:widowControl w:val="0"/>
              <w:jc w:val="center"/>
            </w:pPr>
            <w:r>
              <w:t>0,78</w:t>
            </w:r>
          </w:p>
        </w:tc>
      </w:tr>
      <w:tr>
        <w:trPr>
          <w:cantSplit/>
          <w:trHeight w:val="180"/>
        </w:trPr>
        <w:tc>
          <w:tcPr>
            <w:tcW w:w="1418" w:type="dxa"/>
            <w:vMerge/>
            <w:vAlign w:val="center"/>
          </w:tcPr>
          <w:p>
            <w:pPr>
              <w:widowControl w:val="0"/>
            </w:pPr>
          </w:p>
        </w:tc>
        <w:tc>
          <w:tcPr>
            <w:tcW w:w="425" w:type="dxa"/>
            <w:vMerge w:val="restart"/>
            <w:tcBorders>
              <w:top w:val="nil"/>
              <w:bottom w:val="nil"/>
              <w:right w:val="single" w:sz="4" w:space="0" w:color="auto"/>
            </w:tcBorders>
            <w:vAlign w:val="center"/>
          </w:tcPr>
          <w:p>
            <w:pPr>
              <w:widowControl w:val="0"/>
              <w:jc w:val="center"/>
            </w:pPr>
            <w:r>
              <w:t>15</w:t>
            </w:r>
          </w:p>
        </w:tc>
        <w:tc>
          <w:tcPr>
            <w:tcW w:w="2391" w:type="dxa"/>
            <w:vMerge/>
            <w:tcBorders>
              <w:left w:val="single" w:sz="4" w:space="0" w:color="auto"/>
            </w:tcBorders>
            <w:vAlign w:val="center"/>
          </w:tcPr>
          <w:p>
            <w:pPr>
              <w:widowControl w:val="0"/>
              <w:jc w:val="center"/>
            </w:pPr>
          </w:p>
        </w:tc>
        <w:tc>
          <w:tcPr>
            <w:tcW w:w="851" w:type="dxa"/>
            <w:tcBorders>
              <w:top w:val="nil"/>
              <w:bottom w:val="nil"/>
            </w:tcBorders>
            <w:vAlign w:val="center"/>
          </w:tcPr>
          <w:p>
            <w:pPr>
              <w:widowControl w:val="0"/>
              <w:jc w:val="center"/>
            </w:pPr>
            <w:r>
              <w:t>2</w:t>
            </w:r>
          </w:p>
        </w:tc>
        <w:tc>
          <w:tcPr>
            <w:tcW w:w="675" w:type="dxa"/>
            <w:tcBorders>
              <w:top w:val="nil"/>
              <w:bottom w:val="nil"/>
            </w:tcBorders>
            <w:vAlign w:val="center"/>
          </w:tcPr>
          <w:p>
            <w:pPr>
              <w:widowControl w:val="0"/>
              <w:jc w:val="center"/>
            </w:pPr>
            <w:r>
              <w:t>1,00</w:t>
            </w:r>
          </w:p>
        </w:tc>
        <w:tc>
          <w:tcPr>
            <w:tcW w:w="676" w:type="dxa"/>
            <w:tcBorders>
              <w:top w:val="nil"/>
              <w:bottom w:val="nil"/>
            </w:tcBorders>
            <w:vAlign w:val="center"/>
          </w:tcPr>
          <w:p>
            <w:pPr>
              <w:widowControl w:val="0"/>
              <w:jc w:val="center"/>
            </w:pPr>
            <w:r>
              <w:t>0,86</w:t>
            </w:r>
          </w:p>
        </w:tc>
        <w:tc>
          <w:tcPr>
            <w:tcW w:w="676" w:type="dxa"/>
            <w:tcBorders>
              <w:top w:val="nil"/>
              <w:bottom w:val="nil"/>
            </w:tcBorders>
            <w:vAlign w:val="center"/>
          </w:tcPr>
          <w:p>
            <w:pPr>
              <w:widowControl w:val="0"/>
              <w:jc w:val="center"/>
            </w:pPr>
            <w:r>
              <w:t>0,80</w:t>
            </w:r>
          </w:p>
        </w:tc>
        <w:tc>
          <w:tcPr>
            <w:tcW w:w="675" w:type="dxa"/>
            <w:tcBorders>
              <w:top w:val="nil"/>
              <w:bottom w:val="nil"/>
            </w:tcBorders>
            <w:vAlign w:val="center"/>
          </w:tcPr>
          <w:p>
            <w:pPr>
              <w:widowControl w:val="0"/>
              <w:jc w:val="center"/>
            </w:pPr>
            <w:r>
              <w:t>0,78</w:t>
            </w:r>
          </w:p>
        </w:tc>
        <w:tc>
          <w:tcPr>
            <w:tcW w:w="676" w:type="dxa"/>
            <w:tcBorders>
              <w:top w:val="nil"/>
              <w:bottom w:val="nil"/>
            </w:tcBorders>
            <w:vAlign w:val="center"/>
          </w:tcPr>
          <w:p>
            <w:pPr>
              <w:widowControl w:val="0"/>
              <w:jc w:val="center"/>
            </w:pPr>
            <w:r>
              <w:t>0,76</w:t>
            </w:r>
          </w:p>
        </w:tc>
        <w:tc>
          <w:tcPr>
            <w:tcW w:w="676" w:type="dxa"/>
            <w:tcBorders>
              <w:top w:val="nil"/>
              <w:bottom w:val="nil"/>
            </w:tcBorders>
            <w:vAlign w:val="center"/>
          </w:tcPr>
          <w:p>
            <w:pPr>
              <w:widowControl w:val="0"/>
              <w:jc w:val="center"/>
            </w:pPr>
            <w:r>
              <w:t>0,73</w:t>
            </w:r>
          </w:p>
        </w:tc>
      </w:tr>
      <w:tr>
        <w:trPr>
          <w:cantSplit/>
          <w:trHeight w:val="375"/>
        </w:trPr>
        <w:tc>
          <w:tcPr>
            <w:tcW w:w="1418" w:type="dxa"/>
            <w:vMerge/>
            <w:vAlign w:val="center"/>
          </w:tcPr>
          <w:p>
            <w:pPr>
              <w:widowControl w:val="0"/>
            </w:pPr>
          </w:p>
        </w:tc>
        <w:tc>
          <w:tcPr>
            <w:tcW w:w="425" w:type="dxa"/>
            <w:vMerge/>
            <w:tcBorders>
              <w:bottom w:val="nil"/>
              <w:right w:val="single" w:sz="4" w:space="0" w:color="auto"/>
            </w:tcBorders>
            <w:vAlign w:val="center"/>
          </w:tcPr>
          <w:p>
            <w:pPr>
              <w:widowControl w:val="0"/>
              <w:jc w:val="both"/>
            </w:pPr>
          </w:p>
        </w:tc>
        <w:tc>
          <w:tcPr>
            <w:tcW w:w="2391" w:type="dxa"/>
            <w:vMerge/>
            <w:tcBorders>
              <w:left w:val="single" w:sz="4" w:space="0" w:color="auto"/>
            </w:tcBorders>
            <w:vAlign w:val="center"/>
          </w:tcPr>
          <w:p>
            <w:pPr>
              <w:widowControl w:val="0"/>
              <w:jc w:val="center"/>
            </w:pPr>
          </w:p>
        </w:tc>
        <w:tc>
          <w:tcPr>
            <w:tcW w:w="851" w:type="dxa"/>
            <w:tcBorders>
              <w:top w:val="nil"/>
              <w:bottom w:val="single" w:sz="2" w:space="0" w:color="auto"/>
            </w:tcBorders>
            <w:vAlign w:val="center"/>
          </w:tcPr>
          <w:p>
            <w:pPr>
              <w:widowControl w:val="0"/>
              <w:jc w:val="center"/>
            </w:pPr>
            <w:r>
              <w:t>3</w:t>
            </w:r>
          </w:p>
        </w:tc>
        <w:tc>
          <w:tcPr>
            <w:tcW w:w="675" w:type="dxa"/>
            <w:tcBorders>
              <w:top w:val="nil"/>
              <w:bottom w:val="single" w:sz="2" w:space="0" w:color="auto"/>
            </w:tcBorders>
            <w:vAlign w:val="center"/>
          </w:tcPr>
          <w:p>
            <w:pPr>
              <w:widowControl w:val="0"/>
              <w:jc w:val="center"/>
            </w:pPr>
            <w:r>
              <w:t>1,00</w:t>
            </w:r>
          </w:p>
        </w:tc>
        <w:tc>
          <w:tcPr>
            <w:tcW w:w="676" w:type="dxa"/>
            <w:tcBorders>
              <w:top w:val="nil"/>
              <w:bottom w:val="single" w:sz="2" w:space="0" w:color="auto"/>
            </w:tcBorders>
            <w:vAlign w:val="center"/>
          </w:tcPr>
          <w:p>
            <w:pPr>
              <w:widowControl w:val="0"/>
              <w:jc w:val="center"/>
            </w:pPr>
            <w:r>
              <w:t>0,85</w:t>
            </w:r>
          </w:p>
        </w:tc>
        <w:tc>
          <w:tcPr>
            <w:tcW w:w="676" w:type="dxa"/>
            <w:tcBorders>
              <w:top w:val="nil"/>
              <w:bottom w:val="single" w:sz="2" w:space="0" w:color="auto"/>
            </w:tcBorders>
            <w:vAlign w:val="center"/>
          </w:tcPr>
          <w:p>
            <w:pPr>
              <w:widowControl w:val="0"/>
              <w:jc w:val="center"/>
            </w:pPr>
            <w:r>
              <w:t>0,79</w:t>
            </w:r>
          </w:p>
        </w:tc>
        <w:tc>
          <w:tcPr>
            <w:tcW w:w="675" w:type="dxa"/>
            <w:tcBorders>
              <w:top w:val="nil"/>
              <w:bottom w:val="single" w:sz="2" w:space="0" w:color="auto"/>
            </w:tcBorders>
            <w:vAlign w:val="center"/>
          </w:tcPr>
          <w:p>
            <w:pPr>
              <w:widowControl w:val="0"/>
              <w:jc w:val="center"/>
            </w:pPr>
            <w:r>
              <w:t>0,76</w:t>
            </w:r>
          </w:p>
        </w:tc>
        <w:tc>
          <w:tcPr>
            <w:tcW w:w="676" w:type="dxa"/>
            <w:tcBorders>
              <w:top w:val="nil"/>
              <w:bottom w:val="single" w:sz="2" w:space="0" w:color="auto"/>
            </w:tcBorders>
            <w:vAlign w:val="center"/>
          </w:tcPr>
          <w:p>
            <w:pPr>
              <w:widowControl w:val="0"/>
              <w:jc w:val="center"/>
            </w:pPr>
            <w:r>
              <w:t>0,73</w:t>
            </w:r>
          </w:p>
        </w:tc>
        <w:tc>
          <w:tcPr>
            <w:tcW w:w="676" w:type="dxa"/>
            <w:tcBorders>
              <w:top w:val="nil"/>
              <w:bottom w:val="single" w:sz="2" w:space="0" w:color="auto"/>
            </w:tcBorders>
            <w:vAlign w:val="center"/>
          </w:tcPr>
          <w:p>
            <w:pPr>
              <w:widowControl w:val="0"/>
              <w:jc w:val="center"/>
            </w:pPr>
            <w:r>
              <w:t>0,70</w:t>
            </w:r>
          </w:p>
        </w:tc>
      </w:tr>
      <w:tr>
        <w:trPr>
          <w:cantSplit/>
          <w:trHeight w:val="240"/>
        </w:trPr>
        <w:tc>
          <w:tcPr>
            <w:tcW w:w="1418" w:type="dxa"/>
            <w:vMerge/>
          </w:tcPr>
          <w:p>
            <w:pPr>
              <w:widowControl w:val="0"/>
              <w:jc w:val="both"/>
            </w:pPr>
          </w:p>
        </w:tc>
        <w:tc>
          <w:tcPr>
            <w:tcW w:w="425" w:type="dxa"/>
            <w:vMerge w:val="restart"/>
            <w:tcBorders>
              <w:top w:val="nil"/>
              <w:right w:val="single" w:sz="4" w:space="0" w:color="auto"/>
            </w:tcBorders>
          </w:tcPr>
          <w:p>
            <w:pPr>
              <w:widowControl w:val="0"/>
              <w:jc w:val="center"/>
            </w:pPr>
            <w:r>
              <w:t>16</w:t>
            </w:r>
          </w:p>
        </w:tc>
        <w:tc>
          <w:tcPr>
            <w:tcW w:w="2391" w:type="dxa"/>
            <w:vMerge w:val="restart"/>
            <w:tcBorders>
              <w:left w:val="single" w:sz="4" w:space="0" w:color="auto"/>
            </w:tcBorders>
            <w:vAlign w:val="center"/>
          </w:tcPr>
          <w:p>
            <w:pPr>
              <w:widowControl w:val="0"/>
              <w:jc w:val="center"/>
            </w:pPr>
            <w:r>
              <w:object w:dxaOrig="1050" w:dyaOrig="510">
                <v:shape id="_x0000_i1116" type="#_x0000_t75" style="width:53.6pt;height:26.4pt" o:ole="">
                  <v:imagedata r:id="rId291" o:title=""/>
                </v:shape>
                <o:OLEObject Type="Embed" ProgID="Word.Picture.8" ShapeID="_x0000_i1116" DrawAspect="Content" ObjectID="_0000000001" r:id="rId292"/>
              </w:object>
            </w:r>
          </w:p>
          <w:p>
            <w:pPr>
              <w:widowControl w:val="0"/>
              <w:jc w:val="center"/>
            </w:pPr>
            <w:r>
              <w:rPr>
                <w:vanish/>
              </w:rPr>
              <w:t>(ženklas)</w:t>
            </w:r>
          </w:p>
        </w:tc>
        <w:tc>
          <w:tcPr>
            <w:tcW w:w="851" w:type="dxa"/>
            <w:tcBorders>
              <w:bottom w:val="nil"/>
            </w:tcBorders>
            <w:vAlign w:val="center"/>
          </w:tcPr>
          <w:p>
            <w:pPr>
              <w:widowControl w:val="0"/>
              <w:jc w:val="center"/>
            </w:pPr>
            <w:r>
              <w:t>1</w:t>
            </w:r>
          </w:p>
        </w:tc>
        <w:tc>
          <w:tcPr>
            <w:tcW w:w="675" w:type="dxa"/>
            <w:tcBorders>
              <w:bottom w:val="nil"/>
            </w:tcBorders>
            <w:vAlign w:val="center"/>
          </w:tcPr>
          <w:p>
            <w:pPr>
              <w:widowControl w:val="0"/>
              <w:jc w:val="center"/>
            </w:pPr>
            <w:r>
              <w:t>1,00</w:t>
            </w:r>
          </w:p>
        </w:tc>
        <w:tc>
          <w:tcPr>
            <w:tcW w:w="676" w:type="dxa"/>
            <w:tcBorders>
              <w:bottom w:val="nil"/>
            </w:tcBorders>
            <w:vAlign w:val="center"/>
          </w:tcPr>
          <w:p>
            <w:pPr>
              <w:widowControl w:val="0"/>
              <w:jc w:val="center"/>
            </w:pPr>
            <w:r>
              <w:t>1,00</w:t>
            </w:r>
          </w:p>
        </w:tc>
        <w:tc>
          <w:tcPr>
            <w:tcW w:w="676" w:type="dxa"/>
            <w:tcBorders>
              <w:bottom w:val="nil"/>
            </w:tcBorders>
            <w:vAlign w:val="center"/>
          </w:tcPr>
          <w:p>
            <w:pPr>
              <w:widowControl w:val="0"/>
              <w:jc w:val="center"/>
            </w:pPr>
            <w:r>
              <w:t>1,00</w:t>
            </w:r>
          </w:p>
        </w:tc>
        <w:tc>
          <w:tcPr>
            <w:tcW w:w="675" w:type="dxa"/>
            <w:tcBorders>
              <w:bottom w:val="nil"/>
            </w:tcBorders>
            <w:vAlign w:val="center"/>
          </w:tcPr>
          <w:p>
            <w:pPr>
              <w:widowControl w:val="0"/>
              <w:jc w:val="center"/>
            </w:pPr>
            <w:r>
              <w:t>1,00</w:t>
            </w:r>
          </w:p>
        </w:tc>
        <w:tc>
          <w:tcPr>
            <w:tcW w:w="676" w:type="dxa"/>
            <w:tcBorders>
              <w:bottom w:val="nil"/>
            </w:tcBorders>
            <w:vAlign w:val="center"/>
          </w:tcPr>
          <w:p>
            <w:pPr>
              <w:widowControl w:val="0"/>
              <w:jc w:val="center"/>
            </w:pPr>
            <w:r>
              <w:t>1,00</w:t>
            </w:r>
          </w:p>
        </w:tc>
        <w:tc>
          <w:tcPr>
            <w:tcW w:w="676" w:type="dxa"/>
            <w:tcBorders>
              <w:bottom w:val="nil"/>
            </w:tcBorders>
            <w:vAlign w:val="center"/>
          </w:tcPr>
          <w:p>
            <w:pPr>
              <w:widowControl w:val="0"/>
              <w:jc w:val="center"/>
            </w:pPr>
            <w:r>
              <w:t>–</w:t>
            </w:r>
          </w:p>
        </w:tc>
      </w:tr>
      <w:tr>
        <w:trPr>
          <w:cantSplit/>
          <w:trHeight w:val="285"/>
        </w:trPr>
        <w:tc>
          <w:tcPr>
            <w:tcW w:w="1418" w:type="dxa"/>
            <w:vMerge/>
          </w:tcPr>
          <w:p>
            <w:pPr>
              <w:widowControl w:val="0"/>
              <w:jc w:val="both"/>
            </w:pPr>
          </w:p>
        </w:tc>
        <w:tc>
          <w:tcPr>
            <w:tcW w:w="425" w:type="dxa"/>
            <w:vMerge/>
            <w:tcBorders>
              <w:right w:val="single" w:sz="4" w:space="0" w:color="auto"/>
            </w:tcBorders>
          </w:tcPr>
          <w:p>
            <w:pPr>
              <w:widowControl w:val="0"/>
              <w:jc w:val="both"/>
            </w:pPr>
          </w:p>
        </w:tc>
        <w:tc>
          <w:tcPr>
            <w:tcW w:w="2391" w:type="dxa"/>
            <w:vMerge/>
            <w:tcBorders>
              <w:left w:val="single" w:sz="4" w:space="0" w:color="auto"/>
            </w:tcBorders>
            <w:vAlign w:val="center"/>
          </w:tcPr>
          <w:p>
            <w:pPr>
              <w:widowControl w:val="0"/>
              <w:jc w:val="center"/>
            </w:pPr>
          </w:p>
        </w:tc>
        <w:tc>
          <w:tcPr>
            <w:tcW w:w="851" w:type="dxa"/>
            <w:tcBorders>
              <w:top w:val="nil"/>
              <w:bottom w:val="nil"/>
            </w:tcBorders>
            <w:vAlign w:val="center"/>
          </w:tcPr>
          <w:p>
            <w:pPr>
              <w:widowControl w:val="0"/>
              <w:jc w:val="center"/>
            </w:pPr>
            <w:r>
              <w:t>2</w:t>
            </w:r>
          </w:p>
        </w:tc>
        <w:tc>
          <w:tcPr>
            <w:tcW w:w="675" w:type="dxa"/>
            <w:tcBorders>
              <w:top w:val="nil"/>
              <w:bottom w:val="nil"/>
            </w:tcBorders>
            <w:vAlign w:val="center"/>
          </w:tcPr>
          <w:p>
            <w:pPr>
              <w:widowControl w:val="0"/>
              <w:jc w:val="center"/>
            </w:pPr>
            <w:r>
              <w:t>1,00</w:t>
            </w:r>
          </w:p>
        </w:tc>
        <w:tc>
          <w:tcPr>
            <w:tcW w:w="676" w:type="dxa"/>
            <w:tcBorders>
              <w:top w:val="nil"/>
              <w:bottom w:val="nil"/>
            </w:tcBorders>
            <w:vAlign w:val="center"/>
          </w:tcPr>
          <w:p>
            <w:pPr>
              <w:widowControl w:val="0"/>
              <w:jc w:val="center"/>
            </w:pPr>
            <w:r>
              <w:t>0,99</w:t>
            </w:r>
          </w:p>
        </w:tc>
        <w:tc>
          <w:tcPr>
            <w:tcW w:w="676" w:type="dxa"/>
            <w:tcBorders>
              <w:top w:val="nil"/>
              <w:bottom w:val="nil"/>
            </w:tcBorders>
            <w:vAlign w:val="center"/>
          </w:tcPr>
          <w:p>
            <w:pPr>
              <w:widowControl w:val="0"/>
              <w:jc w:val="center"/>
            </w:pPr>
            <w:r>
              <w:t>0,98</w:t>
            </w:r>
          </w:p>
        </w:tc>
        <w:tc>
          <w:tcPr>
            <w:tcW w:w="675" w:type="dxa"/>
            <w:tcBorders>
              <w:top w:val="nil"/>
              <w:bottom w:val="nil"/>
            </w:tcBorders>
            <w:vAlign w:val="center"/>
          </w:tcPr>
          <w:p>
            <w:pPr>
              <w:widowControl w:val="0"/>
              <w:jc w:val="center"/>
            </w:pPr>
            <w:r>
              <w:t>0,97</w:t>
            </w:r>
          </w:p>
        </w:tc>
        <w:tc>
          <w:tcPr>
            <w:tcW w:w="676" w:type="dxa"/>
            <w:tcBorders>
              <w:top w:val="nil"/>
              <w:bottom w:val="nil"/>
            </w:tcBorders>
            <w:vAlign w:val="center"/>
          </w:tcPr>
          <w:p>
            <w:pPr>
              <w:widowControl w:val="0"/>
              <w:jc w:val="center"/>
            </w:pPr>
            <w:r>
              <w:t>0,96</w:t>
            </w:r>
          </w:p>
        </w:tc>
        <w:tc>
          <w:tcPr>
            <w:tcW w:w="676" w:type="dxa"/>
            <w:tcBorders>
              <w:top w:val="nil"/>
              <w:bottom w:val="nil"/>
            </w:tcBorders>
            <w:vAlign w:val="center"/>
          </w:tcPr>
          <w:p>
            <w:pPr>
              <w:widowControl w:val="0"/>
              <w:jc w:val="center"/>
            </w:pPr>
            <w:r>
              <w:t>–</w:t>
            </w:r>
          </w:p>
        </w:tc>
      </w:tr>
      <w:tr>
        <w:trPr>
          <w:cantSplit/>
          <w:trHeight w:val="300"/>
        </w:trPr>
        <w:tc>
          <w:tcPr>
            <w:tcW w:w="1418" w:type="dxa"/>
            <w:vMerge/>
          </w:tcPr>
          <w:p>
            <w:pPr>
              <w:widowControl w:val="0"/>
              <w:jc w:val="both"/>
            </w:pPr>
          </w:p>
        </w:tc>
        <w:tc>
          <w:tcPr>
            <w:tcW w:w="425" w:type="dxa"/>
            <w:vMerge/>
            <w:tcBorders>
              <w:right w:val="single" w:sz="4" w:space="0" w:color="auto"/>
            </w:tcBorders>
          </w:tcPr>
          <w:p>
            <w:pPr>
              <w:widowControl w:val="0"/>
              <w:jc w:val="both"/>
            </w:pPr>
          </w:p>
        </w:tc>
        <w:tc>
          <w:tcPr>
            <w:tcW w:w="2391" w:type="dxa"/>
            <w:vMerge/>
            <w:tcBorders>
              <w:left w:val="single" w:sz="4" w:space="0" w:color="auto"/>
            </w:tcBorders>
            <w:vAlign w:val="center"/>
          </w:tcPr>
          <w:p>
            <w:pPr>
              <w:widowControl w:val="0"/>
              <w:jc w:val="center"/>
            </w:pPr>
          </w:p>
        </w:tc>
        <w:tc>
          <w:tcPr>
            <w:tcW w:w="851" w:type="dxa"/>
            <w:tcBorders>
              <w:top w:val="nil"/>
            </w:tcBorders>
            <w:vAlign w:val="center"/>
          </w:tcPr>
          <w:p>
            <w:pPr>
              <w:widowControl w:val="0"/>
              <w:jc w:val="center"/>
            </w:pPr>
            <w:r>
              <w:t>3</w:t>
            </w:r>
          </w:p>
        </w:tc>
        <w:tc>
          <w:tcPr>
            <w:tcW w:w="675" w:type="dxa"/>
            <w:tcBorders>
              <w:top w:val="nil"/>
            </w:tcBorders>
            <w:vAlign w:val="center"/>
          </w:tcPr>
          <w:p>
            <w:pPr>
              <w:widowControl w:val="0"/>
              <w:jc w:val="center"/>
            </w:pPr>
            <w:r>
              <w:t>1,00</w:t>
            </w:r>
          </w:p>
        </w:tc>
        <w:tc>
          <w:tcPr>
            <w:tcW w:w="676" w:type="dxa"/>
            <w:tcBorders>
              <w:top w:val="nil"/>
            </w:tcBorders>
            <w:vAlign w:val="center"/>
          </w:tcPr>
          <w:p>
            <w:pPr>
              <w:widowControl w:val="0"/>
              <w:jc w:val="center"/>
            </w:pPr>
            <w:r>
              <w:t>0,98</w:t>
            </w:r>
          </w:p>
        </w:tc>
        <w:tc>
          <w:tcPr>
            <w:tcW w:w="676" w:type="dxa"/>
            <w:tcBorders>
              <w:top w:val="nil"/>
            </w:tcBorders>
            <w:vAlign w:val="center"/>
          </w:tcPr>
          <w:p>
            <w:pPr>
              <w:widowControl w:val="0"/>
              <w:jc w:val="center"/>
            </w:pPr>
            <w:r>
              <w:t>0,97</w:t>
            </w:r>
          </w:p>
        </w:tc>
        <w:tc>
          <w:tcPr>
            <w:tcW w:w="675" w:type="dxa"/>
            <w:tcBorders>
              <w:top w:val="nil"/>
            </w:tcBorders>
            <w:vAlign w:val="center"/>
          </w:tcPr>
          <w:p>
            <w:pPr>
              <w:widowControl w:val="0"/>
              <w:jc w:val="center"/>
            </w:pPr>
            <w:r>
              <w:t>0,96</w:t>
            </w:r>
          </w:p>
        </w:tc>
        <w:tc>
          <w:tcPr>
            <w:tcW w:w="676" w:type="dxa"/>
            <w:tcBorders>
              <w:top w:val="nil"/>
            </w:tcBorders>
            <w:vAlign w:val="center"/>
          </w:tcPr>
          <w:p>
            <w:pPr>
              <w:widowControl w:val="0"/>
              <w:jc w:val="center"/>
            </w:pPr>
            <w:r>
              <w:t>0,93</w:t>
            </w:r>
          </w:p>
        </w:tc>
        <w:tc>
          <w:tcPr>
            <w:tcW w:w="676" w:type="dxa"/>
            <w:tcBorders>
              <w:top w:val="nil"/>
            </w:tcBorders>
            <w:vAlign w:val="center"/>
          </w:tcPr>
          <w:p>
            <w:pPr>
              <w:widowControl w:val="0"/>
              <w:jc w:val="center"/>
            </w:pPr>
            <w:r>
              <w:t>–</w:t>
            </w:r>
          </w:p>
        </w:tc>
      </w:tr>
    </w:tbl>
    <w:p>
      <w:pPr>
        <w:widowControl w:val="0"/>
        <w:ind w:firstLine="567"/>
        <w:jc w:val="both"/>
      </w:pPr>
    </w:p>
    <w:p>
      <w:pPr>
        <w:widowControl w:val="0"/>
        <w:ind w:firstLine="567"/>
        <w:jc w:val="both"/>
      </w:pPr>
      <w:r>
        <w:t>*Pateiktos koeficientų vertės naudotinos esant ne mažesniam kaip 300 mm vertikaliam atstumui tarp lentynų ir ne mažesniam kaip 20 mm atstumui iki sienų.</w:t>
      </w:r>
    </w:p>
    <w:p>
      <w:pPr>
        <w:widowControl w:val="0"/>
        <w:ind w:firstLine="567"/>
        <w:jc w:val="both"/>
      </w:pPr>
      <w:r>
        <w:t>**Pateiktos koeficientų vertės naudotinos esant ne mažesniam kaip 225 mm horizontaliam atstumui tarp priešpriešomis sumontuotų lentynų.</w:t>
      </w:r>
    </w:p>
    <w:p>
      <w:pPr>
        <w:widowControl w:val="0"/>
        <w:ind w:firstLine="567"/>
        <w:jc w:val="both"/>
      </w:pPr>
    </w:p>
    <w:p>
      <w:pPr>
        <w:widowControl w:val="0"/>
        <w:ind w:firstLine="567"/>
        <w:jc w:val="both"/>
      </w:pPr>
      <w:r>
        <w:t xml:space="preserve">PASTABA. Pataisos koeficientai taikomi vienu sluoksniu arba dobilo lapo forma klojamiems kabeliams. </w:t>
      </w:r>
    </w:p>
    <w:p>
      <w:pPr>
        <w:widowControl w:val="0"/>
        <w:ind w:firstLine="567"/>
        <w:jc w:val="both"/>
        <w:rPr>
          <w:b/>
        </w:rPr>
      </w:pPr>
    </w:p>
    <w:p>
      <w:pPr>
        <w:widowControl w:val="0"/>
        <w:ind w:firstLine="567"/>
        <w:jc w:val="both"/>
        <w:rPr>
          <w:b/>
        </w:rPr>
      </w:pPr>
      <w:r>
        <w:rPr>
          <w:b/>
        </w:rPr>
        <w:t>16 lentelė. Ilgalaikės leistinosios srovės pataisos koeficientai, esant grupėje daugiau kaip vienai grandžiai viengyslių kabelių, nutiestų atvirame ore</w:t>
      </w:r>
    </w:p>
    <w:p>
      <w:pPr>
        <w:widowControl w:val="0"/>
        <w:ind w:firstLine="567"/>
        <w:jc w:val="both"/>
      </w:pPr>
    </w:p>
    <w:p>
      <w:pPr>
        <w:widowControl w:val="0"/>
        <w:ind w:firstLine="567"/>
        <w:jc w:val="both"/>
      </w:pPr>
      <w:r>
        <w:t>Taikomi F instaliacijos būdui pagal 2 priedo 6–8 lenteles.</w:t>
      </w:r>
    </w:p>
    <w:p>
      <w:pPr>
        <w:widowControl w:val="0"/>
        <w:ind w:firstLine="567"/>
        <w:jc w:val="both"/>
      </w:pPr>
    </w:p>
    <w:tbl>
      <w:tblPr>
        <w:tblW w:w="87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4" w:type="dxa"/>
          <w:right w:w="34" w:type="dxa"/>
        </w:tblCellMar>
        <w:tblLook w:val="0000" w:firstRow="0" w:lastRow="0" w:firstColumn="0" w:lastColumn="0" w:noHBand="0" w:noVBand="0"/>
      </w:tblPr>
      <w:tblGrid>
        <w:gridCol w:w="1480"/>
        <w:gridCol w:w="364"/>
        <w:gridCol w:w="1803"/>
        <w:gridCol w:w="903"/>
        <w:gridCol w:w="786"/>
        <w:gridCol w:w="787"/>
        <w:gridCol w:w="787"/>
        <w:gridCol w:w="1878"/>
      </w:tblGrid>
      <w:tr>
        <w:trPr>
          <w:cantSplit/>
          <w:trHeight w:val="20"/>
          <w:tblHeader/>
        </w:trPr>
        <w:tc>
          <w:tcPr>
            <w:tcW w:w="3647" w:type="dxa"/>
            <w:gridSpan w:val="3"/>
            <w:vMerge w:val="restart"/>
            <w:vAlign w:val="center"/>
          </w:tcPr>
          <w:p>
            <w:pPr>
              <w:widowControl w:val="0"/>
              <w:jc w:val="center"/>
            </w:pPr>
            <w:r>
              <w:t>Instaliacijos būdas</w:t>
            </w:r>
          </w:p>
        </w:tc>
        <w:tc>
          <w:tcPr>
            <w:tcW w:w="903" w:type="dxa"/>
            <w:vMerge w:val="restart"/>
            <w:vAlign w:val="center"/>
          </w:tcPr>
          <w:p>
            <w:pPr>
              <w:widowControl w:val="0"/>
              <w:jc w:val="center"/>
            </w:pPr>
            <w:r>
              <w:t>Lentynų skaičius</w:t>
            </w:r>
          </w:p>
        </w:tc>
        <w:tc>
          <w:tcPr>
            <w:tcW w:w="2360" w:type="dxa"/>
            <w:gridSpan w:val="3"/>
            <w:vAlign w:val="center"/>
          </w:tcPr>
          <w:p>
            <w:pPr>
              <w:widowControl w:val="0"/>
              <w:jc w:val="center"/>
            </w:pPr>
            <w:r>
              <w:t>Trifazių grandžių skaičius</w:t>
            </w:r>
          </w:p>
        </w:tc>
        <w:tc>
          <w:tcPr>
            <w:tcW w:w="1878" w:type="dxa"/>
            <w:vMerge w:val="restart"/>
            <w:vAlign w:val="center"/>
          </w:tcPr>
          <w:p>
            <w:pPr>
              <w:widowControl w:val="0"/>
              <w:jc w:val="center"/>
            </w:pPr>
            <w:r>
              <w:t>Naudojamas pateiktoms srovėms, kai tiesiami</w:t>
            </w:r>
          </w:p>
        </w:tc>
      </w:tr>
      <w:tr>
        <w:trPr>
          <w:cantSplit/>
          <w:trHeight w:val="20"/>
          <w:tblHeader/>
        </w:trPr>
        <w:tc>
          <w:tcPr>
            <w:tcW w:w="3647" w:type="dxa"/>
            <w:gridSpan w:val="3"/>
            <w:vMerge/>
            <w:vAlign w:val="center"/>
          </w:tcPr>
          <w:p>
            <w:pPr>
              <w:widowControl w:val="0"/>
              <w:jc w:val="center"/>
            </w:pPr>
          </w:p>
        </w:tc>
        <w:tc>
          <w:tcPr>
            <w:tcW w:w="903" w:type="dxa"/>
            <w:vMerge/>
            <w:tcBorders>
              <w:bottom w:val="single" w:sz="2" w:space="0" w:color="auto"/>
            </w:tcBorders>
            <w:vAlign w:val="center"/>
          </w:tcPr>
          <w:p>
            <w:pPr>
              <w:widowControl w:val="0"/>
              <w:jc w:val="center"/>
            </w:pPr>
          </w:p>
        </w:tc>
        <w:tc>
          <w:tcPr>
            <w:tcW w:w="786" w:type="dxa"/>
            <w:tcBorders>
              <w:bottom w:val="single" w:sz="2" w:space="0" w:color="auto"/>
            </w:tcBorders>
            <w:vAlign w:val="center"/>
          </w:tcPr>
          <w:p>
            <w:pPr>
              <w:widowControl w:val="0"/>
              <w:jc w:val="center"/>
            </w:pPr>
            <w:r>
              <w:t>1</w:t>
            </w:r>
          </w:p>
        </w:tc>
        <w:tc>
          <w:tcPr>
            <w:tcW w:w="787" w:type="dxa"/>
            <w:tcBorders>
              <w:bottom w:val="single" w:sz="2" w:space="0" w:color="auto"/>
            </w:tcBorders>
            <w:vAlign w:val="center"/>
          </w:tcPr>
          <w:p>
            <w:pPr>
              <w:widowControl w:val="0"/>
              <w:jc w:val="center"/>
            </w:pPr>
            <w:r>
              <w:t>2</w:t>
            </w:r>
          </w:p>
        </w:tc>
        <w:tc>
          <w:tcPr>
            <w:tcW w:w="787" w:type="dxa"/>
            <w:tcBorders>
              <w:bottom w:val="single" w:sz="2" w:space="0" w:color="auto"/>
            </w:tcBorders>
            <w:vAlign w:val="center"/>
          </w:tcPr>
          <w:p>
            <w:pPr>
              <w:widowControl w:val="0"/>
              <w:jc w:val="center"/>
            </w:pPr>
            <w:r>
              <w:t>3</w:t>
            </w:r>
          </w:p>
        </w:tc>
        <w:tc>
          <w:tcPr>
            <w:tcW w:w="1878" w:type="dxa"/>
            <w:vMerge/>
            <w:vAlign w:val="center"/>
          </w:tcPr>
          <w:p>
            <w:pPr>
              <w:widowControl w:val="0"/>
              <w:jc w:val="center"/>
            </w:pPr>
          </w:p>
        </w:tc>
      </w:tr>
      <w:tr>
        <w:trPr>
          <w:cantSplit/>
          <w:trHeight w:val="240"/>
        </w:trPr>
        <w:tc>
          <w:tcPr>
            <w:tcW w:w="1480" w:type="dxa"/>
            <w:vMerge w:val="restart"/>
            <w:vAlign w:val="center"/>
          </w:tcPr>
          <w:p>
            <w:pPr>
              <w:widowControl w:val="0"/>
            </w:pPr>
            <w:r>
              <w:t>Perforuotos lentynos*</w:t>
            </w:r>
          </w:p>
        </w:tc>
        <w:tc>
          <w:tcPr>
            <w:tcW w:w="364" w:type="dxa"/>
            <w:vMerge w:val="restart"/>
            <w:vAlign w:val="center"/>
          </w:tcPr>
          <w:p>
            <w:pPr>
              <w:widowControl w:val="0"/>
              <w:jc w:val="center"/>
            </w:pPr>
            <w:r>
              <w:t>13</w:t>
            </w:r>
          </w:p>
        </w:tc>
        <w:tc>
          <w:tcPr>
            <w:tcW w:w="1803" w:type="dxa"/>
            <w:vMerge w:val="restart"/>
            <w:vAlign w:val="center"/>
          </w:tcPr>
          <w:p>
            <w:pPr>
              <w:widowControl w:val="0"/>
              <w:jc w:val="center"/>
            </w:pPr>
            <w:r>
              <w:rPr>
                <w:lang w:eastAsia="lt-LT"/>
              </w:rPr>
              <w:drawing>
                <wp:inline distT="0" distB="0" distL="0" distR="0">
                  <wp:extent cx="857250" cy="419100"/>
                  <wp:effectExtent l="0" t="0" r="0" b="0"/>
                  <wp:docPr id="194" name="Picture 194"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 pav"/>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0" cy="419100"/>
                          </a:xfrm>
                          <a:prstGeom prst="rect">
                            <a:avLst/>
                          </a:prstGeom>
                          <a:noFill/>
                          <a:ln>
                            <a:noFill/>
                          </a:ln>
                        </pic:spPr>
                      </pic:pic>
                    </a:graphicData>
                  </a:graphic>
                </wp:inline>
              </w:drawing>
            </w:r>
          </w:p>
          <w:p>
            <w:pPr>
              <w:widowControl w:val="0"/>
              <w:jc w:val="center"/>
            </w:pPr>
            <w:r>
              <w:rPr>
                <w:vanish/>
              </w:rPr>
              <w:t>(ženklas)</w:t>
            </w:r>
          </w:p>
        </w:tc>
        <w:tc>
          <w:tcPr>
            <w:tcW w:w="903" w:type="dxa"/>
            <w:tcBorders>
              <w:bottom w:val="nil"/>
            </w:tcBorders>
            <w:vAlign w:val="center"/>
          </w:tcPr>
          <w:p>
            <w:pPr>
              <w:widowControl w:val="0"/>
              <w:jc w:val="center"/>
            </w:pPr>
            <w:r>
              <w:t>1</w:t>
            </w:r>
          </w:p>
        </w:tc>
        <w:tc>
          <w:tcPr>
            <w:tcW w:w="786" w:type="dxa"/>
            <w:tcBorders>
              <w:bottom w:val="nil"/>
            </w:tcBorders>
            <w:vAlign w:val="center"/>
          </w:tcPr>
          <w:p>
            <w:pPr>
              <w:widowControl w:val="0"/>
              <w:jc w:val="center"/>
            </w:pPr>
            <w:r>
              <w:t>0,98</w:t>
            </w:r>
          </w:p>
        </w:tc>
        <w:tc>
          <w:tcPr>
            <w:tcW w:w="787" w:type="dxa"/>
            <w:tcBorders>
              <w:bottom w:val="nil"/>
            </w:tcBorders>
            <w:vAlign w:val="center"/>
          </w:tcPr>
          <w:p>
            <w:pPr>
              <w:widowControl w:val="0"/>
              <w:jc w:val="center"/>
            </w:pPr>
            <w:r>
              <w:t>0,91</w:t>
            </w:r>
          </w:p>
        </w:tc>
        <w:tc>
          <w:tcPr>
            <w:tcW w:w="787" w:type="dxa"/>
            <w:tcBorders>
              <w:bottom w:val="nil"/>
            </w:tcBorders>
            <w:vAlign w:val="center"/>
          </w:tcPr>
          <w:p>
            <w:pPr>
              <w:widowControl w:val="0"/>
              <w:jc w:val="center"/>
            </w:pPr>
            <w:r>
              <w:t>0,87</w:t>
            </w:r>
          </w:p>
        </w:tc>
        <w:tc>
          <w:tcPr>
            <w:tcW w:w="1878" w:type="dxa"/>
            <w:vMerge w:val="restart"/>
            <w:vAlign w:val="center"/>
          </w:tcPr>
          <w:p>
            <w:pPr>
              <w:widowControl w:val="0"/>
            </w:pPr>
            <w:r>
              <w:t>trys kabeliai horizontaliai</w:t>
            </w:r>
          </w:p>
        </w:tc>
      </w:tr>
      <w:tr>
        <w:trPr>
          <w:cantSplit/>
          <w:trHeight w:val="300"/>
        </w:trPr>
        <w:tc>
          <w:tcPr>
            <w:tcW w:w="1480" w:type="dxa"/>
            <w:vMerge/>
            <w:vAlign w:val="center"/>
          </w:tcPr>
          <w:p>
            <w:pPr>
              <w:widowControl w:val="0"/>
            </w:pPr>
          </w:p>
        </w:tc>
        <w:tc>
          <w:tcPr>
            <w:tcW w:w="364" w:type="dxa"/>
            <w:vMerge/>
            <w:tcBorders>
              <w:top w:val="nil"/>
            </w:tcBorders>
            <w:vAlign w:val="center"/>
          </w:tcPr>
          <w:p>
            <w:pPr>
              <w:widowControl w:val="0"/>
              <w:jc w:val="center"/>
            </w:pPr>
          </w:p>
        </w:tc>
        <w:tc>
          <w:tcPr>
            <w:tcW w:w="1803" w:type="dxa"/>
            <w:vMerge/>
            <w:tcBorders>
              <w:top w:val="nil"/>
            </w:tcBorders>
            <w:vAlign w:val="center"/>
          </w:tcPr>
          <w:p>
            <w:pPr>
              <w:widowControl w:val="0"/>
              <w:jc w:val="center"/>
            </w:pPr>
          </w:p>
        </w:tc>
        <w:tc>
          <w:tcPr>
            <w:tcW w:w="903" w:type="dxa"/>
            <w:tcBorders>
              <w:top w:val="nil"/>
              <w:bottom w:val="nil"/>
            </w:tcBorders>
            <w:vAlign w:val="center"/>
          </w:tcPr>
          <w:p>
            <w:pPr>
              <w:widowControl w:val="0"/>
              <w:jc w:val="center"/>
            </w:pPr>
            <w:r>
              <w:t>2</w:t>
            </w:r>
          </w:p>
        </w:tc>
        <w:tc>
          <w:tcPr>
            <w:tcW w:w="786" w:type="dxa"/>
            <w:tcBorders>
              <w:top w:val="nil"/>
              <w:bottom w:val="nil"/>
            </w:tcBorders>
            <w:vAlign w:val="center"/>
          </w:tcPr>
          <w:p>
            <w:pPr>
              <w:widowControl w:val="0"/>
              <w:jc w:val="center"/>
            </w:pPr>
            <w:r>
              <w:t>0,96</w:t>
            </w:r>
          </w:p>
        </w:tc>
        <w:tc>
          <w:tcPr>
            <w:tcW w:w="787" w:type="dxa"/>
            <w:tcBorders>
              <w:top w:val="nil"/>
              <w:bottom w:val="nil"/>
            </w:tcBorders>
            <w:vAlign w:val="center"/>
          </w:tcPr>
          <w:p>
            <w:pPr>
              <w:widowControl w:val="0"/>
              <w:jc w:val="center"/>
            </w:pPr>
            <w:r>
              <w:t>0,87</w:t>
            </w:r>
          </w:p>
        </w:tc>
        <w:tc>
          <w:tcPr>
            <w:tcW w:w="787" w:type="dxa"/>
            <w:tcBorders>
              <w:top w:val="nil"/>
              <w:bottom w:val="nil"/>
            </w:tcBorders>
            <w:vAlign w:val="center"/>
          </w:tcPr>
          <w:p>
            <w:pPr>
              <w:widowControl w:val="0"/>
              <w:jc w:val="center"/>
            </w:pPr>
            <w:r>
              <w:t>0,81</w:t>
            </w:r>
          </w:p>
        </w:tc>
        <w:tc>
          <w:tcPr>
            <w:tcW w:w="1878" w:type="dxa"/>
            <w:vMerge/>
            <w:vAlign w:val="center"/>
          </w:tcPr>
          <w:p>
            <w:pPr>
              <w:widowControl w:val="0"/>
            </w:pPr>
          </w:p>
        </w:tc>
      </w:tr>
      <w:tr>
        <w:trPr>
          <w:cantSplit/>
          <w:trHeight w:val="375"/>
        </w:trPr>
        <w:tc>
          <w:tcPr>
            <w:tcW w:w="1480" w:type="dxa"/>
            <w:vMerge/>
            <w:vAlign w:val="center"/>
          </w:tcPr>
          <w:p>
            <w:pPr>
              <w:widowControl w:val="0"/>
            </w:pPr>
          </w:p>
        </w:tc>
        <w:tc>
          <w:tcPr>
            <w:tcW w:w="364" w:type="dxa"/>
            <w:vMerge/>
            <w:vAlign w:val="center"/>
          </w:tcPr>
          <w:p>
            <w:pPr>
              <w:widowControl w:val="0"/>
              <w:jc w:val="center"/>
            </w:pPr>
          </w:p>
        </w:tc>
        <w:tc>
          <w:tcPr>
            <w:tcW w:w="1803" w:type="dxa"/>
            <w:vMerge/>
            <w:vAlign w:val="center"/>
          </w:tcPr>
          <w:p>
            <w:pPr>
              <w:widowControl w:val="0"/>
              <w:jc w:val="center"/>
            </w:pPr>
          </w:p>
        </w:tc>
        <w:tc>
          <w:tcPr>
            <w:tcW w:w="903" w:type="dxa"/>
            <w:tcBorders>
              <w:top w:val="nil"/>
              <w:bottom w:val="single" w:sz="2" w:space="0" w:color="auto"/>
            </w:tcBorders>
            <w:vAlign w:val="center"/>
          </w:tcPr>
          <w:p>
            <w:pPr>
              <w:widowControl w:val="0"/>
              <w:jc w:val="center"/>
            </w:pPr>
            <w:r>
              <w:t>3</w:t>
            </w:r>
          </w:p>
        </w:tc>
        <w:tc>
          <w:tcPr>
            <w:tcW w:w="786" w:type="dxa"/>
            <w:tcBorders>
              <w:top w:val="nil"/>
              <w:bottom w:val="single" w:sz="2" w:space="0" w:color="auto"/>
            </w:tcBorders>
            <w:vAlign w:val="center"/>
          </w:tcPr>
          <w:p>
            <w:pPr>
              <w:widowControl w:val="0"/>
              <w:jc w:val="center"/>
            </w:pPr>
            <w:r>
              <w:t>0,95</w:t>
            </w:r>
          </w:p>
        </w:tc>
        <w:tc>
          <w:tcPr>
            <w:tcW w:w="787" w:type="dxa"/>
            <w:tcBorders>
              <w:top w:val="nil"/>
              <w:bottom w:val="single" w:sz="2" w:space="0" w:color="auto"/>
            </w:tcBorders>
            <w:vAlign w:val="center"/>
          </w:tcPr>
          <w:p>
            <w:pPr>
              <w:widowControl w:val="0"/>
              <w:jc w:val="center"/>
            </w:pPr>
            <w:r>
              <w:t>0,85</w:t>
            </w:r>
          </w:p>
        </w:tc>
        <w:tc>
          <w:tcPr>
            <w:tcW w:w="787" w:type="dxa"/>
            <w:tcBorders>
              <w:top w:val="nil"/>
              <w:bottom w:val="single" w:sz="2" w:space="0" w:color="auto"/>
            </w:tcBorders>
            <w:vAlign w:val="center"/>
          </w:tcPr>
          <w:p>
            <w:pPr>
              <w:widowControl w:val="0"/>
              <w:jc w:val="center"/>
            </w:pPr>
            <w:r>
              <w:t>0,78</w:t>
            </w:r>
          </w:p>
        </w:tc>
        <w:tc>
          <w:tcPr>
            <w:tcW w:w="1878" w:type="dxa"/>
            <w:vMerge/>
            <w:vAlign w:val="center"/>
          </w:tcPr>
          <w:p>
            <w:pPr>
              <w:widowControl w:val="0"/>
            </w:pPr>
          </w:p>
        </w:tc>
      </w:tr>
      <w:tr>
        <w:trPr>
          <w:cantSplit/>
          <w:trHeight w:val="165"/>
        </w:trPr>
        <w:tc>
          <w:tcPr>
            <w:tcW w:w="1480" w:type="dxa"/>
            <w:vMerge w:val="restart"/>
            <w:vAlign w:val="center"/>
          </w:tcPr>
          <w:p>
            <w:pPr>
              <w:widowControl w:val="0"/>
            </w:pPr>
            <w:r>
              <w:t>Perforuotos vertikalios lentynos**</w:t>
            </w:r>
          </w:p>
        </w:tc>
        <w:tc>
          <w:tcPr>
            <w:tcW w:w="364" w:type="dxa"/>
            <w:vMerge w:val="restart"/>
            <w:vAlign w:val="center"/>
          </w:tcPr>
          <w:p>
            <w:pPr>
              <w:widowControl w:val="0"/>
              <w:jc w:val="center"/>
            </w:pPr>
            <w:r>
              <w:t>13</w:t>
            </w:r>
          </w:p>
        </w:tc>
        <w:tc>
          <w:tcPr>
            <w:tcW w:w="1803" w:type="dxa"/>
            <w:vMerge w:val="restart"/>
            <w:vAlign w:val="center"/>
          </w:tcPr>
          <w:p>
            <w:pPr>
              <w:widowControl w:val="0"/>
              <w:jc w:val="center"/>
            </w:pPr>
            <w:r>
              <w:rPr>
                <w:lang w:eastAsia="lt-LT"/>
              </w:rPr>
              <w:drawing>
                <wp:inline distT="0" distB="0" distL="0" distR="0">
                  <wp:extent cx="647700" cy="838200"/>
                  <wp:effectExtent l="0" t="0" r="0" b="0"/>
                  <wp:docPr id="195" name="Picture 195" descr="2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2 pav"/>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p>
            <w:pPr>
              <w:widowControl w:val="0"/>
              <w:jc w:val="center"/>
            </w:pPr>
            <w:r>
              <w:rPr>
                <w:vanish/>
              </w:rPr>
              <w:t>(ženklas)</w:t>
            </w:r>
          </w:p>
        </w:tc>
        <w:tc>
          <w:tcPr>
            <w:tcW w:w="903" w:type="dxa"/>
            <w:tcBorders>
              <w:bottom w:val="nil"/>
            </w:tcBorders>
          </w:tcPr>
          <w:p>
            <w:pPr>
              <w:widowControl w:val="0"/>
              <w:jc w:val="center"/>
            </w:pPr>
            <w:r>
              <w:t>1</w:t>
            </w:r>
          </w:p>
        </w:tc>
        <w:tc>
          <w:tcPr>
            <w:tcW w:w="786" w:type="dxa"/>
            <w:tcBorders>
              <w:bottom w:val="nil"/>
            </w:tcBorders>
          </w:tcPr>
          <w:p>
            <w:pPr>
              <w:widowControl w:val="0"/>
              <w:jc w:val="center"/>
            </w:pPr>
            <w:r>
              <w:t>0,96</w:t>
            </w:r>
          </w:p>
        </w:tc>
        <w:tc>
          <w:tcPr>
            <w:tcW w:w="787" w:type="dxa"/>
            <w:tcBorders>
              <w:bottom w:val="nil"/>
            </w:tcBorders>
          </w:tcPr>
          <w:p>
            <w:pPr>
              <w:widowControl w:val="0"/>
              <w:jc w:val="center"/>
            </w:pPr>
            <w:r>
              <w:t>0,86</w:t>
            </w:r>
          </w:p>
        </w:tc>
        <w:tc>
          <w:tcPr>
            <w:tcW w:w="787" w:type="dxa"/>
            <w:tcBorders>
              <w:bottom w:val="nil"/>
            </w:tcBorders>
          </w:tcPr>
          <w:p>
            <w:pPr>
              <w:widowControl w:val="0"/>
              <w:jc w:val="center"/>
            </w:pPr>
            <w:r>
              <w:t>–</w:t>
            </w:r>
          </w:p>
        </w:tc>
        <w:tc>
          <w:tcPr>
            <w:tcW w:w="1878" w:type="dxa"/>
            <w:vMerge w:val="restart"/>
            <w:vAlign w:val="center"/>
          </w:tcPr>
          <w:p>
            <w:pPr>
              <w:widowControl w:val="0"/>
            </w:pPr>
            <w:r>
              <w:t>trys kabeliai vertikaliai</w:t>
            </w:r>
          </w:p>
        </w:tc>
      </w:tr>
      <w:tr>
        <w:trPr>
          <w:cantSplit/>
          <w:trHeight w:val="1425"/>
        </w:trPr>
        <w:tc>
          <w:tcPr>
            <w:tcW w:w="1480" w:type="dxa"/>
            <w:vMerge/>
            <w:vAlign w:val="center"/>
          </w:tcPr>
          <w:p>
            <w:pPr>
              <w:widowControl w:val="0"/>
            </w:pPr>
          </w:p>
        </w:tc>
        <w:tc>
          <w:tcPr>
            <w:tcW w:w="364" w:type="dxa"/>
            <w:vMerge/>
            <w:vAlign w:val="center"/>
          </w:tcPr>
          <w:p>
            <w:pPr>
              <w:widowControl w:val="0"/>
              <w:jc w:val="center"/>
            </w:pPr>
          </w:p>
        </w:tc>
        <w:tc>
          <w:tcPr>
            <w:tcW w:w="1803" w:type="dxa"/>
            <w:vMerge/>
            <w:vAlign w:val="center"/>
          </w:tcPr>
          <w:p>
            <w:pPr>
              <w:widowControl w:val="0"/>
              <w:jc w:val="center"/>
            </w:pPr>
          </w:p>
        </w:tc>
        <w:tc>
          <w:tcPr>
            <w:tcW w:w="903" w:type="dxa"/>
            <w:tcBorders>
              <w:top w:val="nil"/>
              <w:bottom w:val="single" w:sz="2" w:space="0" w:color="auto"/>
            </w:tcBorders>
          </w:tcPr>
          <w:p>
            <w:pPr>
              <w:widowControl w:val="0"/>
              <w:jc w:val="center"/>
            </w:pPr>
            <w:r>
              <w:t>2</w:t>
            </w:r>
          </w:p>
        </w:tc>
        <w:tc>
          <w:tcPr>
            <w:tcW w:w="786" w:type="dxa"/>
            <w:tcBorders>
              <w:top w:val="nil"/>
              <w:bottom w:val="single" w:sz="2" w:space="0" w:color="auto"/>
            </w:tcBorders>
          </w:tcPr>
          <w:p>
            <w:pPr>
              <w:widowControl w:val="0"/>
              <w:jc w:val="center"/>
            </w:pPr>
            <w:r>
              <w:t>0,95</w:t>
            </w:r>
          </w:p>
        </w:tc>
        <w:tc>
          <w:tcPr>
            <w:tcW w:w="787" w:type="dxa"/>
            <w:tcBorders>
              <w:top w:val="nil"/>
              <w:bottom w:val="single" w:sz="2" w:space="0" w:color="auto"/>
            </w:tcBorders>
          </w:tcPr>
          <w:p>
            <w:pPr>
              <w:widowControl w:val="0"/>
              <w:jc w:val="center"/>
            </w:pPr>
            <w:r>
              <w:t>0,84</w:t>
            </w:r>
          </w:p>
        </w:tc>
        <w:tc>
          <w:tcPr>
            <w:tcW w:w="787" w:type="dxa"/>
            <w:tcBorders>
              <w:top w:val="nil"/>
              <w:bottom w:val="single" w:sz="2" w:space="0" w:color="auto"/>
            </w:tcBorders>
          </w:tcPr>
          <w:p>
            <w:pPr>
              <w:widowControl w:val="0"/>
              <w:jc w:val="center"/>
            </w:pPr>
            <w:r>
              <w:t>–</w:t>
            </w:r>
          </w:p>
        </w:tc>
        <w:tc>
          <w:tcPr>
            <w:tcW w:w="1878" w:type="dxa"/>
            <w:vMerge/>
            <w:vAlign w:val="center"/>
          </w:tcPr>
          <w:p>
            <w:pPr>
              <w:widowControl w:val="0"/>
            </w:pPr>
          </w:p>
        </w:tc>
      </w:tr>
      <w:tr>
        <w:trPr>
          <w:cantSplit/>
          <w:trHeight w:val="255"/>
        </w:trPr>
        <w:tc>
          <w:tcPr>
            <w:tcW w:w="1480" w:type="dxa"/>
            <w:vMerge w:val="restart"/>
            <w:vAlign w:val="center"/>
          </w:tcPr>
          <w:p>
            <w:pPr>
              <w:widowControl w:val="0"/>
            </w:pPr>
            <w:r>
              <w:t>Kopėčių tipo atraminės konstrukcijos, gembės ir pan.*</w:t>
            </w:r>
          </w:p>
        </w:tc>
        <w:tc>
          <w:tcPr>
            <w:tcW w:w="364" w:type="dxa"/>
            <w:vMerge w:val="restart"/>
            <w:vAlign w:val="center"/>
          </w:tcPr>
          <w:p>
            <w:pPr>
              <w:widowControl w:val="0"/>
              <w:jc w:val="center"/>
            </w:pPr>
            <w:r>
              <w:t>14</w:t>
            </w:r>
          </w:p>
          <w:p>
            <w:pPr>
              <w:widowControl w:val="0"/>
              <w:jc w:val="center"/>
            </w:pPr>
            <w:r>
              <w:t>15</w:t>
            </w:r>
          </w:p>
          <w:p>
            <w:pPr>
              <w:widowControl w:val="0"/>
              <w:jc w:val="center"/>
            </w:pPr>
            <w:r>
              <w:t>16</w:t>
            </w:r>
          </w:p>
        </w:tc>
        <w:tc>
          <w:tcPr>
            <w:tcW w:w="1803" w:type="dxa"/>
            <w:vMerge w:val="restart"/>
            <w:vAlign w:val="center"/>
          </w:tcPr>
          <w:p>
            <w:pPr>
              <w:widowControl w:val="0"/>
              <w:jc w:val="center"/>
            </w:pPr>
            <w:r>
              <w:rPr>
                <w:lang w:eastAsia="lt-LT"/>
              </w:rPr>
              <w:drawing>
                <wp:inline distT="0" distB="0" distL="0" distR="0">
                  <wp:extent cx="857250" cy="495300"/>
                  <wp:effectExtent l="0" t="0" r="0" b="0"/>
                  <wp:docPr id="196" name="Picture 196" descr="3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3 pav"/>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57250" cy="495300"/>
                          </a:xfrm>
                          <a:prstGeom prst="rect">
                            <a:avLst/>
                          </a:prstGeom>
                          <a:noFill/>
                          <a:ln>
                            <a:noFill/>
                          </a:ln>
                        </pic:spPr>
                      </pic:pic>
                    </a:graphicData>
                  </a:graphic>
                </wp:inline>
              </w:drawing>
            </w:r>
          </w:p>
          <w:p>
            <w:pPr>
              <w:widowControl w:val="0"/>
              <w:jc w:val="center"/>
            </w:pPr>
            <w:r>
              <w:rPr>
                <w:vanish/>
              </w:rPr>
              <w:t>(ženklas)</w:t>
            </w:r>
          </w:p>
        </w:tc>
        <w:tc>
          <w:tcPr>
            <w:tcW w:w="903" w:type="dxa"/>
            <w:tcBorders>
              <w:bottom w:val="nil"/>
            </w:tcBorders>
          </w:tcPr>
          <w:p>
            <w:pPr>
              <w:widowControl w:val="0"/>
              <w:jc w:val="center"/>
            </w:pPr>
            <w:r>
              <w:t>1</w:t>
            </w:r>
          </w:p>
        </w:tc>
        <w:tc>
          <w:tcPr>
            <w:tcW w:w="786" w:type="dxa"/>
            <w:tcBorders>
              <w:bottom w:val="nil"/>
            </w:tcBorders>
          </w:tcPr>
          <w:p>
            <w:pPr>
              <w:widowControl w:val="0"/>
              <w:jc w:val="center"/>
            </w:pPr>
            <w:r>
              <w:t>1,00</w:t>
            </w:r>
          </w:p>
        </w:tc>
        <w:tc>
          <w:tcPr>
            <w:tcW w:w="787" w:type="dxa"/>
            <w:tcBorders>
              <w:bottom w:val="nil"/>
            </w:tcBorders>
          </w:tcPr>
          <w:p>
            <w:pPr>
              <w:widowControl w:val="0"/>
              <w:jc w:val="center"/>
            </w:pPr>
            <w:r>
              <w:t>0,98</w:t>
            </w:r>
          </w:p>
        </w:tc>
        <w:tc>
          <w:tcPr>
            <w:tcW w:w="787" w:type="dxa"/>
            <w:tcBorders>
              <w:bottom w:val="nil"/>
            </w:tcBorders>
          </w:tcPr>
          <w:p>
            <w:pPr>
              <w:widowControl w:val="0"/>
              <w:jc w:val="center"/>
            </w:pPr>
            <w:r>
              <w:t>0,96</w:t>
            </w:r>
          </w:p>
        </w:tc>
        <w:tc>
          <w:tcPr>
            <w:tcW w:w="1878" w:type="dxa"/>
            <w:vMerge w:val="restart"/>
            <w:vAlign w:val="center"/>
          </w:tcPr>
          <w:p>
            <w:pPr>
              <w:widowControl w:val="0"/>
            </w:pPr>
            <w:r>
              <w:t>trys kabeliai horizontaliai</w:t>
            </w:r>
          </w:p>
        </w:tc>
      </w:tr>
      <w:tr>
        <w:trPr>
          <w:cantSplit/>
          <w:trHeight w:val="330"/>
        </w:trPr>
        <w:tc>
          <w:tcPr>
            <w:tcW w:w="1480" w:type="dxa"/>
            <w:vMerge/>
            <w:vAlign w:val="center"/>
          </w:tcPr>
          <w:p>
            <w:pPr>
              <w:widowControl w:val="0"/>
            </w:pPr>
          </w:p>
        </w:tc>
        <w:tc>
          <w:tcPr>
            <w:tcW w:w="364" w:type="dxa"/>
            <w:vMerge/>
            <w:vAlign w:val="center"/>
          </w:tcPr>
          <w:p>
            <w:pPr>
              <w:widowControl w:val="0"/>
              <w:jc w:val="center"/>
            </w:pPr>
          </w:p>
        </w:tc>
        <w:tc>
          <w:tcPr>
            <w:tcW w:w="1803" w:type="dxa"/>
            <w:vMerge/>
            <w:vAlign w:val="center"/>
          </w:tcPr>
          <w:p>
            <w:pPr>
              <w:widowControl w:val="0"/>
              <w:jc w:val="center"/>
            </w:pPr>
          </w:p>
        </w:tc>
        <w:tc>
          <w:tcPr>
            <w:tcW w:w="903" w:type="dxa"/>
            <w:tcBorders>
              <w:top w:val="nil"/>
              <w:bottom w:val="nil"/>
            </w:tcBorders>
          </w:tcPr>
          <w:p>
            <w:pPr>
              <w:widowControl w:val="0"/>
              <w:jc w:val="center"/>
            </w:pPr>
            <w:r>
              <w:t>2</w:t>
            </w:r>
          </w:p>
        </w:tc>
        <w:tc>
          <w:tcPr>
            <w:tcW w:w="786" w:type="dxa"/>
            <w:tcBorders>
              <w:top w:val="nil"/>
              <w:bottom w:val="nil"/>
            </w:tcBorders>
          </w:tcPr>
          <w:p>
            <w:pPr>
              <w:widowControl w:val="0"/>
              <w:jc w:val="center"/>
            </w:pPr>
            <w:r>
              <w:t>0,98</w:t>
            </w:r>
          </w:p>
        </w:tc>
        <w:tc>
          <w:tcPr>
            <w:tcW w:w="787" w:type="dxa"/>
            <w:tcBorders>
              <w:top w:val="nil"/>
              <w:bottom w:val="nil"/>
            </w:tcBorders>
          </w:tcPr>
          <w:p>
            <w:pPr>
              <w:widowControl w:val="0"/>
              <w:jc w:val="center"/>
            </w:pPr>
            <w:r>
              <w:t>0,93</w:t>
            </w:r>
          </w:p>
        </w:tc>
        <w:tc>
          <w:tcPr>
            <w:tcW w:w="787" w:type="dxa"/>
            <w:tcBorders>
              <w:top w:val="nil"/>
              <w:bottom w:val="nil"/>
            </w:tcBorders>
          </w:tcPr>
          <w:p>
            <w:pPr>
              <w:widowControl w:val="0"/>
              <w:jc w:val="center"/>
            </w:pPr>
            <w:r>
              <w:t>0,89</w:t>
            </w:r>
          </w:p>
        </w:tc>
        <w:tc>
          <w:tcPr>
            <w:tcW w:w="1878" w:type="dxa"/>
            <w:vMerge/>
            <w:vAlign w:val="center"/>
          </w:tcPr>
          <w:p>
            <w:pPr>
              <w:widowControl w:val="0"/>
            </w:pPr>
          </w:p>
        </w:tc>
      </w:tr>
      <w:tr>
        <w:trPr>
          <w:cantSplit/>
          <w:trHeight w:val="795"/>
        </w:trPr>
        <w:tc>
          <w:tcPr>
            <w:tcW w:w="1480" w:type="dxa"/>
            <w:vMerge/>
            <w:vAlign w:val="center"/>
          </w:tcPr>
          <w:p>
            <w:pPr>
              <w:widowControl w:val="0"/>
            </w:pPr>
          </w:p>
        </w:tc>
        <w:tc>
          <w:tcPr>
            <w:tcW w:w="364" w:type="dxa"/>
            <w:vMerge/>
            <w:vAlign w:val="center"/>
          </w:tcPr>
          <w:p>
            <w:pPr>
              <w:widowControl w:val="0"/>
              <w:jc w:val="center"/>
            </w:pPr>
          </w:p>
        </w:tc>
        <w:tc>
          <w:tcPr>
            <w:tcW w:w="1803" w:type="dxa"/>
            <w:vMerge/>
            <w:vAlign w:val="center"/>
          </w:tcPr>
          <w:p>
            <w:pPr>
              <w:widowControl w:val="0"/>
              <w:jc w:val="center"/>
            </w:pPr>
          </w:p>
        </w:tc>
        <w:tc>
          <w:tcPr>
            <w:tcW w:w="903" w:type="dxa"/>
            <w:tcBorders>
              <w:top w:val="nil"/>
              <w:bottom w:val="single" w:sz="2" w:space="0" w:color="auto"/>
            </w:tcBorders>
          </w:tcPr>
          <w:p>
            <w:pPr>
              <w:widowControl w:val="0"/>
              <w:jc w:val="center"/>
            </w:pPr>
            <w:r>
              <w:t>3</w:t>
            </w:r>
          </w:p>
        </w:tc>
        <w:tc>
          <w:tcPr>
            <w:tcW w:w="786" w:type="dxa"/>
            <w:tcBorders>
              <w:top w:val="nil"/>
              <w:bottom w:val="single" w:sz="2" w:space="0" w:color="auto"/>
            </w:tcBorders>
          </w:tcPr>
          <w:p>
            <w:pPr>
              <w:widowControl w:val="0"/>
              <w:jc w:val="center"/>
            </w:pPr>
            <w:r>
              <w:t>0,97</w:t>
            </w:r>
          </w:p>
        </w:tc>
        <w:tc>
          <w:tcPr>
            <w:tcW w:w="787" w:type="dxa"/>
            <w:tcBorders>
              <w:top w:val="nil"/>
              <w:bottom w:val="single" w:sz="2" w:space="0" w:color="auto"/>
            </w:tcBorders>
          </w:tcPr>
          <w:p>
            <w:pPr>
              <w:widowControl w:val="0"/>
              <w:jc w:val="center"/>
            </w:pPr>
            <w:r>
              <w:t>0,90</w:t>
            </w:r>
          </w:p>
        </w:tc>
        <w:tc>
          <w:tcPr>
            <w:tcW w:w="787" w:type="dxa"/>
            <w:tcBorders>
              <w:top w:val="nil"/>
              <w:bottom w:val="single" w:sz="2" w:space="0" w:color="auto"/>
            </w:tcBorders>
          </w:tcPr>
          <w:p>
            <w:pPr>
              <w:widowControl w:val="0"/>
              <w:jc w:val="center"/>
            </w:pPr>
            <w:r>
              <w:t>0,86</w:t>
            </w:r>
          </w:p>
        </w:tc>
        <w:tc>
          <w:tcPr>
            <w:tcW w:w="1878" w:type="dxa"/>
            <w:vMerge/>
            <w:vAlign w:val="center"/>
          </w:tcPr>
          <w:p>
            <w:pPr>
              <w:widowControl w:val="0"/>
            </w:pPr>
          </w:p>
        </w:tc>
      </w:tr>
      <w:tr>
        <w:trPr>
          <w:cantSplit/>
          <w:trHeight w:val="270"/>
        </w:trPr>
        <w:tc>
          <w:tcPr>
            <w:tcW w:w="1480" w:type="dxa"/>
            <w:vMerge w:val="restart"/>
            <w:vAlign w:val="center"/>
          </w:tcPr>
          <w:p>
            <w:pPr>
              <w:widowControl w:val="0"/>
            </w:pPr>
            <w:r>
              <w:t>Perforuotos lentynos*</w:t>
            </w:r>
          </w:p>
        </w:tc>
        <w:tc>
          <w:tcPr>
            <w:tcW w:w="364" w:type="dxa"/>
            <w:vMerge w:val="restart"/>
            <w:vAlign w:val="center"/>
          </w:tcPr>
          <w:p>
            <w:pPr>
              <w:widowControl w:val="0"/>
              <w:jc w:val="center"/>
            </w:pPr>
            <w:r>
              <w:t>13</w:t>
            </w:r>
          </w:p>
        </w:tc>
        <w:tc>
          <w:tcPr>
            <w:tcW w:w="1803" w:type="dxa"/>
            <w:vMerge w:val="restart"/>
            <w:vAlign w:val="center"/>
          </w:tcPr>
          <w:p>
            <w:pPr>
              <w:widowControl w:val="0"/>
              <w:jc w:val="center"/>
            </w:pPr>
            <w:r>
              <w:rPr>
                <w:lang w:eastAsia="lt-LT"/>
              </w:rPr>
              <w:drawing>
                <wp:inline distT="0" distB="0" distL="0" distR="0">
                  <wp:extent cx="857250" cy="542925"/>
                  <wp:effectExtent l="0" t="0" r="0" b="0"/>
                  <wp:docPr id="197" name="Picture 197" descr="4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4 pav"/>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57250" cy="542925"/>
                          </a:xfrm>
                          <a:prstGeom prst="rect">
                            <a:avLst/>
                          </a:prstGeom>
                          <a:noFill/>
                          <a:ln>
                            <a:noFill/>
                          </a:ln>
                        </pic:spPr>
                      </pic:pic>
                    </a:graphicData>
                  </a:graphic>
                </wp:inline>
              </w:drawing>
            </w:r>
          </w:p>
          <w:p>
            <w:pPr>
              <w:widowControl w:val="0"/>
              <w:jc w:val="center"/>
            </w:pPr>
            <w:r>
              <w:rPr>
                <w:vanish/>
              </w:rPr>
              <w:t>(ženklas)</w:t>
            </w:r>
          </w:p>
        </w:tc>
        <w:tc>
          <w:tcPr>
            <w:tcW w:w="903" w:type="dxa"/>
            <w:tcBorders>
              <w:bottom w:val="nil"/>
            </w:tcBorders>
          </w:tcPr>
          <w:p>
            <w:pPr>
              <w:widowControl w:val="0"/>
              <w:jc w:val="center"/>
            </w:pPr>
            <w:r>
              <w:t>1</w:t>
            </w:r>
          </w:p>
        </w:tc>
        <w:tc>
          <w:tcPr>
            <w:tcW w:w="786" w:type="dxa"/>
            <w:tcBorders>
              <w:bottom w:val="nil"/>
            </w:tcBorders>
          </w:tcPr>
          <w:p>
            <w:pPr>
              <w:widowControl w:val="0"/>
              <w:jc w:val="center"/>
            </w:pPr>
            <w:r>
              <w:t>1,00</w:t>
            </w:r>
          </w:p>
        </w:tc>
        <w:tc>
          <w:tcPr>
            <w:tcW w:w="787" w:type="dxa"/>
            <w:tcBorders>
              <w:bottom w:val="nil"/>
            </w:tcBorders>
          </w:tcPr>
          <w:p>
            <w:pPr>
              <w:widowControl w:val="0"/>
              <w:jc w:val="center"/>
            </w:pPr>
            <w:r>
              <w:t>0,98</w:t>
            </w:r>
          </w:p>
        </w:tc>
        <w:tc>
          <w:tcPr>
            <w:tcW w:w="787" w:type="dxa"/>
            <w:tcBorders>
              <w:bottom w:val="nil"/>
            </w:tcBorders>
          </w:tcPr>
          <w:p>
            <w:pPr>
              <w:widowControl w:val="0"/>
              <w:jc w:val="center"/>
            </w:pPr>
            <w:r>
              <w:t>0,96</w:t>
            </w:r>
          </w:p>
        </w:tc>
        <w:tc>
          <w:tcPr>
            <w:tcW w:w="1878" w:type="dxa"/>
            <w:vMerge w:val="restart"/>
            <w:vAlign w:val="center"/>
          </w:tcPr>
          <w:p>
            <w:pPr>
              <w:widowControl w:val="0"/>
            </w:pPr>
            <w:r>
              <w:t>trys kabeliai dobilo lapo forma</w:t>
            </w:r>
          </w:p>
        </w:tc>
      </w:tr>
      <w:tr>
        <w:trPr>
          <w:cantSplit/>
          <w:trHeight w:val="330"/>
        </w:trPr>
        <w:tc>
          <w:tcPr>
            <w:tcW w:w="1480" w:type="dxa"/>
            <w:vMerge/>
            <w:vAlign w:val="center"/>
          </w:tcPr>
          <w:p>
            <w:pPr>
              <w:widowControl w:val="0"/>
            </w:pPr>
          </w:p>
        </w:tc>
        <w:tc>
          <w:tcPr>
            <w:tcW w:w="364" w:type="dxa"/>
            <w:vMerge/>
            <w:vAlign w:val="center"/>
          </w:tcPr>
          <w:p>
            <w:pPr>
              <w:widowControl w:val="0"/>
              <w:jc w:val="center"/>
            </w:pPr>
          </w:p>
        </w:tc>
        <w:tc>
          <w:tcPr>
            <w:tcW w:w="1803" w:type="dxa"/>
            <w:vMerge/>
            <w:vAlign w:val="center"/>
          </w:tcPr>
          <w:p>
            <w:pPr>
              <w:widowControl w:val="0"/>
              <w:jc w:val="center"/>
            </w:pPr>
          </w:p>
        </w:tc>
        <w:tc>
          <w:tcPr>
            <w:tcW w:w="903" w:type="dxa"/>
            <w:tcBorders>
              <w:top w:val="nil"/>
              <w:bottom w:val="nil"/>
            </w:tcBorders>
          </w:tcPr>
          <w:p>
            <w:pPr>
              <w:widowControl w:val="0"/>
              <w:jc w:val="center"/>
            </w:pPr>
            <w:r>
              <w:t>2</w:t>
            </w:r>
          </w:p>
        </w:tc>
        <w:tc>
          <w:tcPr>
            <w:tcW w:w="786" w:type="dxa"/>
            <w:tcBorders>
              <w:top w:val="nil"/>
              <w:bottom w:val="nil"/>
            </w:tcBorders>
          </w:tcPr>
          <w:p>
            <w:pPr>
              <w:widowControl w:val="0"/>
              <w:jc w:val="center"/>
            </w:pPr>
            <w:r>
              <w:t>0,97</w:t>
            </w:r>
          </w:p>
        </w:tc>
        <w:tc>
          <w:tcPr>
            <w:tcW w:w="787" w:type="dxa"/>
            <w:tcBorders>
              <w:top w:val="nil"/>
              <w:bottom w:val="nil"/>
            </w:tcBorders>
          </w:tcPr>
          <w:p>
            <w:pPr>
              <w:widowControl w:val="0"/>
              <w:jc w:val="center"/>
            </w:pPr>
            <w:r>
              <w:t>0,93</w:t>
            </w:r>
          </w:p>
        </w:tc>
        <w:tc>
          <w:tcPr>
            <w:tcW w:w="787" w:type="dxa"/>
            <w:tcBorders>
              <w:top w:val="nil"/>
              <w:bottom w:val="nil"/>
            </w:tcBorders>
          </w:tcPr>
          <w:p>
            <w:pPr>
              <w:widowControl w:val="0"/>
              <w:jc w:val="center"/>
            </w:pPr>
            <w:r>
              <w:t>0,89</w:t>
            </w:r>
          </w:p>
        </w:tc>
        <w:tc>
          <w:tcPr>
            <w:tcW w:w="1878" w:type="dxa"/>
            <w:vMerge/>
            <w:vAlign w:val="center"/>
          </w:tcPr>
          <w:p>
            <w:pPr>
              <w:widowControl w:val="0"/>
            </w:pPr>
          </w:p>
        </w:tc>
      </w:tr>
      <w:tr>
        <w:trPr>
          <w:cantSplit/>
          <w:trHeight w:val="510"/>
        </w:trPr>
        <w:tc>
          <w:tcPr>
            <w:tcW w:w="1480" w:type="dxa"/>
            <w:vMerge/>
            <w:vAlign w:val="center"/>
          </w:tcPr>
          <w:p>
            <w:pPr>
              <w:widowControl w:val="0"/>
            </w:pPr>
          </w:p>
        </w:tc>
        <w:tc>
          <w:tcPr>
            <w:tcW w:w="364" w:type="dxa"/>
            <w:vMerge/>
            <w:vAlign w:val="center"/>
          </w:tcPr>
          <w:p>
            <w:pPr>
              <w:widowControl w:val="0"/>
              <w:jc w:val="center"/>
            </w:pPr>
          </w:p>
        </w:tc>
        <w:tc>
          <w:tcPr>
            <w:tcW w:w="1803" w:type="dxa"/>
            <w:vMerge/>
            <w:vAlign w:val="center"/>
          </w:tcPr>
          <w:p>
            <w:pPr>
              <w:widowControl w:val="0"/>
              <w:jc w:val="center"/>
            </w:pPr>
          </w:p>
        </w:tc>
        <w:tc>
          <w:tcPr>
            <w:tcW w:w="903" w:type="dxa"/>
            <w:tcBorders>
              <w:top w:val="nil"/>
              <w:bottom w:val="single" w:sz="2" w:space="0" w:color="auto"/>
            </w:tcBorders>
          </w:tcPr>
          <w:p>
            <w:pPr>
              <w:widowControl w:val="0"/>
              <w:jc w:val="center"/>
            </w:pPr>
            <w:r>
              <w:t>3</w:t>
            </w:r>
          </w:p>
        </w:tc>
        <w:tc>
          <w:tcPr>
            <w:tcW w:w="786" w:type="dxa"/>
            <w:tcBorders>
              <w:top w:val="nil"/>
              <w:bottom w:val="single" w:sz="2" w:space="0" w:color="auto"/>
            </w:tcBorders>
          </w:tcPr>
          <w:p>
            <w:pPr>
              <w:widowControl w:val="0"/>
              <w:jc w:val="center"/>
            </w:pPr>
            <w:r>
              <w:t>0,96</w:t>
            </w:r>
          </w:p>
        </w:tc>
        <w:tc>
          <w:tcPr>
            <w:tcW w:w="787" w:type="dxa"/>
            <w:tcBorders>
              <w:top w:val="nil"/>
              <w:bottom w:val="single" w:sz="2" w:space="0" w:color="auto"/>
            </w:tcBorders>
          </w:tcPr>
          <w:p>
            <w:pPr>
              <w:widowControl w:val="0"/>
              <w:jc w:val="center"/>
            </w:pPr>
            <w:r>
              <w:t>0,92</w:t>
            </w:r>
          </w:p>
        </w:tc>
        <w:tc>
          <w:tcPr>
            <w:tcW w:w="787" w:type="dxa"/>
            <w:tcBorders>
              <w:top w:val="nil"/>
              <w:bottom w:val="single" w:sz="2" w:space="0" w:color="auto"/>
            </w:tcBorders>
          </w:tcPr>
          <w:p>
            <w:pPr>
              <w:widowControl w:val="0"/>
              <w:jc w:val="center"/>
            </w:pPr>
            <w:r>
              <w:t>0,86</w:t>
            </w:r>
          </w:p>
        </w:tc>
        <w:tc>
          <w:tcPr>
            <w:tcW w:w="1878" w:type="dxa"/>
            <w:vMerge/>
            <w:vAlign w:val="center"/>
          </w:tcPr>
          <w:p>
            <w:pPr>
              <w:widowControl w:val="0"/>
            </w:pPr>
          </w:p>
        </w:tc>
      </w:tr>
      <w:tr>
        <w:trPr>
          <w:cantSplit/>
          <w:trHeight w:val="195"/>
        </w:trPr>
        <w:tc>
          <w:tcPr>
            <w:tcW w:w="1480" w:type="dxa"/>
            <w:vMerge w:val="restart"/>
            <w:vAlign w:val="center"/>
          </w:tcPr>
          <w:p>
            <w:pPr>
              <w:widowControl w:val="0"/>
            </w:pPr>
            <w:r>
              <w:t>Perforuotos</w:t>
            </w:r>
          </w:p>
          <w:p>
            <w:pPr>
              <w:widowControl w:val="0"/>
            </w:pPr>
            <w:r>
              <w:t>vertikalios lentynos *</w:t>
            </w:r>
          </w:p>
        </w:tc>
        <w:tc>
          <w:tcPr>
            <w:tcW w:w="364" w:type="dxa"/>
            <w:vMerge w:val="restart"/>
            <w:vAlign w:val="center"/>
          </w:tcPr>
          <w:p>
            <w:pPr>
              <w:widowControl w:val="0"/>
              <w:jc w:val="center"/>
            </w:pPr>
            <w:r>
              <w:t>13</w:t>
            </w:r>
          </w:p>
        </w:tc>
        <w:tc>
          <w:tcPr>
            <w:tcW w:w="1803" w:type="dxa"/>
            <w:vMerge w:val="restart"/>
            <w:vAlign w:val="center"/>
          </w:tcPr>
          <w:p>
            <w:pPr>
              <w:widowControl w:val="0"/>
              <w:jc w:val="center"/>
            </w:pPr>
            <w:r>
              <w:rPr>
                <w:lang w:eastAsia="lt-LT"/>
              </w:rPr>
              <w:drawing>
                <wp:inline distT="0" distB="0" distL="0" distR="0">
                  <wp:extent cx="857250" cy="581025"/>
                  <wp:effectExtent l="0" t="0" r="0" b="0"/>
                  <wp:docPr id="198" name="Picture 198" descr="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5 pav"/>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p>
          <w:p>
            <w:pPr>
              <w:widowControl w:val="0"/>
              <w:jc w:val="center"/>
            </w:pPr>
            <w:r>
              <w:rPr>
                <w:vanish/>
              </w:rPr>
              <w:t>(ženklas)</w:t>
            </w:r>
          </w:p>
        </w:tc>
        <w:tc>
          <w:tcPr>
            <w:tcW w:w="903" w:type="dxa"/>
            <w:tcBorders>
              <w:bottom w:val="nil"/>
            </w:tcBorders>
          </w:tcPr>
          <w:p>
            <w:pPr>
              <w:widowControl w:val="0"/>
              <w:jc w:val="center"/>
            </w:pPr>
            <w:r>
              <w:t>1</w:t>
            </w:r>
          </w:p>
        </w:tc>
        <w:tc>
          <w:tcPr>
            <w:tcW w:w="786" w:type="dxa"/>
            <w:tcBorders>
              <w:bottom w:val="nil"/>
            </w:tcBorders>
          </w:tcPr>
          <w:p>
            <w:pPr>
              <w:widowControl w:val="0"/>
              <w:jc w:val="center"/>
            </w:pPr>
            <w:r>
              <w:t>1,00</w:t>
            </w:r>
          </w:p>
        </w:tc>
        <w:tc>
          <w:tcPr>
            <w:tcW w:w="787" w:type="dxa"/>
            <w:tcBorders>
              <w:bottom w:val="nil"/>
            </w:tcBorders>
          </w:tcPr>
          <w:p>
            <w:pPr>
              <w:widowControl w:val="0"/>
              <w:jc w:val="center"/>
            </w:pPr>
            <w:r>
              <w:t>0,91</w:t>
            </w:r>
          </w:p>
        </w:tc>
        <w:tc>
          <w:tcPr>
            <w:tcW w:w="787" w:type="dxa"/>
            <w:tcBorders>
              <w:bottom w:val="nil"/>
            </w:tcBorders>
          </w:tcPr>
          <w:p>
            <w:pPr>
              <w:widowControl w:val="0"/>
              <w:jc w:val="center"/>
            </w:pPr>
            <w:r>
              <w:t>0,89</w:t>
            </w:r>
          </w:p>
        </w:tc>
        <w:tc>
          <w:tcPr>
            <w:tcW w:w="1878" w:type="dxa"/>
            <w:vMerge/>
            <w:vAlign w:val="center"/>
          </w:tcPr>
          <w:p>
            <w:pPr>
              <w:widowControl w:val="0"/>
            </w:pPr>
          </w:p>
        </w:tc>
      </w:tr>
      <w:tr>
        <w:trPr>
          <w:cantSplit/>
          <w:trHeight w:val="990"/>
        </w:trPr>
        <w:tc>
          <w:tcPr>
            <w:tcW w:w="1480" w:type="dxa"/>
            <w:vMerge/>
            <w:vAlign w:val="center"/>
          </w:tcPr>
          <w:p>
            <w:pPr>
              <w:widowControl w:val="0"/>
            </w:pPr>
          </w:p>
        </w:tc>
        <w:tc>
          <w:tcPr>
            <w:tcW w:w="364" w:type="dxa"/>
            <w:vMerge/>
            <w:tcBorders>
              <w:bottom w:val="single" w:sz="2" w:space="0" w:color="auto"/>
            </w:tcBorders>
            <w:vAlign w:val="center"/>
          </w:tcPr>
          <w:p>
            <w:pPr>
              <w:widowControl w:val="0"/>
              <w:jc w:val="center"/>
            </w:pPr>
          </w:p>
        </w:tc>
        <w:tc>
          <w:tcPr>
            <w:tcW w:w="1803" w:type="dxa"/>
            <w:vMerge/>
            <w:vAlign w:val="center"/>
          </w:tcPr>
          <w:p>
            <w:pPr>
              <w:widowControl w:val="0"/>
              <w:jc w:val="center"/>
            </w:pPr>
          </w:p>
        </w:tc>
        <w:tc>
          <w:tcPr>
            <w:tcW w:w="903" w:type="dxa"/>
            <w:tcBorders>
              <w:top w:val="nil"/>
              <w:bottom w:val="single" w:sz="2" w:space="0" w:color="auto"/>
            </w:tcBorders>
          </w:tcPr>
          <w:p>
            <w:pPr>
              <w:widowControl w:val="0"/>
              <w:jc w:val="center"/>
            </w:pPr>
            <w:r>
              <w:t>2</w:t>
            </w:r>
          </w:p>
        </w:tc>
        <w:tc>
          <w:tcPr>
            <w:tcW w:w="786" w:type="dxa"/>
            <w:tcBorders>
              <w:top w:val="nil"/>
              <w:bottom w:val="single" w:sz="2" w:space="0" w:color="auto"/>
            </w:tcBorders>
          </w:tcPr>
          <w:p>
            <w:pPr>
              <w:widowControl w:val="0"/>
              <w:jc w:val="center"/>
            </w:pPr>
            <w:r>
              <w:t>1,00</w:t>
            </w:r>
          </w:p>
        </w:tc>
        <w:tc>
          <w:tcPr>
            <w:tcW w:w="787" w:type="dxa"/>
            <w:tcBorders>
              <w:top w:val="nil"/>
              <w:bottom w:val="single" w:sz="2" w:space="0" w:color="auto"/>
            </w:tcBorders>
          </w:tcPr>
          <w:p>
            <w:pPr>
              <w:widowControl w:val="0"/>
              <w:jc w:val="center"/>
            </w:pPr>
            <w:r>
              <w:t>0,90</w:t>
            </w:r>
          </w:p>
        </w:tc>
        <w:tc>
          <w:tcPr>
            <w:tcW w:w="787" w:type="dxa"/>
            <w:tcBorders>
              <w:top w:val="nil"/>
              <w:bottom w:val="single" w:sz="2" w:space="0" w:color="auto"/>
            </w:tcBorders>
          </w:tcPr>
          <w:p>
            <w:pPr>
              <w:widowControl w:val="0"/>
              <w:jc w:val="center"/>
            </w:pPr>
            <w:r>
              <w:t>0,86</w:t>
            </w:r>
          </w:p>
        </w:tc>
        <w:tc>
          <w:tcPr>
            <w:tcW w:w="1878" w:type="dxa"/>
            <w:vMerge/>
            <w:vAlign w:val="center"/>
          </w:tcPr>
          <w:p>
            <w:pPr>
              <w:widowControl w:val="0"/>
            </w:pPr>
          </w:p>
        </w:tc>
      </w:tr>
      <w:tr>
        <w:trPr>
          <w:cantSplit/>
          <w:trHeight w:val="345"/>
        </w:trPr>
        <w:tc>
          <w:tcPr>
            <w:tcW w:w="1480" w:type="dxa"/>
            <w:vMerge w:val="restart"/>
            <w:vAlign w:val="center"/>
          </w:tcPr>
          <w:p>
            <w:pPr>
              <w:widowControl w:val="0"/>
            </w:pPr>
            <w:r>
              <w:t>Kopėčių tipo atraminės konstrukcijos, gembės ir pan.*</w:t>
            </w:r>
          </w:p>
        </w:tc>
        <w:tc>
          <w:tcPr>
            <w:tcW w:w="364" w:type="dxa"/>
            <w:tcBorders>
              <w:bottom w:val="nil"/>
            </w:tcBorders>
          </w:tcPr>
          <w:p>
            <w:pPr>
              <w:widowControl w:val="0"/>
              <w:jc w:val="center"/>
            </w:pPr>
            <w:r>
              <w:t>14</w:t>
            </w:r>
          </w:p>
        </w:tc>
        <w:tc>
          <w:tcPr>
            <w:tcW w:w="1803" w:type="dxa"/>
            <w:vMerge w:val="restart"/>
            <w:vAlign w:val="center"/>
          </w:tcPr>
          <w:p>
            <w:pPr>
              <w:widowControl w:val="0"/>
              <w:jc w:val="center"/>
            </w:pPr>
            <w:r>
              <w:object w:dxaOrig="1335" w:dyaOrig="735">
                <v:shape id="_x0000_i1117" type="#_x0000_t75" style="width:66.4pt;height:36.8pt" o:ole="">
                  <v:imagedata r:id="rId298" o:title=""/>
                </v:shape>
                <o:OLEObject Type="Embed" ProgID="Word.Picture.8" ShapeID="_x0000_i1117" DrawAspect="Content" ObjectID="_0000000001" r:id="rId299"/>
              </w:object>
            </w:r>
          </w:p>
          <w:p>
            <w:pPr>
              <w:widowControl w:val="0"/>
              <w:jc w:val="center"/>
            </w:pPr>
            <w:r>
              <w:rPr>
                <w:vanish/>
              </w:rPr>
              <w:t>(ženklas)</w:t>
            </w:r>
          </w:p>
        </w:tc>
        <w:tc>
          <w:tcPr>
            <w:tcW w:w="903" w:type="dxa"/>
            <w:tcBorders>
              <w:bottom w:val="nil"/>
            </w:tcBorders>
          </w:tcPr>
          <w:p>
            <w:pPr>
              <w:widowControl w:val="0"/>
              <w:jc w:val="center"/>
            </w:pPr>
            <w:r>
              <w:t>1</w:t>
            </w:r>
          </w:p>
        </w:tc>
        <w:tc>
          <w:tcPr>
            <w:tcW w:w="786" w:type="dxa"/>
            <w:tcBorders>
              <w:bottom w:val="nil"/>
            </w:tcBorders>
          </w:tcPr>
          <w:p>
            <w:pPr>
              <w:widowControl w:val="0"/>
              <w:jc w:val="center"/>
            </w:pPr>
            <w:r>
              <w:t>1,00</w:t>
            </w:r>
          </w:p>
        </w:tc>
        <w:tc>
          <w:tcPr>
            <w:tcW w:w="787" w:type="dxa"/>
            <w:tcBorders>
              <w:bottom w:val="nil"/>
            </w:tcBorders>
          </w:tcPr>
          <w:p>
            <w:pPr>
              <w:widowControl w:val="0"/>
              <w:jc w:val="center"/>
            </w:pPr>
            <w:r>
              <w:t>1,00</w:t>
            </w:r>
          </w:p>
        </w:tc>
        <w:tc>
          <w:tcPr>
            <w:tcW w:w="787" w:type="dxa"/>
            <w:tcBorders>
              <w:bottom w:val="nil"/>
            </w:tcBorders>
          </w:tcPr>
          <w:p>
            <w:pPr>
              <w:widowControl w:val="0"/>
              <w:jc w:val="center"/>
            </w:pPr>
            <w:r>
              <w:t>1,00</w:t>
            </w:r>
          </w:p>
        </w:tc>
        <w:tc>
          <w:tcPr>
            <w:tcW w:w="1878" w:type="dxa"/>
            <w:vMerge w:val="restart"/>
            <w:vAlign w:val="center"/>
          </w:tcPr>
          <w:p>
            <w:pPr>
              <w:widowControl w:val="0"/>
            </w:pPr>
            <w:r>
              <w:t>trys kabeliai dobilo lapo forma</w:t>
            </w:r>
          </w:p>
        </w:tc>
      </w:tr>
      <w:tr>
        <w:trPr>
          <w:cantSplit/>
          <w:trHeight w:val="345"/>
        </w:trPr>
        <w:tc>
          <w:tcPr>
            <w:tcW w:w="1480" w:type="dxa"/>
            <w:vMerge/>
            <w:vAlign w:val="center"/>
          </w:tcPr>
          <w:p>
            <w:pPr>
              <w:widowControl w:val="0"/>
            </w:pPr>
          </w:p>
        </w:tc>
        <w:tc>
          <w:tcPr>
            <w:tcW w:w="364" w:type="dxa"/>
            <w:vMerge w:val="restart"/>
            <w:tcBorders>
              <w:top w:val="nil"/>
              <w:bottom w:val="nil"/>
            </w:tcBorders>
          </w:tcPr>
          <w:p>
            <w:pPr>
              <w:widowControl w:val="0"/>
              <w:jc w:val="center"/>
            </w:pPr>
            <w:r>
              <w:t>15</w:t>
            </w:r>
          </w:p>
        </w:tc>
        <w:tc>
          <w:tcPr>
            <w:tcW w:w="1803" w:type="dxa"/>
            <w:vMerge/>
            <w:vAlign w:val="center"/>
          </w:tcPr>
          <w:p>
            <w:pPr>
              <w:widowControl w:val="0"/>
              <w:jc w:val="center"/>
            </w:pPr>
          </w:p>
        </w:tc>
        <w:tc>
          <w:tcPr>
            <w:tcW w:w="903" w:type="dxa"/>
            <w:tcBorders>
              <w:top w:val="nil"/>
              <w:bottom w:val="nil"/>
            </w:tcBorders>
          </w:tcPr>
          <w:p>
            <w:pPr>
              <w:widowControl w:val="0"/>
              <w:jc w:val="center"/>
            </w:pPr>
            <w:r>
              <w:t>2</w:t>
            </w:r>
          </w:p>
        </w:tc>
        <w:tc>
          <w:tcPr>
            <w:tcW w:w="786" w:type="dxa"/>
            <w:tcBorders>
              <w:top w:val="nil"/>
              <w:bottom w:val="nil"/>
            </w:tcBorders>
          </w:tcPr>
          <w:p>
            <w:pPr>
              <w:widowControl w:val="0"/>
              <w:jc w:val="center"/>
            </w:pPr>
            <w:r>
              <w:t>0,97</w:t>
            </w:r>
          </w:p>
        </w:tc>
        <w:tc>
          <w:tcPr>
            <w:tcW w:w="787" w:type="dxa"/>
            <w:tcBorders>
              <w:top w:val="nil"/>
              <w:bottom w:val="nil"/>
            </w:tcBorders>
          </w:tcPr>
          <w:p>
            <w:pPr>
              <w:widowControl w:val="0"/>
              <w:jc w:val="center"/>
            </w:pPr>
            <w:r>
              <w:t>0,95</w:t>
            </w:r>
          </w:p>
        </w:tc>
        <w:tc>
          <w:tcPr>
            <w:tcW w:w="787" w:type="dxa"/>
            <w:tcBorders>
              <w:top w:val="nil"/>
              <w:bottom w:val="nil"/>
            </w:tcBorders>
          </w:tcPr>
          <w:p>
            <w:pPr>
              <w:widowControl w:val="0"/>
              <w:jc w:val="center"/>
            </w:pPr>
            <w:r>
              <w:t>0,93</w:t>
            </w:r>
          </w:p>
        </w:tc>
        <w:tc>
          <w:tcPr>
            <w:tcW w:w="1878" w:type="dxa"/>
            <w:vMerge/>
            <w:vAlign w:val="center"/>
          </w:tcPr>
          <w:p>
            <w:pPr>
              <w:widowControl w:val="0"/>
            </w:pPr>
          </w:p>
        </w:tc>
      </w:tr>
      <w:tr>
        <w:trPr>
          <w:cantSplit/>
          <w:trHeight w:val="285"/>
        </w:trPr>
        <w:tc>
          <w:tcPr>
            <w:tcW w:w="1480" w:type="dxa"/>
            <w:vMerge/>
            <w:vAlign w:val="center"/>
          </w:tcPr>
          <w:p>
            <w:pPr>
              <w:widowControl w:val="0"/>
            </w:pPr>
          </w:p>
        </w:tc>
        <w:tc>
          <w:tcPr>
            <w:tcW w:w="364" w:type="dxa"/>
            <w:vMerge/>
            <w:tcBorders>
              <w:bottom w:val="nil"/>
            </w:tcBorders>
          </w:tcPr>
          <w:p>
            <w:pPr>
              <w:widowControl w:val="0"/>
              <w:jc w:val="center"/>
            </w:pPr>
          </w:p>
        </w:tc>
        <w:tc>
          <w:tcPr>
            <w:tcW w:w="1803" w:type="dxa"/>
            <w:vMerge/>
            <w:vAlign w:val="center"/>
          </w:tcPr>
          <w:p>
            <w:pPr>
              <w:widowControl w:val="0"/>
              <w:jc w:val="center"/>
            </w:pPr>
          </w:p>
        </w:tc>
        <w:tc>
          <w:tcPr>
            <w:tcW w:w="903" w:type="dxa"/>
            <w:vMerge w:val="restart"/>
            <w:tcBorders>
              <w:top w:val="nil"/>
            </w:tcBorders>
          </w:tcPr>
          <w:p>
            <w:pPr>
              <w:widowControl w:val="0"/>
              <w:jc w:val="center"/>
            </w:pPr>
            <w:r>
              <w:t>3</w:t>
            </w:r>
          </w:p>
        </w:tc>
        <w:tc>
          <w:tcPr>
            <w:tcW w:w="786" w:type="dxa"/>
            <w:vMerge w:val="restart"/>
            <w:tcBorders>
              <w:top w:val="nil"/>
            </w:tcBorders>
          </w:tcPr>
          <w:p>
            <w:pPr>
              <w:widowControl w:val="0"/>
              <w:jc w:val="center"/>
            </w:pPr>
            <w:r>
              <w:t>0,96</w:t>
            </w:r>
          </w:p>
        </w:tc>
        <w:tc>
          <w:tcPr>
            <w:tcW w:w="787" w:type="dxa"/>
            <w:vMerge w:val="restart"/>
            <w:tcBorders>
              <w:top w:val="nil"/>
            </w:tcBorders>
          </w:tcPr>
          <w:p>
            <w:pPr>
              <w:widowControl w:val="0"/>
              <w:jc w:val="center"/>
            </w:pPr>
            <w:r>
              <w:t>0,94</w:t>
            </w:r>
          </w:p>
        </w:tc>
        <w:tc>
          <w:tcPr>
            <w:tcW w:w="787" w:type="dxa"/>
            <w:vMerge w:val="restart"/>
            <w:tcBorders>
              <w:top w:val="nil"/>
            </w:tcBorders>
          </w:tcPr>
          <w:p>
            <w:pPr>
              <w:widowControl w:val="0"/>
              <w:jc w:val="center"/>
            </w:pPr>
            <w:r>
              <w:t>0,90</w:t>
            </w:r>
          </w:p>
        </w:tc>
        <w:tc>
          <w:tcPr>
            <w:tcW w:w="1878" w:type="dxa"/>
            <w:vMerge/>
            <w:vAlign w:val="center"/>
          </w:tcPr>
          <w:p>
            <w:pPr>
              <w:widowControl w:val="0"/>
            </w:pPr>
          </w:p>
        </w:tc>
      </w:tr>
      <w:tr>
        <w:trPr>
          <w:cantSplit/>
          <w:trHeight w:val="540"/>
        </w:trPr>
        <w:tc>
          <w:tcPr>
            <w:tcW w:w="1480" w:type="dxa"/>
            <w:vMerge/>
            <w:vAlign w:val="center"/>
          </w:tcPr>
          <w:p>
            <w:pPr>
              <w:widowControl w:val="0"/>
            </w:pPr>
          </w:p>
        </w:tc>
        <w:tc>
          <w:tcPr>
            <w:tcW w:w="364" w:type="dxa"/>
            <w:tcBorders>
              <w:top w:val="nil"/>
            </w:tcBorders>
          </w:tcPr>
          <w:p>
            <w:pPr>
              <w:widowControl w:val="0"/>
              <w:jc w:val="center"/>
            </w:pPr>
            <w:r>
              <w:t>16</w:t>
            </w:r>
          </w:p>
        </w:tc>
        <w:tc>
          <w:tcPr>
            <w:tcW w:w="1803" w:type="dxa"/>
            <w:vMerge/>
            <w:vAlign w:val="center"/>
          </w:tcPr>
          <w:p>
            <w:pPr>
              <w:widowControl w:val="0"/>
              <w:jc w:val="center"/>
            </w:pPr>
          </w:p>
        </w:tc>
        <w:tc>
          <w:tcPr>
            <w:tcW w:w="903" w:type="dxa"/>
            <w:vMerge/>
          </w:tcPr>
          <w:p>
            <w:pPr>
              <w:widowControl w:val="0"/>
              <w:jc w:val="center"/>
            </w:pPr>
          </w:p>
        </w:tc>
        <w:tc>
          <w:tcPr>
            <w:tcW w:w="786" w:type="dxa"/>
            <w:vMerge/>
          </w:tcPr>
          <w:p>
            <w:pPr>
              <w:widowControl w:val="0"/>
              <w:jc w:val="center"/>
            </w:pPr>
          </w:p>
        </w:tc>
        <w:tc>
          <w:tcPr>
            <w:tcW w:w="787" w:type="dxa"/>
            <w:vMerge/>
          </w:tcPr>
          <w:p>
            <w:pPr>
              <w:widowControl w:val="0"/>
              <w:jc w:val="center"/>
            </w:pPr>
          </w:p>
        </w:tc>
        <w:tc>
          <w:tcPr>
            <w:tcW w:w="787" w:type="dxa"/>
            <w:vMerge/>
          </w:tcPr>
          <w:p>
            <w:pPr>
              <w:widowControl w:val="0"/>
              <w:jc w:val="center"/>
            </w:pPr>
          </w:p>
        </w:tc>
        <w:tc>
          <w:tcPr>
            <w:tcW w:w="1878" w:type="dxa"/>
            <w:vMerge/>
            <w:vAlign w:val="center"/>
          </w:tcPr>
          <w:p>
            <w:pPr>
              <w:widowControl w:val="0"/>
            </w:pPr>
          </w:p>
        </w:tc>
      </w:tr>
    </w:tbl>
    <w:p>
      <w:pPr>
        <w:ind w:firstLine="567"/>
        <w:jc w:val="both"/>
        <w:rPr>
          <w:lang w:val="en-GB"/>
        </w:rPr>
      </w:pPr>
    </w:p>
    <w:p>
      <w:pPr>
        <w:widowControl w:val="0"/>
        <w:ind w:firstLine="567"/>
        <w:jc w:val="both"/>
      </w:pPr>
      <w:r>
        <w:t>*Pateiktos koeficientų vertės taikytinos esant ne mažesniam kaip 300 mm vertikaliam atstumui tarp lentynų ir ne mažesniam kaip 20 mm atstumui iki sienų.</w:t>
      </w:r>
    </w:p>
    <w:p>
      <w:pPr>
        <w:widowControl w:val="0"/>
        <w:ind w:firstLine="567"/>
        <w:jc w:val="both"/>
      </w:pPr>
      <w:r>
        <w:t>**Pateiktos koeficientų vertės taikytinos esant ne mažesniam kaip 225 mm horizontaliam atstumui tarp priešpriešais sumontuotų lentynų.</w:t>
      </w:r>
    </w:p>
    <w:p>
      <w:pPr>
        <w:widowControl w:val="0"/>
        <w:ind w:firstLine="567"/>
        <w:jc w:val="both"/>
      </w:pPr>
    </w:p>
    <w:p>
      <w:pPr>
        <w:widowControl w:val="0"/>
        <w:ind w:firstLine="567"/>
        <w:jc w:val="both"/>
      </w:pPr>
      <w:r>
        <w:t>PASTABA. Pataisos koeficientai taikomi vienu sluoksniu arba dobilo lapo forma tiesiamiems kabeliams.</w:t>
      </w:r>
    </w:p>
    <w:p>
      <w:pPr>
        <w:widowControl w:val="0"/>
        <w:ind w:firstLine="567"/>
        <w:jc w:val="both"/>
      </w:pPr>
    </w:p>
    <w:p>
      <w:pPr>
        <w:widowControl w:val="0"/>
        <w:ind w:firstLine="567"/>
        <w:jc w:val="both"/>
        <w:rPr>
          <w:b/>
        </w:rPr>
      </w:pPr>
      <w:r>
        <w:rPr>
          <w:b/>
        </w:rPr>
        <w:t>17 lentelė. Neizoliuotų laidų leistinoji ilgalaikė srovė</w:t>
      </w:r>
    </w:p>
    <w:p>
      <w:pPr>
        <w:widowControl w:val="0"/>
        <w:ind w:firstLine="567"/>
        <w:jc w:val="both"/>
      </w:pPr>
    </w:p>
    <w:p>
      <w:pPr>
        <w:widowControl w:val="0"/>
        <w:ind w:firstLine="567"/>
        <w:jc w:val="both"/>
      </w:pPr>
      <w:r>
        <w:t xml:space="preserve">Temperatūra: laidų +70 </w:t>
      </w:r>
      <w:r>
        <w:rPr>
          <w:vertAlign w:val="superscript"/>
        </w:rPr>
        <w:t>o</w:t>
      </w:r>
      <w:r>
        <w:t xml:space="preserve">C, oro +25 </w:t>
      </w:r>
      <w:r>
        <w:rPr>
          <w:vertAlign w:val="superscript"/>
        </w:rPr>
        <w:t>o</w:t>
      </w:r>
      <w:r>
        <w:t>C.</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1" w:type="dxa"/>
          <w:right w:w="51" w:type="dxa"/>
        </w:tblCellMar>
        <w:tblLook w:val="0000" w:firstRow="0" w:lastRow="0" w:firstColumn="0" w:lastColumn="0" w:noHBand="0" w:noVBand="0"/>
      </w:tblPr>
      <w:tblGrid>
        <w:gridCol w:w="1088"/>
        <w:gridCol w:w="1459"/>
        <w:gridCol w:w="914"/>
        <w:gridCol w:w="1271"/>
        <w:gridCol w:w="986"/>
        <w:gridCol w:w="1179"/>
        <w:gridCol w:w="942"/>
        <w:gridCol w:w="1231"/>
      </w:tblGrid>
      <w:tr>
        <w:trPr>
          <w:cantSplit/>
          <w:trHeight w:val="844"/>
          <w:tblHeader/>
        </w:trPr>
        <w:tc>
          <w:tcPr>
            <w:tcW w:w="782" w:type="dxa"/>
            <w:vMerge w:val="restart"/>
            <w:vAlign w:val="center"/>
          </w:tcPr>
          <w:p>
            <w:pPr>
              <w:widowControl w:val="0"/>
              <w:jc w:val="center"/>
            </w:pPr>
            <w:r>
              <w:t>Laido skerspjūvis,</w:t>
            </w:r>
          </w:p>
          <w:p>
            <w:pPr>
              <w:widowControl w:val="0"/>
              <w:jc w:val="center"/>
            </w:pPr>
            <w:r>
              <w:t>mm</w:t>
            </w:r>
            <w:r>
              <w:rPr>
                <w:vertAlign w:val="superscript"/>
              </w:rPr>
              <w:t>2</w:t>
            </w:r>
          </w:p>
        </w:tc>
        <w:tc>
          <w:tcPr>
            <w:tcW w:w="1049" w:type="dxa"/>
            <w:vMerge w:val="restart"/>
            <w:vAlign w:val="center"/>
          </w:tcPr>
          <w:p>
            <w:pPr>
              <w:widowControl w:val="0"/>
              <w:jc w:val="center"/>
            </w:pPr>
            <w:r>
              <w:t>Skerspjūvis</w:t>
            </w:r>
          </w:p>
          <w:p>
            <w:pPr>
              <w:widowControl w:val="0"/>
              <w:jc w:val="center"/>
            </w:pPr>
            <w:r>
              <w:t>Al/Pl, mm</w:t>
            </w:r>
            <w:r>
              <w:rPr>
                <w:vertAlign w:val="superscript"/>
              </w:rPr>
              <w:t>2</w:t>
            </w:r>
          </w:p>
        </w:tc>
        <w:tc>
          <w:tcPr>
            <w:tcW w:w="4690" w:type="dxa"/>
            <w:gridSpan w:val="6"/>
            <w:vAlign w:val="center"/>
          </w:tcPr>
          <w:p>
            <w:pPr>
              <w:widowControl w:val="0"/>
              <w:jc w:val="center"/>
            </w:pPr>
            <w:r>
              <w:t>Leistinoji ilgalaikė srovė, A</w:t>
            </w:r>
          </w:p>
        </w:tc>
      </w:tr>
      <w:tr>
        <w:trPr>
          <w:cantSplit/>
          <w:trHeight w:val="20"/>
          <w:tblHeader/>
        </w:trPr>
        <w:tc>
          <w:tcPr>
            <w:tcW w:w="782" w:type="dxa"/>
            <w:vMerge/>
            <w:vAlign w:val="center"/>
          </w:tcPr>
          <w:p>
            <w:pPr>
              <w:widowControl w:val="0"/>
              <w:jc w:val="center"/>
            </w:pPr>
          </w:p>
        </w:tc>
        <w:tc>
          <w:tcPr>
            <w:tcW w:w="1049" w:type="dxa"/>
            <w:vMerge/>
            <w:vAlign w:val="center"/>
          </w:tcPr>
          <w:p>
            <w:pPr>
              <w:widowControl w:val="0"/>
              <w:jc w:val="center"/>
            </w:pPr>
          </w:p>
        </w:tc>
        <w:tc>
          <w:tcPr>
            <w:tcW w:w="1571" w:type="dxa"/>
            <w:gridSpan w:val="2"/>
            <w:vAlign w:val="center"/>
          </w:tcPr>
          <w:p>
            <w:pPr>
              <w:widowControl w:val="0"/>
              <w:jc w:val="center"/>
            </w:pPr>
            <w:r>
              <w:t>Plieninių ir aliumininių laidų</w:t>
            </w:r>
          </w:p>
        </w:tc>
        <w:tc>
          <w:tcPr>
            <w:tcW w:w="1557" w:type="dxa"/>
            <w:gridSpan w:val="2"/>
            <w:vAlign w:val="center"/>
          </w:tcPr>
          <w:p>
            <w:pPr>
              <w:widowControl w:val="0"/>
              <w:jc w:val="center"/>
            </w:pPr>
            <w:r>
              <w:t>varinių laidų</w:t>
            </w:r>
          </w:p>
        </w:tc>
        <w:tc>
          <w:tcPr>
            <w:tcW w:w="1562" w:type="dxa"/>
            <w:gridSpan w:val="2"/>
            <w:vAlign w:val="center"/>
          </w:tcPr>
          <w:p>
            <w:pPr>
              <w:widowControl w:val="0"/>
              <w:jc w:val="center"/>
            </w:pPr>
            <w:r>
              <w:t>aliumininių laidų</w:t>
            </w:r>
          </w:p>
        </w:tc>
      </w:tr>
      <w:tr>
        <w:trPr>
          <w:cantSplit/>
          <w:trHeight w:val="20"/>
          <w:tblHeader/>
        </w:trPr>
        <w:tc>
          <w:tcPr>
            <w:tcW w:w="782" w:type="dxa"/>
            <w:vMerge/>
            <w:vAlign w:val="center"/>
          </w:tcPr>
          <w:p>
            <w:pPr>
              <w:widowControl w:val="0"/>
              <w:jc w:val="center"/>
            </w:pPr>
          </w:p>
        </w:tc>
        <w:tc>
          <w:tcPr>
            <w:tcW w:w="1049" w:type="dxa"/>
            <w:vMerge/>
            <w:vAlign w:val="center"/>
          </w:tcPr>
          <w:p>
            <w:pPr>
              <w:widowControl w:val="0"/>
              <w:jc w:val="center"/>
            </w:pPr>
          </w:p>
        </w:tc>
        <w:tc>
          <w:tcPr>
            <w:tcW w:w="657" w:type="dxa"/>
            <w:vAlign w:val="center"/>
          </w:tcPr>
          <w:p>
            <w:pPr>
              <w:widowControl w:val="0"/>
              <w:jc w:val="center"/>
            </w:pPr>
            <w:r>
              <w:t>ore</w:t>
            </w:r>
          </w:p>
        </w:tc>
        <w:tc>
          <w:tcPr>
            <w:tcW w:w="914" w:type="dxa"/>
            <w:vAlign w:val="center"/>
          </w:tcPr>
          <w:p>
            <w:pPr>
              <w:widowControl w:val="0"/>
              <w:jc w:val="center"/>
            </w:pPr>
            <w:r>
              <w:t>patalpoje</w:t>
            </w:r>
          </w:p>
        </w:tc>
        <w:tc>
          <w:tcPr>
            <w:tcW w:w="709" w:type="dxa"/>
            <w:vAlign w:val="center"/>
          </w:tcPr>
          <w:p>
            <w:pPr>
              <w:widowControl w:val="0"/>
              <w:jc w:val="center"/>
            </w:pPr>
            <w:r>
              <w:t>ore</w:t>
            </w:r>
          </w:p>
        </w:tc>
        <w:tc>
          <w:tcPr>
            <w:tcW w:w="848" w:type="dxa"/>
            <w:vAlign w:val="center"/>
          </w:tcPr>
          <w:p>
            <w:pPr>
              <w:widowControl w:val="0"/>
              <w:jc w:val="center"/>
            </w:pPr>
            <w:r>
              <w:t>patalpoje</w:t>
            </w:r>
          </w:p>
        </w:tc>
        <w:tc>
          <w:tcPr>
            <w:tcW w:w="677" w:type="dxa"/>
            <w:vAlign w:val="center"/>
          </w:tcPr>
          <w:p>
            <w:pPr>
              <w:widowControl w:val="0"/>
              <w:jc w:val="center"/>
            </w:pPr>
            <w:r>
              <w:t>ore</w:t>
            </w:r>
          </w:p>
        </w:tc>
        <w:tc>
          <w:tcPr>
            <w:tcW w:w="885" w:type="dxa"/>
            <w:vAlign w:val="center"/>
          </w:tcPr>
          <w:p>
            <w:pPr>
              <w:widowControl w:val="0"/>
              <w:jc w:val="center"/>
            </w:pPr>
            <w:r>
              <w:t>patalpoje</w:t>
            </w:r>
          </w:p>
        </w:tc>
      </w:tr>
      <w:tr>
        <w:trPr>
          <w:cantSplit/>
          <w:trHeight w:val="20"/>
        </w:trPr>
        <w:tc>
          <w:tcPr>
            <w:tcW w:w="782" w:type="dxa"/>
            <w:vAlign w:val="center"/>
          </w:tcPr>
          <w:p>
            <w:pPr>
              <w:widowControl w:val="0"/>
              <w:jc w:val="center"/>
            </w:pPr>
            <w:r>
              <w:t>10</w:t>
            </w:r>
          </w:p>
        </w:tc>
        <w:tc>
          <w:tcPr>
            <w:tcW w:w="1049" w:type="dxa"/>
            <w:vAlign w:val="center"/>
          </w:tcPr>
          <w:p>
            <w:pPr>
              <w:widowControl w:val="0"/>
              <w:jc w:val="center"/>
            </w:pPr>
            <w:r>
              <w:t>10/1,8</w:t>
            </w:r>
          </w:p>
        </w:tc>
        <w:tc>
          <w:tcPr>
            <w:tcW w:w="657" w:type="dxa"/>
            <w:vAlign w:val="center"/>
          </w:tcPr>
          <w:p>
            <w:pPr>
              <w:widowControl w:val="0"/>
              <w:jc w:val="center"/>
            </w:pPr>
            <w:r>
              <w:t>84</w:t>
            </w:r>
          </w:p>
        </w:tc>
        <w:tc>
          <w:tcPr>
            <w:tcW w:w="914" w:type="dxa"/>
            <w:vAlign w:val="center"/>
          </w:tcPr>
          <w:p>
            <w:pPr>
              <w:widowControl w:val="0"/>
              <w:jc w:val="center"/>
            </w:pPr>
            <w:r>
              <w:t>53</w:t>
            </w:r>
          </w:p>
        </w:tc>
        <w:tc>
          <w:tcPr>
            <w:tcW w:w="709" w:type="dxa"/>
            <w:vAlign w:val="center"/>
          </w:tcPr>
          <w:p>
            <w:pPr>
              <w:widowControl w:val="0"/>
              <w:jc w:val="center"/>
            </w:pPr>
            <w:r>
              <w:t>95</w:t>
            </w:r>
          </w:p>
        </w:tc>
        <w:tc>
          <w:tcPr>
            <w:tcW w:w="848" w:type="dxa"/>
            <w:vAlign w:val="center"/>
          </w:tcPr>
          <w:p>
            <w:pPr>
              <w:widowControl w:val="0"/>
              <w:jc w:val="center"/>
            </w:pPr>
            <w:r>
              <w:t>60</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16</w:t>
            </w:r>
          </w:p>
        </w:tc>
        <w:tc>
          <w:tcPr>
            <w:tcW w:w="1049" w:type="dxa"/>
            <w:vAlign w:val="center"/>
          </w:tcPr>
          <w:p>
            <w:pPr>
              <w:widowControl w:val="0"/>
              <w:jc w:val="center"/>
            </w:pPr>
            <w:r>
              <w:t>16/2,7</w:t>
            </w:r>
          </w:p>
        </w:tc>
        <w:tc>
          <w:tcPr>
            <w:tcW w:w="657" w:type="dxa"/>
            <w:vAlign w:val="center"/>
          </w:tcPr>
          <w:p>
            <w:pPr>
              <w:widowControl w:val="0"/>
              <w:jc w:val="center"/>
            </w:pPr>
            <w:r>
              <w:t>111</w:t>
            </w:r>
          </w:p>
        </w:tc>
        <w:tc>
          <w:tcPr>
            <w:tcW w:w="914" w:type="dxa"/>
            <w:vAlign w:val="center"/>
          </w:tcPr>
          <w:p>
            <w:pPr>
              <w:widowControl w:val="0"/>
              <w:jc w:val="center"/>
            </w:pPr>
            <w:r>
              <w:t>79</w:t>
            </w:r>
          </w:p>
        </w:tc>
        <w:tc>
          <w:tcPr>
            <w:tcW w:w="709" w:type="dxa"/>
            <w:vAlign w:val="center"/>
          </w:tcPr>
          <w:p>
            <w:pPr>
              <w:widowControl w:val="0"/>
              <w:jc w:val="center"/>
            </w:pPr>
            <w:r>
              <w:t>133</w:t>
            </w:r>
          </w:p>
        </w:tc>
        <w:tc>
          <w:tcPr>
            <w:tcW w:w="848" w:type="dxa"/>
            <w:vAlign w:val="center"/>
          </w:tcPr>
          <w:p>
            <w:pPr>
              <w:widowControl w:val="0"/>
              <w:jc w:val="center"/>
            </w:pPr>
            <w:r>
              <w:t>102</w:t>
            </w:r>
          </w:p>
        </w:tc>
        <w:tc>
          <w:tcPr>
            <w:tcW w:w="677" w:type="dxa"/>
            <w:vAlign w:val="center"/>
          </w:tcPr>
          <w:p>
            <w:pPr>
              <w:widowControl w:val="0"/>
              <w:jc w:val="center"/>
            </w:pPr>
            <w:r>
              <w:t>105</w:t>
            </w:r>
          </w:p>
        </w:tc>
        <w:tc>
          <w:tcPr>
            <w:tcW w:w="885" w:type="dxa"/>
            <w:vAlign w:val="center"/>
          </w:tcPr>
          <w:p>
            <w:pPr>
              <w:widowControl w:val="0"/>
              <w:jc w:val="center"/>
            </w:pPr>
            <w:r>
              <w:t>75</w:t>
            </w:r>
          </w:p>
        </w:tc>
      </w:tr>
      <w:tr>
        <w:trPr>
          <w:cantSplit/>
          <w:trHeight w:val="20"/>
        </w:trPr>
        <w:tc>
          <w:tcPr>
            <w:tcW w:w="782" w:type="dxa"/>
            <w:vAlign w:val="center"/>
          </w:tcPr>
          <w:p>
            <w:pPr>
              <w:widowControl w:val="0"/>
              <w:jc w:val="center"/>
            </w:pPr>
            <w:r>
              <w:t>25</w:t>
            </w:r>
          </w:p>
        </w:tc>
        <w:tc>
          <w:tcPr>
            <w:tcW w:w="1049" w:type="dxa"/>
            <w:vAlign w:val="center"/>
          </w:tcPr>
          <w:p>
            <w:pPr>
              <w:widowControl w:val="0"/>
              <w:jc w:val="center"/>
            </w:pPr>
            <w:r>
              <w:t>25/4,7</w:t>
            </w:r>
          </w:p>
        </w:tc>
        <w:tc>
          <w:tcPr>
            <w:tcW w:w="657" w:type="dxa"/>
            <w:vAlign w:val="center"/>
          </w:tcPr>
          <w:p>
            <w:pPr>
              <w:widowControl w:val="0"/>
              <w:jc w:val="center"/>
            </w:pPr>
            <w:r>
              <w:t>142</w:t>
            </w:r>
          </w:p>
        </w:tc>
        <w:tc>
          <w:tcPr>
            <w:tcW w:w="914" w:type="dxa"/>
            <w:vAlign w:val="center"/>
          </w:tcPr>
          <w:p>
            <w:pPr>
              <w:widowControl w:val="0"/>
              <w:jc w:val="center"/>
            </w:pPr>
            <w:r>
              <w:t>109</w:t>
            </w:r>
          </w:p>
        </w:tc>
        <w:tc>
          <w:tcPr>
            <w:tcW w:w="709" w:type="dxa"/>
            <w:vAlign w:val="center"/>
          </w:tcPr>
          <w:p>
            <w:pPr>
              <w:widowControl w:val="0"/>
              <w:jc w:val="center"/>
            </w:pPr>
            <w:r>
              <w:t>183</w:t>
            </w:r>
          </w:p>
        </w:tc>
        <w:tc>
          <w:tcPr>
            <w:tcW w:w="848" w:type="dxa"/>
            <w:vAlign w:val="center"/>
          </w:tcPr>
          <w:p>
            <w:pPr>
              <w:widowControl w:val="0"/>
              <w:jc w:val="center"/>
            </w:pPr>
            <w:r>
              <w:t>137</w:t>
            </w:r>
          </w:p>
        </w:tc>
        <w:tc>
          <w:tcPr>
            <w:tcW w:w="677" w:type="dxa"/>
            <w:vAlign w:val="center"/>
          </w:tcPr>
          <w:p>
            <w:pPr>
              <w:widowControl w:val="0"/>
              <w:jc w:val="center"/>
            </w:pPr>
            <w:r>
              <w:t>136</w:t>
            </w:r>
          </w:p>
        </w:tc>
        <w:tc>
          <w:tcPr>
            <w:tcW w:w="885" w:type="dxa"/>
            <w:vAlign w:val="center"/>
          </w:tcPr>
          <w:p>
            <w:pPr>
              <w:widowControl w:val="0"/>
              <w:jc w:val="center"/>
            </w:pPr>
            <w:r>
              <w:t>106</w:t>
            </w:r>
          </w:p>
        </w:tc>
      </w:tr>
      <w:tr>
        <w:trPr>
          <w:cantSplit/>
          <w:trHeight w:val="20"/>
        </w:trPr>
        <w:tc>
          <w:tcPr>
            <w:tcW w:w="782" w:type="dxa"/>
            <w:vAlign w:val="center"/>
          </w:tcPr>
          <w:p>
            <w:pPr>
              <w:widowControl w:val="0"/>
              <w:jc w:val="center"/>
            </w:pPr>
            <w:r>
              <w:t>35</w:t>
            </w:r>
          </w:p>
        </w:tc>
        <w:tc>
          <w:tcPr>
            <w:tcW w:w="1049" w:type="dxa"/>
            <w:vAlign w:val="center"/>
          </w:tcPr>
          <w:p>
            <w:pPr>
              <w:widowControl w:val="0"/>
              <w:jc w:val="center"/>
            </w:pPr>
            <w:r>
              <w:t>35/6,2</w:t>
            </w:r>
          </w:p>
        </w:tc>
        <w:tc>
          <w:tcPr>
            <w:tcW w:w="657" w:type="dxa"/>
            <w:vAlign w:val="center"/>
          </w:tcPr>
          <w:p>
            <w:pPr>
              <w:widowControl w:val="0"/>
              <w:jc w:val="center"/>
            </w:pPr>
            <w:r>
              <w:t>175</w:t>
            </w:r>
          </w:p>
        </w:tc>
        <w:tc>
          <w:tcPr>
            <w:tcW w:w="914" w:type="dxa"/>
            <w:vAlign w:val="center"/>
          </w:tcPr>
          <w:p>
            <w:pPr>
              <w:widowControl w:val="0"/>
              <w:jc w:val="center"/>
            </w:pPr>
            <w:r>
              <w:t>135</w:t>
            </w:r>
          </w:p>
        </w:tc>
        <w:tc>
          <w:tcPr>
            <w:tcW w:w="709" w:type="dxa"/>
            <w:vAlign w:val="center"/>
          </w:tcPr>
          <w:p>
            <w:pPr>
              <w:widowControl w:val="0"/>
              <w:jc w:val="center"/>
            </w:pPr>
            <w:r>
              <w:t>223</w:t>
            </w:r>
          </w:p>
        </w:tc>
        <w:tc>
          <w:tcPr>
            <w:tcW w:w="848" w:type="dxa"/>
            <w:vAlign w:val="center"/>
          </w:tcPr>
          <w:p>
            <w:pPr>
              <w:widowControl w:val="0"/>
              <w:jc w:val="center"/>
            </w:pPr>
            <w:r>
              <w:t>173</w:t>
            </w:r>
          </w:p>
        </w:tc>
        <w:tc>
          <w:tcPr>
            <w:tcW w:w="677" w:type="dxa"/>
            <w:vAlign w:val="center"/>
          </w:tcPr>
          <w:p>
            <w:pPr>
              <w:widowControl w:val="0"/>
              <w:jc w:val="center"/>
            </w:pPr>
            <w:r>
              <w:t>170</w:t>
            </w:r>
          </w:p>
        </w:tc>
        <w:tc>
          <w:tcPr>
            <w:tcW w:w="885" w:type="dxa"/>
            <w:vAlign w:val="center"/>
          </w:tcPr>
          <w:p>
            <w:pPr>
              <w:widowControl w:val="0"/>
              <w:jc w:val="center"/>
            </w:pPr>
            <w:r>
              <w:t>130</w:t>
            </w:r>
          </w:p>
        </w:tc>
      </w:tr>
      <w:tr>
        <w:trPr>
          <w:cantSplit/>
          <w:trHeight w:val="20"/>
        </w:trPr>
        <w:tc>
          <w:tcPr>
            <w:tcW w:w="782" w:type="dxa"/>
            <w:vAlign w:val="center"/>
          </w:tcPr>
          <w:p>
            <w:pPr>
              <w:widowControl w:val="0"/>
              <w:jc w:val="center"/>
            </w:pPr>
            <w:r>
              <w:t>50</w:t>
            </w:r>
          </w:p>
        </w:tc>
        <w:tc>
          <w:tcPr>
            <w:tcW w:w="1049" w:type="dxa"/>
            <w:vAlign w:val="center"/>
          </w:tcPr>
          <w:p>
            <w:pPr>
              <w:widowControl w:val="0"/>
              <w:jc w:val="center"/>
            </w:pPr>
            <w:r>
              <w:t>50/8</w:t>
            </w:r>
          </w:p>
        </w:tc>
        <w:tc>
          <w:tcPr>
            <w:tcW w:w="657" w:type="dxa"/>
            <w:vAlign w:val="center"/>
          </w:tcPr>
          <w:p>
            <w:pPr>
              <w:widowControl w:val="0"/>
              <w:jc w:val="center"/>
            </w:pPr>
            <w:r>
              <w:t>210</w:t>
            </w:r>
          </w:p>
        </w:tc>
        <w:tc>
          <w:tcPr>
            <w:tcW w:w="914" w:type="dxa"/>
            <w:vAlign w:val="center"/>
          </w:tcPr>
          <w:p>
            <w:pPr>
              <w:widowControl w:val="0"/>
              <w:jc w:val="center"/>
            </w:pPr>
            <w:r>
              <w:t>165</w:t>
            </w:r>
          </w:p>
        </w:tc>
        <w:tc>
          <w:tcPr>
            <w:tcW w:w="709" w:type="dxa"/>
            <w:vAlign w:val="center"/>
          </w:tcPr>
          <w:p>
            <w:pPr>
              <w:widowControl w:val="0"/>
              <w:jc w:val="center"/>
            </w:pPr>
            <w:r>
              <w:t>275</w:t>
            </w:r>
          </w:p>
        </w:tc>
        <w:tc>
          <w:tcPr>
            <w:tcW w:w="848" w:type="dxa"/>
            <w:vAlign w:val="center"/>
          </w:tcPr>
          <w:p>
            <w:pPr>
              <w:widowControl w:val="0"/>
              <w:jc w:val="center"/>
            </w:pPr>
            <w:r>
              <w:t>219</w:t>
            </w:r>
          </w:p>
        </w:tc>
        <w:tc>
          <w:tcPr>
            <w:tcW w:w="677" w:type="dxa"/>
            <w:vAlign w:val="center"/>
          </w:tcPr>
          <w:p>
            <w:pPr>
              <w:widowControl w:val="0"/>
              <w:jc w:val="center"/>
            </w:pPr>
            <w:r>
              <w:t>215</w:t>
            </w:r>
          </w:p>
        </w:tc>
        <w:tc>
          <w:tcPr>
            <w:tcW w:w="885" w:type="dxa"/>
            <w:vAlign w:val="center"/>
          </w:tcPr>
          <w:p>
            <w:pPr>
              <w:widowControl w:val="0"/>
              <w:jc w:val="center"/>
            </w:pPr>
            <w:r>
              <w:t>165</w:t>
            </w:r>
          </w:p>
        </w:tc>
      </w:tr>
      <w:tr>
        <w:trPr>
          <w:cantSplit/>
          <w:trHeight w:val="20"/>
        </w:trPr>
        <w:tc>
          <w:tcPr>
            <w:tcW w:w="782" w:type="dxa"/>
            <w:vAlign w:val="center"/>
          </w:tcPr>
          <w:p>
            <w:pPr>
              <w:widowControl w:val="0"/>
              <w:jc w:val="center"/>
            </w:pPr>
            <w:r>
              <w:t>70</w:t>
            </w:r>
          </w:p>
        </w:tc>
        <w:tc>
          <w:tcPr>
            <w:tcW w:w="1049" w:type="dxa"/>
            <w:vAlign w:val="center"/>
          </w:tcPr>
          <w:p>
            <w:pPr>
              <w:widowControl w:val="0"/>
              <w:jc w:val="center"/>
            </w:pPr>
            <w:r>
              <w:t>70/11</w:t>
            </w:r>
          </w:p>
        </w:tc>
        <w:tc>
          <w:tcPr>
            <w:tcW w:w="657" w:type="dxa"/>
            <w:vAlign w:val="center"/>
          </w:tcPr>
          <w:p>
            <w:pPr>
              <w:widowControl w:val="0"/>
              <w:jc w:val="center"/>
            </w:pPr>
            <w:r>
              <w:t>265</w:t>
            </w:r>
          </w:p>
        </w:tc>
        <w:tc>
          <w:tcPr>
            <w:tcW w:w="914" w:type="dxa"/>
            <w:vAlign w:val="center"/>
          </w:tcPr>
          <w:p>
            <w:pPr>
              <w:widowControl w:val="0"/>
              <w:jc w:val="center"/>
            </w:pPr>
            <w:r>
              <w:t>210</w:t>
            </w:r>
          </w:p>
        </w:tc>
        <w:tc>
          <w:tcPr>
            <w:tcW w:w="709" w:type="dxa"/>
            <w:vAlign w:val="center"/>
          </w:tcPr>
          <w:p>
            <w:pPr>
              <w:widowControl w:val="0"/>
              <w:jc w:val="center"/>
            </w:pPr>
            <w:r>
              <w:t>337</w:t>
            </w:r>
          </w:p>
        </w:tc>
        <w:tc>
          <w:tcPr>
            <w:tcW w:w="848" w:type="dxa"/>
            <w:vAlign w:val="center"/>
          </w:tcPr>
          <w:p>
            <w:pPr>
              <w:widowControl w:val="0"/>
              <w:jc w:val="center"/>
            </w:pPr>
            <w:r>
              <w:t>268</w:t>
            </w:r>
          </w:p>
        </w:tc>
        <w:tc>
          <w:tcPr>
            <w:tcW w:w="677" w:type="dxa"/>
            <w:vAlign w:val="center"/>
          </w:tcPr>
          <w:p>
            <w:pPr>
              <w:widowControl w:val="0"/>
              <w:jc w:val="center"/>
            </w:pPr>
            <w:r>
              <w:t>265</w:t>
            </w:r>
          </w:p>
        </w:tc>
        <w:tc>
          <w:tcPr>
            <w:tcW w:w="885" w:type="dxa"/>
            <w:vAlign w:val="center"/>
          </w:tcPr>
          <w:p>
            <w:pPr>
              <w:widowControl w:val="0"/>
              <w:jc w:val="center"/>
            </w:pPr>
            <w:r>
              <w:t>210</w:t>
            </w:r>
          </w:p>
        </w:tc>
      </w:tr>
      <w:tr>
        <w:trPr>
          <w:cantSplit/>
          <w:trHeight w:val="20"/>
        </w:trPr>
        <w:tc>
          <w:tcPr>
            <w:tcW w:w="782" w:type="dxa"/>
            <w:vAlign w:val="center"/>
          </w:tcPr>
          <w:p>
            <w:pPr>
              <w:widowControl w:val="0"/>
              <w:jc w:val="center"/>
            </w:pPr>
            <w:r>
              <w:t>95</w:t>
            </w:r>
          </w:p>
        </w:tc>
        <w:tc>
          <w:tcPr>
            <w:tcW w:w="1049" w:type="dxa"/>
            <w:vAlign w:val="center"/>
          </w:tcPr>
          <w:p>
            <w:pPr>
              <w:widowControl w:val="0"/>
              <w:jc w:val="center"/>
            </w:pPr>
            <w:r>
              <w:t>95/16</w:t>
            </w:r>
          </w:p>
        </w:tc>
        <w:tc>
          <w:tcPr>
            <w:tcW w:w="657" w:type="dxa"/>
            <w:vAlign w:val="center"/>
          </w:tcPr>
          <w:p>
            <w:pPr>
              <w:widowControl w:val="0"/>
              <w:jc w:val="center"/>
            </w:pPr>
            <w:r>
              <w:t>330</w:t>
            </w:r>
          </w:p>
        </w:tc>
        <w:tc>
          <w:tcPr>
            <w:tcW w:w="914" w:type="dxa"/>
            <w:vAlign w:val="center"/>
          </w:tcPr>
          <w:p>
            <w:pPr>
              <w:widowControl w:val="0"/>
              <w:jc w:val="center"/>
            </w:pPr>
            <w:r>
              <w:t>260</w:t>
            </w:r>
          </w:p>
        </w:tc>
        <w:tc>
          <w:tcPr>
            <w:tcW w:w="709" w:type="dxa"/>
            <w:vAlign w:val="center"/>
          </w:tcPr>
          <w:p>
            <w:pPr>
              <w:widowControl w:val="0"/>
              <w:jc w:val="center"/>
            </w:pPr>
            <w:r>
              <w:t>422</w:t>
            </w:r>
          </w:p>
        </w:tc>
        <w:tc>
          <w:tcPr>
            <w:tcW w:w="848" w:type="dxa"/>
            <w:vAlign w:val="center"/>
          </w:tcPr>
          <w:p>
            <w:pPr>
              <w:widowControl w:val="0"/>
              <w:jc w:val="center"/>
            </w:pPr>
            <w:r>
              <w:t>341</w:t>
            </w:r>
          </w:p>
        </w:tc>
        <w:tc>
          <w:tcPr>
            <w:tcW w:w="677" w:type="dxa"/>
            <w:vAlign w:val="center"/>
          </w:tcPr>
          <w:p>
            <w:pPr>
              <w:widowControl w:val="0"/>
              <w:jc w:val="center"/>
            </w:pPr>
            <w:r>
              <w:t>320</w:t>
            </w:r>
          </w:p>
        </w:tc>
        <w:tc>
          <w:tcPr>
            <w:tcW w:w="885" w:type="dxa"/>
            <w:vAlign w:val="center"/>
          </w:tcPr>
          <w:p>
            <w:pPr>
              <w:widowControl w:val="0"/>
              <w:jc w:val="center"/>
            </w:pPr>
            <w:r>
              <w:t>255</w:t>
            </w:r>
          </w:p>
        </w:tc>
      </w:tr>
      <w:tr>
        <w:trPr>
          <w:cantSplit/>
          <w:trHeight w:val="20"/>
        </w:trPr>
        <w:tc>
          <w:tcPr>
            <w:tcW w:w="782" w:type="dxa"/>
            <w:vAlign w:val="center"/>
          </w:tcPr>
          <w:p>
            <w:pPr>
              <w:widowControl w:val="0"/>
              <w:jc w:val="center"/>
            </w:pPr>
            <w:r>
              <w:t>120</w:t>
            </w:r>
          </w:p>
        </w:tc>
        <w:tc>
          <w:tcPr>
            <w:tcW w:w="1049" w:type="dxa"/>
            <w:vAlign w:val="center"/>
          </w:tcPr>
          <w:p>
            <w:pPr>
              <w:widowControl w:val="0"/>
              <w:jc w:val="center"/>
            </w:pPr>
            <w:r>
              <w:t>120/19</w:t>
            </w:r>
          </w:p>
        </w:tc>
        <w:tc>
          <w:tcPr>
            <w:tcW w:w="657" w:type="dxa"/>
            <w:vAlign w:val="center"/>
          </w:tcPr>
          <w:p>
            <w:pPr>
              <w:widowControl w:val="0"/>
              <w:jc w:val="center"/>
            </w:pPr>
            <w:r>
              <w:t>390</w:t>
            </w:r>
          </w:p>
        </w:tc>
        <w:tc>
          <w:tcPr>
            <w:tcW w:w="914" w:type="dxa"/>
            <w:vAlign w:val="center"/>
          </w:tcPr>
          <w:p>
            <w:pPr>
              <w:widowControl w:val="0"/>
              <w:jc w:val="center"/>
            </w:pPr>
            <w:r>
              <w:t>313</w:t>
            </w:r>
          </w:p>
        </w:tc>
        <w:tc>
          <w:tcPr>
            <w:tcW w:w="709" w:type="dxa"/>
            <w:vAlign w:val="center"/>
          </w:tcPr>
          <w:p>
            <w:pPr>
              <w:widowControl w:val="0"/>
              <w:jc w:val="center"/>
            </w:pPr>
            <w:r>
              <w:t>485</w:t>
            </w:r>
          </w:p>
        </w:tc>
        <w:tc>
          <w:tcPr>
            <w:tcW w:w="848" w:type="dxa"/>
            <w:vAlign w:val="center"/>
          </w:tcPr>
          <w:p>
            <w:pPr>
              <w:widowControl w:val="0"/>
              <w:jc w:val="center"/>
            </w:pPr>
            <w:r>
              <w:t>395</w:t>
            </w:r>
          </w:p>
        </w:tc>
        <w:tc>
          <w:tcPr>
            <w:tcW w:w="677" w:type="dxa"/>
            <w:vAlign w:val="center"/>
          </w:tcPr>
          <w:p>
            <w:pPr>
              <w:widowControl w:val="0"/>
              <w:jc w:val="center"/>
            </w:pPr>
            <w:r>
              <w:t>375</w:t>
            </w:r>
          </w:p>
        </w:tc>
        <w:tc>
          <w:tcPr>
            <w:tcW w:w="885" w:type="dxa"/>
            <w:vAlign w:val="center"/>
          </w:tcPr>
          <w:p>
            <w:pPr>
              <w:widowControl w:val="0"/>
              <w:jc w:val="center"/>
            </w:pPr>
            <w:r>
              <w:t>300</w:t>
            </w:r>
          </w:p>
        </w:tc>
      </w:tr>
      <w:tr>
        <w:trPr>
          <w:cantSplit/>
          <w:trHeight w:val="20"/>
        </w:trPr>
        <w:tc>
          <w:tcPr>
            <w:tcW w:w="782" w:type="dxa"/>
            <w:vAlign w:val="center"/>
          </w:tcPr>
          <w:p>
            <w:pPr>
              <w:widowControl w:val="0"/>
              <w:jc w:val="center"/>
            </w:pPr>
            <w:r>
              <w:t>120</w:t>
            </w:r>
          </w:p>
        </w:tc>
        <w:tc>
          <w:tcPr>
            <w:tcW w:w="1049" w:type="dxa"/>
            <w:vAlign w:val="center"/>
          </w:tcPr>
          <w:p>
            <w:pPr>
              <w:widowControl w:val="0"/>
              <w:jc w:val="center"/>
            </w:pPr>
            <w:r>
              <w:t>120/27</w:t>
            </w:r>
          </w:p>
        </w:tc>
        <w:tc>
          <w:tcPr>
            <w:tcW w:w="657" w:type="dxa"/>
            <w:vAlign w:val="center"/>
          </w:tcPr>
          <w:p>
            <w:pPr>
              <w:widowControl w:val="0"/>
              <w:jc w:val="center"/>
            </w:pPr>
            <w:r>
              <w:t>375</w:t>
            </w:r>
          </w:p>
        </w:tc>
        <w:tc>
          <w:tcPr>
            <w:tcW w:w="914" w:type="dxa"/>
            <w:vAlign w:val="center"/>
          </w:tcPr>
          <w:p>
            <w:pPr>
              <w:widowControl w:val="0"/>
              <w:jc w:val="center"/>
            </w:pPr>
            <w:r>
              <w:t>–</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150</w:t>
            </w:r>
          </w:p>
        </w:tc>
        <w:tc>
          <w:tcPr>
            <w:tcW w:w="1049" w:type="dxa"/>
            <w:vAlign w:val="center"/>
          </w:tcPr>
          <w:p>
            <w:pPr>
              <w:widowControl w:val="0"/>
              <w:jc w:val="center"/>
            </w:pPr>
            <w:r>
              <w:t>150/19</w:t>
            </w:r>
          </w:p>
        </w:tc>
        <w:tc>
          <w:tcPr>
            <w:tcW w:w="657" w:type="dxa"/>
            <w:vAlign w:val="center"/>
          </w:tcPr>
          <w:p>
            <w:pPr>
              <w:widowControl w:val="0"/>
              <w:jc w:val="center"/>
            </w:pPr>
            <w:r>
              <w:t>450</w:t>
            </w:r>
          </w:p>
        </w:tc>
        <w:tc>
          <w:tcPr>
            <w:tcW w:w="914" w:type="dxa"/>
            <w:vAlign w:val="center"/>
          </w:tcPr>
          <w:p>
            <w:pPr>
              <w:widowControl w:val="0"/>
              <w:jc w:val="center"/>
            </w:pPr>
            <w:r>
              <w:t>365</w:t>
            </w:r>
          </w:p>
        </w:tc>
        <w:tc>
          <w:tcPr>
            <w:tcW w:w="709" w:type="dxa"/>
            <w:vAlign w:val="center"/>
          </w:tcPr>
          <w:p>
            <w:pPr>
              <w:widowControl w:val="0"/>
              <w:jc w:val="center"/>
            </w:pPr>
            <w:r>
              <w:t>570</w:t>
            </w:r>
          </w:p>
        </w:tc>
        <w:tc>
          <w:tcPr>
            <w:tcW w:w="848" w:type="dxa"/>
            <w:vAlign w:val="center"/>
          </w:tcPr>
          <w:p>
            <w:pPr>
              <w:widowControl w:val="0"/>
              <w:jc w:val="center"/>
            </w:pPr>
            <w:r>
              <w:t>465</w:t>
            </w:r>
          </w:p>
        </w:tc>
        <w:tc>
          <w:tcPr>
            <w:tcW w:w="677" w:type="dxa"/>
            <w:vAlign w:val="center"/>
          </w:tcPr>
          <w:p>
            <w:pPr>
              <w:widowControl w:val="0"/>
              <w:jc w:val="center"/>
            </w:pPr>
            <w:r>
              <w:t>440</w:t>
            </w:r>
          </w:p>
        </w:tc>
        <w:tc>
          <w:tcPr>
            <w:tcW w:w="885" w:type="dxa"/>
            <w:vAlign w:val="center"/>
          </w:tcPr>
          <w:p>
            <w:pPr>
              <w:widowControl w:val="0"/>
              <w:jc w:val="center"/>
            </w:pPr>
            <w:r>
              <w:t>355</w:t>
            </w:r>
          </w:p>
        </w:tc>
      </w:tr>
      <w:tr>
        <w:trPr>
          <w:cantSplit/>
          <w:trHeight w:val="20"/>
        </w:trPr>
        <w:tc>
          <w:tcPr>
            <w:tcW w:w="782" w:type="dxa"/>
            <w:vAlign w:val="center"/>
          </w:tcPr>
          <w:p>
            <w:pPr>
              <w:widowControl w:val="0"/>
              <w:jc w:val="center"/>
            </w:pPr>
            <w:r>
              <w:t>150</w:t>
            </w:r>
          </w:p>
        </w:tc>
        <w:tc>
          <w:tcPr>
            <w:tcW w:w="1049" w:type="dxa"/>
            <w:vAlign w:val="center"/>
          </w:tcPr>
          <w:p>
            <w:pPr>
              <w:widowControl w:val="0"/>
              <w:jc w:val="center"/>
            </w:pPr>
            <w:r>
              <w:t>150/24</w:t>
            </w:r>
          </w:p>
        </w:tc>
        <w:tc>
          <w:tcPr>
            <w:tcW w:w="657" w:type="dxa"/>
            <w:vAlign w:val="center"/>
          </w:tcPr>
          <w:p>
            <w:pPr>
              <w:widowControl w:val="0"/>
              <w:jc w:val="center"/>
            </w:pPr>
            <w:r>
              <w:t>450</w:t>
            </w:r>
          </w:p>
        </w:tc>
        <w:tc>
          <w:tcPr>
            <w:tcW w:w="914" w:type="dxa"/>
            <w:vAlign w:val="center"/>
          </w:tcPr>
          <w:p>
            <w:pPr>
              <w:widowControl w:val="0"/>
              <w:jc w:val="center"/>
            </w:pPr>
            <w:r>
              <w:t>365</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150</w:t>
            </w:r>
          </w:p>
        </w:tc>
        <w:tc>
          <w:tcPr>
            <w:tcW w:w="1049" w:type="dxa"/>
            <w:vAlign w:val="center"/>
          </w:tcPr>
          <w:p>
            <w:pPr>
              <w:widowControl w:val="0"/>
              <w:jc w:val="center"/>
            </w:pPr>
            <w:r>
              <w:t>150/34</w:t>
            </w:r>
          </w:p>
        </w:tc>
        <w:tc>
          <w:tcPr>
            <w:tcW w:w="657" w:type="dxa"/>
            <w:vAlign w:val="center"/>
          </w:tcPr>
          <w:p>
            <w:pPr>
              <w:widowControl w:val="0"/>
              <w:jc w:val="center"/>
            </w:pPr>
            <w:r>
              <w:t>450</w:t>
            </w:r>
          </w:p>
        </w:tc>
        <w:tc>
          <w:tcPr>
            <w:tcW w:w="914" w:type="dxa"/>
            <w:vAlign w:val="center"/>
          </w:tcPr>
          <w:p>
            <w:pPr>
              <w:widowControl w:val="0"/>
              <w:jc w:val="center"/>
            </w:pPr>
            <w:r>
              <w:t>–</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185</w:t>
            </w:r>
          </w:p>
        </w:tc>
        <w:tc>
          <w:tcPr>
            <w:tcW w:w="1049" w:type="dxa"/>
            <w:vAlign w:val="center"/>
          </w:tcPr>
          <w:p>
            <w:pPr>
              <w:widowControl w:val="0"/>
              <w:jc w:val="center"/>
            </w:pPr>
            <w:r>
              <w:t>185/24</w:t>
            </w:r>
          </w:p>
        </w:tc>
        <w:tc>
          <w:tcPr>
            <w:tcW w:w="657" w:type="dxa"/>
            <w:vAlign w:val="center"/>
          </w:tcPr>
          <w:p>
            <w:pPr>
              <w:widowControl w:val="0"/>
              <w:jc w:val="center"/>
            </w:pPr>
            <w:r>
              <w:t>520</w:t>
            </w:r>
          </w:p>
        </w:tc>
        <w:tc>
          <w:tcPr>
            <w:tcW w:w="914" w:type="dxa"/>
            <w:vAlign w:val="center"/>
          </w:tcPr>
          <w:p>
            <w:pPr>
              <w:widowControl w:val="0"/>
              <w:jc w:val="center"/>
            </w:pPr>
            <w:r>
              <w:t>430</w:t>
            </w:r>
          </w:p>
        </w:tc>
        <w:tc>
          <w:tcPr>
            <w:tcW w:w="709" w:type="dxa"/>
            <w:vAlign w:val="center"/>
          </w:tcPr>
          <w:p>
            <w:pPr>
              <w:widowControl w:val="0"/>
              <w:jc w:val="center"/>
            </w:pPr>
            <w:r>
              <w:t>650</w:t>
            </w:r>
          </w:p>
        </w:tc>
        <w:tc>
          <w:tcPr>
            <w:tcW w:w="848" w:type="dxa"/>
            <w:vAlign w:val="center"/>
          </w:tcPr>
          <w:p>
            <w:pPr>
              <w:widowControl w:val="0"/>
              <w:jc w:val="center"/>
            </w:pPr>
            <w:r>
              <w:t>540</w:t>
            </w:r>
          </w:p>
        </w:tc>
        <w:tc>
          <w:tcPr>
            <w:tcW w:w="677" w:type="dxa"/>
            <w:vAlign w:val="center"/>
          </w:tcPr>
          <w:p>
            <w:pPr>
              <w:widowControl w:val="0"/>
              <w:jc w:val="center"/>
            </w:pPr>
            <w:r>
              <w:t>500</w:t>
            </w:r>
          </w:p>
        </w:tc>
        <w:tc>
          <w:tcPr>
            <w:tcW w:w="885" w:type="dxa"/>
            <w:vAlign w:val="center"/>
          </w:tcPr>
          <w:p>
            <w:pPr>
              <w:widowControl w:val="0"/>
              <w:jc w:val="center"/>
            </w:pPr>
            <w:r>
              <w:t>410</w:t>
            </w:r>
          </w:p>
        </w:tc>
      </w:tr>
      <w:tr>
        <w:trPr>
          <w:cantSplit/>
          <w:trHeight w:val="20"/>
        </w:trPr>
        <w:tc>
          <w:tcPr>
            <w:tcW w:w="782" w:type="dxa"/>
            <w:vAlign w:val="center"/>
          </w:tcPr>
          <w:p>
            <w:pPr>
              <w:widowControl w:val="0"/>
              <w:jc w:val="center"/>
            </w:pPr>
            <w:r>
              <w:t>185</w:t>
            </w:r>
          </w:p>
        </w:tc>
        <w:tc>
          <w:tcPr>
            <w:tcW w:w="1049" w:type="dxa"/>
            <w:vAlign w:val="center"/>
          </w:tcPr>
          <w:p>
            <w:pPr>
              <w:widowControl w:val="0"/>
              <w:jc w:val="center"/>
            </w:pPr>
            <w:r>
              <w:t>185/29</w:t>
            </w:r>
          </w:p>
        </w:tc>
        <w:tc>
          <w:tcPr>
            <w:tcW w:w="657" w:type="dxa"/>
            <w:vAlign w:val="center"/>
          </w:tcPr>
          <w:p>
            <w:pPr>
              <w:widowControl w:val="0"/>
              <w:jc w:val="center"/>
            </w:pPr>
            <w:r>
              <w:t>510</w:t>
            </w:r>
          </w:p>
        </w:tc>
        <w:tc>
          <w:tcPr>
            <w:tcW w:w="914" w:type="dxa"/>
            <w:vAlign w:val="center"/>
          </w:tcPr>
          <w:p>
            <w:pPr>
              <w:widowControl w:val="0"/>
              <w:jc w:val="center"/>
            </w:pPr>
            <w:r>
              <w:t>425</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185</w:t>
            </w:r>
          </w:p>
        </w:tc>
        <w:tc>
          <w:tcPr>
            <w:tcW w:w="1049" w:type="dxa"/>
            <w:vAlign w:val="center"/>
          </w:tcPr>
          <w:p>
            <w:pPr>
              <w:widowControl w:val="0"/>
              <w:jc w:val="center"/>
            </w:pPr>
            <w:r>
              <w:t>185/43</w:t>
            </w:r>
          </w:p>
        </w:tc>
        <w:tc>
          <w:tcPr>
            <w:tcW w:w="657" w:type="dxa"/>
            <w:vAlign w:val="center"/>
          </w:tcPr>
          <w:p>
            <w:pPr>
              <w:widowControl w:val="0"/>
              <w:jc w:val="center"/>
            </w:pPr>
            <w:r>
              <w:t>515</w:t>
            </w:r>
          </w:p>
        </w:tc>
        <w:tc>
          <w:tcPr>
            <w:tcW w:w="914" w:type="dxa"/>
            <w:vAlign w:val="center"/>
          </w:tcPr>
          <w:p>
            <w:pPr>
              <w:widowControl w:val="0"/>
              <w:jc w:val="center"/>
            </w:pPr>
            <w:r>
              <w:t>–</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240</w:t>
            </w:r>
          </w:p>
        </w:tc>
        <w:tc>
          <w:tcPr>
            <w:tcW w:w="1049" w:type="dxa"/>
            <w:vAlign w:val="center"/>
          </w:tcPr>
          <w:p>
            <w:pPr>
              <w:widowControl w:val="0"/>
              <w:jc w:val="center"/>
            </w:pPr>
            <w:r>
              <w:t>240/32</w:t>
            </w:r>
          </w:p>
        </w:tc>
        <w:tc>
          <w:tcPr>
            <w:tcW w:w="657" w:type="dxa"/>
            <w:vAlign w:val="center"/>
          </w:tcPr>
          <w:p>
            <w:pPr>
              <w:widowControl w:val="0"/>
              <w:jc w:val="center"/>
            </w:pPr>
            <w:r>
              <w:t>605</w:t>
            </w:r>
          </w:p>
        </w:tc>
        <w:tc>
          <w:tcPr>
            <w:tcW w:w="914" w:type="dxa"/>
            <w:vAlign w:val="center"/>
          </w:tcPr>
          <w:p>
            <w:pPr>
              <w:widowControl w:val="0"/>
              <w:jc w:val="center"/>
            </w:pPr>
            <w:r>
              <w:t>505</w:t>
            </w:r>
          </w:p>
        </w:tc>
        <w:tc>
          <w:tcPr>
            <w:tcW w:w="709" w:type="dxa"/>
            <w:vAlign w:val="center"/>
          </w:tcPr>
          <w:p>
            <w:pPr>
              <w:widowControl w:val="0"/>
              <w:jc w:val="center"/>
            </w:pPr>
            <w:r>
              <w:t>760</w:t>
            </w:r>
          </w:p>
        </w:tc>
        <w:tc>
          <w:tcPr>
            <w:tcW w:w="848" w:type="dxa"/>
            <w:vAlign w:val="center"/>
          </w:tcPr>
          <w:p>
            <w:pPr>
              <w:widowControl w:val="0"/>
              <w:jc w:val="center"/>
            </w:pPr>
            <w:r>
              <w:t>685</w:t>
            </w:r>
          </w:p>
        </w:tc>
        <w:tc>
          <w:tcPr>
            <w:tcW w:w="677" w:type="dxa"/>
            <w:vAlign w:val="center"/>
          </w:tcPr>
          <w:p>
            <w:pPr>
              <w:widowControl w:val="0"/>
              <w:jc w:val="center"/>
            </w:pPr>
            <w:r>
              <w:t>590</w:t>
            </w:r>
          </w:p>
        </w:tc>
        <w:tc>
          <w:tcPr>
            <w:tcW w:w="885" w:type="dxa"/>
            <w:vAlign w:val="center"/>
          </w:tcPr>
          <w:p>
            <w:pPr>
              <w:widowControl w:val="0"/>
              <w:jc w:val="center"/>
            </w:pPr>
            <w:r>
              <w:t>490</w:t>
            </w:r>
          </w:p>
        </w:tc>
      </w:tr>
      <w:tr>
        <w:trPr>
          <w:cantSplit/>
          <w:trHeight w:val="20"/>
        </w:trPr>
        <w:tc>
          <w:tcPr>
            <w:tcW w:w="782" w:type="dxa"/>
            <w:vAlign w:val="center"/>
          </w:tcPr>
          <w:p>
            <w:pPr>
              <w:widowControl w:val="0"/>
              <w:jc w:val="center"/>
            </w:pPr>
            <w:r>
              <w:t>240</w:t>
            </w:r>
          </w:p>
        </w:tc>
        <w:tc>
          <w:tcPr>
            <w:tcW w:w="1049" w:type="dxa"/>
            <w:vAlign w:val="center"/>
          </w:tcPr>
          <w:p>
            <w:pPr>
              <w:widowControl w:val="0"/>
              <w:jc w:val="center"/>
            </w:pPr>
            <w:r>
              <w:t>240/39</w:t>
            </w:r>
          </w:p>
        </w:tc>
        <w:tc>
          <w:tcPr>
            <w:tcW w:w="657" w:type="dxa"/>
            <w:vAlign w:val="center"/>
          </w:tcPr>
          <w:p>
            <w:pPr>
              <w:widowControl w:val="0"/>
              <w:jc w:val="center"/>
            </w:pPr>
            <w:r>
              <w:t>610</w:t>
            </w:r>
          </w:p>
        </w:tc>
        <w:tc>
          <w:tcPr>
            <w:tcW w:w="914" w:type="dxa"/>
            <w:vAlign w:val="center"/>
          </w:tcPr>
          <w:p>
            <w:pPr>
              <w:widowControl w:val="0"/>
              <w:jc w:val="center"/>
            </w:pPr>
            <w:r>
              <w:t>505</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240</w:t>
            </w:r>
          </w:p>
        </w:tc>
        <w:tc>
          <w:tcPr>
            <w:tcW w:w="1049" w:type="dxa"/>
            <w:vAlign w:val="center"/>
          </w:tcPr>
          <w:p>
            <w:pPr>
              <w:widowControl w:val="0"/>
              <w:jc w:val="center"/>
            </w:pPr>
            <w:r>
              <w:t>240/56</w:t>
            </w:r>
          </w:p>
        </w:tc>
        <w:tc>
          <w:tcPr>
            <w:tcW w:w="657" w:type="dxa"/>
            <w:vAlign w:val="center"/>
          </w:tcPr>
          <w:p>
            <w:pPr>
              <w:widowControl w:val="0"/>
              <w:jc w:val="center"/>
            </w:pPr>
            <w:r>
              <w:t>610</w:t>
            </w:r>
          </w:p>
        </w:tc>
        <w:tc>
          <w:tcPr>
            <w:tcW w:w="914" w:type="dxa"/>
            <w:vAlign w:val="center"/>
          </w:tcPr>
          <w:p>
            <w:pPr>
              <w:widowControl w:val="0"/>
              <w:jc w:val="center"/>
            </w:pPr>
            <w:r>
              <w:t>–</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300</w:t>
            </w:r>
          </w:p>
        </w:tc>
        <w:tc>
          <w:tcPr>
            <w:tcW w:w="1049" w:type="dxa"/>
            <w:vAlign w:val="center"/>
          </w:tcPr>
          <w:p>
            <w:pPr>
              <w:widowControl w:val="0"/>
              <w:jc w:val="center"/>
            </w:pPr>
            <w:r>
              <w:t>300/39</w:t>
            </w:r>
          </w:p>
        </w:tc>
        <w:tc>
          <w:tcPr>
            <w:tcW w:w="657" w:type="dxa"/>
            <w:vAlign w:val="center"/>
          </w:tcPr>
          <w:p>
            <w:pPr>
              <w:widowControl w:val="0"/>
              <w:jc w:val="center"/>
            </w:pPr>
            <w:r>
              <w:t>710</w:t>
            </w:r>
          </w:p>
        </w:tc>
        <w:tc>
          <w:tcPr>
            <w:tcW w:w="914" w:type="dxa"/>
            <w:vAlign w:val="center"/>
          </w:tcPr>
          <w:p>
            <w:pPr>
              <w:widowControl w:val="0"/>
              <w:jc w:val="center"/>
            </w:pPr>
            <w:r>
              <w:t>600</w:t>
            </w:r>
          </w:p>
        </w:tc>
        <w:tc>
          <w:tcPr>
            <w:tcW w:w="709" w:type="dxa"/>
            <w:vAlign w:val="center"/>
          </w:tcPr>
          <w:p>
            <w:pPr>
              <w:widowControl w:val="0"/>
              <w:jc w:val="center"/>
            </w:pPr>
            <w:r>
              <w:t>880</w:t>
            </w:r>
          </w:p>
        </w:tc>
        <w:tc>
          <w:tcPr>
            <w:tcW w:w="848" w:type="dxa"/>
            <w:vAlign w:val="center"/>
          </w:tcPr>
          <w:p>
            <w:pPr>
              <w:widowControl w:val="0"/>
              <w:jc w:val="center"/>
            </w:pPr>
            <w:r>
              <w:t>740</w:t>
            </w:r>
          </w:p>
        </w:tc>
        <w:tc>
          <w:tcPr>
            <w:tcW w:w="677" w:type="dxa"/>
            <w:vAlign w:val="center"/>
          </w:tcPr>
          <w:p>
            <w:pPr>
              <w:widowControl w:val="0"/>
              <w:jc w:val="center"/>
            </w:pPr>
            <w:r>
              <w:t>680</w:t>
            </w:r>
          </w:p>
        </w:tc>
        <w:tc>
          <w:tcPr>
            <w:tcW w:w="885" w:type="dxa"/>
            <w:vAlign w:val="center"/>
          </w:tcPr>
          <w:p>
            <w:pPr>
              <w:widowControl w:val="0"/>
              <w:jc w:val="center"/>
            </w:pPr>
            <w:r>
              <w:t>570</w:t>
            </w:r>
          </w:p>
        </w:tc>
      </w:tr>
      <w:tr>
        <w:trPr>
          <w:cantSplit/>
          <w:trHeight w:val="20"/>
        </w:trPr>
        <w:tc>
          <w:tcPr>
            <w:tcW w:w="782" w:type="dxa"/>
            <w:vAlign w:val="center"/>
          </w:tcPr>
          <w:p>
            <w:pPr>
              <w:widowControl w:val="0"/>
              <w:jc w:val="center"/>
            </w:pPr>
            <w:r>
              <w:t>300</w:t>
            </w:r>
          </w:p>
        </w:tc>
        <w:tc>
          <w:tcPr>
            <w:tcW w:w="1049" w:type="dxa"/>
            <w:vAlign w:val="center"/>
          </w:tcPr>
          <w:p>
            <w:pPr>
              <w:widowControl w:val="0"/>
              <w:jc w:val="center"/>
            </w:pPr>
            <w:r>
              <w:t>300/48</w:t>
            </w:r>
          </w:p>
        </w:tc>
        <w:tc>
          <w:tcPr>
            <w:tcW w:w="657" w:type="dxa"/>
            <w:vAlign w:val="center"/>
          </w:tcPr>
          <w:p>
            <w:pPr>
              <w:widowControl w:val="0"/>
              <w:jc w:val="center"/>
            </w:pPr>
            <w:r>
              <w:t>690</w:t>
            </w:r>
          </w:p>
        </w:tc>
        <w:tc>
          <w:tcPr>
            <w:tcW w:w="914" w:type="dxa"/>
            <w:vAlign w:val="center"/>
          </w:tcPr>
          <w:p>
            <w:pPr>
              <w:widowControl w:val="0"/>
              <w:jc w:val="center"/>
            </w:pPr>
            <w:r>
              <w:t>585</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300</w:t>
            </w:r>
          </w:p>
        </w:tc>
        <w:tc>
          <w:tcPr>
            <w:tcW w:w="1049" w:type="dxa"/>
            <w:vAlign w:val="center"/>
          </w:tcPr>
          <w:p>
            <w:pPr>
              <w:widowControl w:val="0"/>
              <w:jc w:val="center"/>
            </w:pPr>
            <w:r>
              <w:t>300/66</w:t>
            </w:r>
          </w:p>
        </w:tc>
        <w:tc>
          <w:tcPr>
            <w:tcW w:w="657" w:type="dxa"/>
            <w:vAlign w:val="center"/>
          </w:tcPr>
          <w:p>
            <w:pPr>
              <w:widowControl w:val="0"/>
              <w:jc w:val="center"/>
            </w:pPr>
            <w:r>
              <w:t>680</w:t>
            </w:r>
          </w:p>
        </w:tc>
        <w:tc>
          <w:tcPr>
            <w:tcW w:w="914" w:type="dxa"/>
            <w:vAlign w:val="center"/>
          </w:tcPr>
          <w:p>
            <w:pPr>
              <w:widowControl w:val="0"/>
              <w:jc w:val="center"/>
            </w:pPr>
            <w:r>
              <w:t>–</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330</w:t>
            </w:r>
          </w:p>
        </w:tc>
        <w:tc>
          <w:tcPr>
            <w:tcW w:w="1049" w:type="dxa"/>
            <w:vAlign w:val="center"/>
          </w:tcPr>
          <w:p>
            <w:pPr>
              <w:widowControl w:val="0"/>
              <w:jc w:val="center"/>
            </w:pPr>
            <w:r>
              <w:t>330/27</w:t>
            </w:r>
          </w:p>
        </w:tc>
        <w:tc>
          <w:tcPr>
            <w:tcW w:w="657" w:type="dxa"/>
            <w:vAlign w:val="center"/>
          </w:tcPr>
          <w:p>
            <w:pPr>
              <w:widowControl w:val="0"/>
              <w:jc w:val="center"/>
            </w:pPr>
            <w:r>
              <w:t>730</w:t>
            </w:r>
          </w:p>
        </w:tc>
        <w:tc>
          <w:tcPr>
            <w:tcW w:w="914" w:type="dxa"/>
            <w:vAlign w:val="center"/>
          </w:tcPr>
          <w:p>
            <w:pPr>
              <w:widowControl w:val="0"/>
              <w:jc w:val="center"/>
            </w:pPr>
            <w:r>
              <w:t>–</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400</w:t>
            </w:r>
          </w:p>
        </w:tc>
        <w:tc>
          <w:tcPr>
            <w:tcW w:w="1049" w:type="dxa"/>
            <w:vAlign w:val="center"/>
          </w:tcPr>
          <w:p>
            <w:pPr>
              <w:widowControl w:val="0"/>
              <w:jc w:val="center"/>
            </w:pPr>
            <w:r>
              <w:t>400/22</w:t>
            </w:r>
          </w:p>
        </w:tc>
        <w:tc>
          <w:tcPr>
            <w:tcW w:w="657" w:type="dxa"/>
            <w:vAlign w:val="center"/>
          </w:tcPr>
          <w:p>
            <w:pPr>
              <w:widowControl w:val="0"/>
              <w:jc w:val="center"/>
            </w:pPr>
            <w:r>
              <w:t>830</w:t>
            </w:r>
          </w:p>
        </w:tc>
        <w:tc>
          <w:tcPr>
            <w:tcW w:w="914" w:type="dxa"/>
            <w:vAlign w:val="center"/>
          </w:tcPr>
          <w:p>
            <w:pPr>
              <w:widowControl w:val="0"/>
              <w:jc w:val="center"/>
            </w:pPr>
            <w:r>
              <w:t>713</w:t>
            </w:r>
          </w:p>
        </w:tc>
        <w:tc>
          <w:tcPr>
            <w:tcW w:w="709" w:type="dxa"/>
            <w:vAlign w:val="center"/>
          </w:tcPr>
          <w:p>
            <w:pPr>
              <w:widowControl w:val="0"/>
              <w:jc w:val="center"/>
            </w:pPr>
            <w:r>
              <w:t>1050</w:t>
            </w:r>
          </w:p>
        </w:tc>
        <w:tc>
          <w:tcPr>
            <w:tcW w:w="848" w:type="dxa"/>
            <w:vAlign w:val="center"/>
          </w:tcPr>
          <w:p>
            <w:pPr>
              <w:widowControl w:val="0"/>
              <w:jc w:val="center"/>
            </w:pPr>
            <w:r>
              <w:t>895</w:t>
            </w:r>
          </w:p>
        </w:tc>
        <w:tc>
          <w:tcPr>
            <w:tcW w:w="677" w:type="dxa"/>
            <w:vAlign w:val="center"/>
          </w:tcPr>
          <w:p>
            <w:pPr>
              <w:widowControl w:val="0"/>
              <w:jc w:val="center"/>
            </w:pPr>
            <w:r>
              <w:t>815</w:t>
            </w:r>
          </w:p>
        </w:tc>
        <w:tc>
          <w:tcPr>
            <w:tcW w:w="885" w:type="dxa"/>
            <w:vAlign w:val="center"/>
          </w:tcPr>
          <w:p>
            <w:pPr>
              <w:widowControl w:val="0"/>
              <w:jc w:val="center"/>
            </w:pPr>
            <w:r>
              <w:t>690</w:t>
            </w:r>
          </w:p>
        </w:tc>
      </w:tr>
      <w:tr>
        <w:trPr>
          <w:cantSplit/>
          <w:trHeight w:val="20"/>
        </w:trPr>
        <w:tc>
          <w:tcPr>
            <w:tcW w:w="782" w:type="dxa"/>
            <w:vAlign w:val="center"/>
          </w:tcPr>
          <w:p>
            <w:pPr>
              <w:widowControl w:val="0"/>
              <w:jc w:val="center"/>
            </w:pPr>
            <w:r>
              <w:t>400</w:t>
            </w:r>
          </w:p>
        </w:tc>
        <w:tc>
          <w:tcPr>
            <w:tcW w:w="1049" w:type="dxa"/>
            <w:vAlign w:val="center"/>
          </w:tcPr>
          <w:p>
            <w:pPr>
              <w:widowControl w:val="0"/>
              <w:jc w:val="center"/>
            </w:pPr>
            <w:r>
              <w:t>400/51</w:t>
            </w:r>
          </w:p>
        </w:tc>
        <w:tc>
          <w:tcPr>
            <w:tcW w:w="657" w:type="dxa"/>
            <w:vAlign w:val="center"/>
          </w:tcPr>
          <w:p>
            <w:pPr>
              <w:widowControl w:val="0"/>
              <w:jc w:val="center"/>
            </w:pPr>
            <w:r>
              <w:t>825</w:t>
            </w:r>
          </w:p>
        </w:tc>
        <w:tc>
          <w:tcPr>
            <w:tcW w:w="914" w:type="dxa"/>
            <w:vAlign w:val="center"/>
          </w:tcPr>
          <w:p>
            <w:pPr>
              <w:widowControl w:val="0"/>
              <w:jc w:val="center"/>
            </w:pPr>
            <w:r>
              <w:t>703</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400</w:t>
            </w:r>
          </w:p>
        </w:tc>
        <w:tc>
          <w:tcPr>
            <w:tcW w:w="1049" w:type="dxa"/>
            <w:vAlign w:val="center"/>
          </w:tcPr>
          <w:p>
            <w:pPr>
              <w:widowControl w:val="0"/>
              <w:jc w:val="center"/>
            </w:pPr>
            <w:r>
              <w:t>400/64</w:t>
            </w:r>
          </w:p>
        </w:tc>
        <w:tc>
          <w:tcPr>
            <w:tcW w:w="657" w:type="dxa"/>
            <w:vAlign w:val="center"/>
          </w:tcPr>
          <w:p>
            <w:pPr>
              <w:widowControl w:val="0"/>
              <w:jc w:val="center"/>
            </w:pPr>
            <w:r>
              <w:t>860</w:t>
            </w:r>
          </w:p>
        </w:tc>
        <w:tc>
          <w:tcPr>
            <w:tcW w:w="914" w:type="dxa"/>
            <w:vAlign w:val="center"/>
          </w:tcPr>
          <w:p>
            <w:pPr>
              <w:widowControl w:val="0"/>
              <w:jc w:val="center"/>
            </w:pPr>
            <w:r>
              <w:t>–</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500</w:t>
            </w:r>
          </w:p>
        </w:tc>
        <w:tc>
          <w:tcPr>
            <w:tcW w:w="1049" w:type="dxa"/>
            <w:vAlign w:val="center"/>
          </w:tcPr>
          <w:p>
            <w:pPr>
              <w:widowControl w:val="0"/>
              <w:jc w:val="center"/>
            </w:pPr>
            <w:r>
              <w:t>500/27</w:t>
            </w:r>
          </w:p>
        </w:tc>
        <w:tc>
          <w:tcPr>
            <w:tcW w:w="657" w:type="dxa"/>
            <w:vAlign w:val="center"/>
          </w:tcPr>
          <w:p>
            <w:pPr>
              <w:widowControl w:val="0"/>
              <w:jc w:val="center"/>
            </w:pPr>
            <w:r>
              <w:t>960</w:t>
            </w:r>
          </w:p>
        </w:tc>
        <w:tc>
          <w:tcPr>
            <w:tcW w:w="914" w:type="dxa"/>
            <w:vAlign w:val="center"/>
          </w:tcPr>
          <w:p>
            <w:pPr>
              <w:widowControl w:val="0"/>
              <w:jc w:val="center"/>
            </w:pPr>
            <w:r>
              <w:t>830</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980</w:t>
            </w:r>
          </w:p>
        </w:tc>
        <w:tc>
          <w:tcPr>
            <w:tcW w:w="885" w:type="dxa"/>
            <w:vAlign w:val="center"/>
          </w:tcPr>
          <w:p>
            <w:pPr>
              <w:widowControl w:val="0"/>
              <w:jc w:val="center"/>
            </w:pPr>
            <w:r>
              <w:t>820</w:t>
            </w:r>
          </w:p>
        </w:tc>
      </w:tr>
      <w:tr>
        <w:trPr>
          <w:cantSplit/>
          <w:trHeight w:val="20"/>
        </w:trPr>
        <w:tc>
          <w:tcPr>
            <w:tcW w:w="782" w:type="dxa"/>
            <w:vAlign w:val="center"/>
          </w:tcPr>
          <w:p>
            <w:pPr>
              <w:widowControl w:val="0"/>
              <w:jc w:val="center"/>
            </w:pPr>
            <w:r>
              <w:t>500</w:t>
            </w:r>
          </w:p>
        </w:tc>
        <w:tc>
          <w:tcPr>
            <w:tcW w:w="1049" w:type="dxa"/>
            <w:vAlign w:val="center"/>
          </w:tcPr>
          <w:p>
            <w:pPr>
              <w:widowControl w:val="0"/>
              <w:jc w:val="center"/>
            </w:pPr>
            <w:r>
              <w:t>500/64</w:t>
            </w:r>
          </w:p>
        </w:tc>
        <w:tc>
          <w:tcPr>
            <w:tcW w:w="657" w:type="dxa"/>
            <w:vAlign w:val="center"/>
          </w:tcPr>
          <w:p>
            <w:pPr>
              <w:widowControl w:val="0"/>
              <w:jc w:val="center"/>
            </w:pPr>
            <w:r>
              <w:t>945</w:t>
            </w:r>
          </w:p>
        </w:tc>
        <w:tc>
          <w:tcPr>
            <w:tcW w:w="914" w:type="dxa"/>
            <w:vAlign w:val="center"/>
          </w:tcPr>
          <w:p>
            <w:pPr>
              <w:widowControl w:val="0"/>
              <w:jc w:val="center"/>
            </w:pPr>
            <w:r>
              <w:t>815</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r>
        <w:trPr>
          <w:cantSplit/>
          <w:trHeight w:val="20"/>
        </w:trPr>
        <w:tc>
          <w:tcPr>
            <w:tcW w:w="782" w:type="dxa"/>
            <w:vAlign w:val="center"/>
          </w:tcPr>
          <w:p>
            <w:pPr>
              <w:widowControl w:val="0"/>
              <w:jc w:val="center"/>
            </w:pPr>
            <w:r>
              <w:t>600</w:t>
            </w:r>
          </w:p>
        </w:tc>
        <w:tc>
          <w:tcPr>
            <w:tcW w:w="1049" w:type="dxa"/>
            <w:vAlign w:val="center"/>
          </w:tcPr>
          <w:p>
            <w:pPr>
              <w:widowControl w:val="0"/>
              <w:jc w:val="center"/>
            </w:pPr>
            <w:r>
              <w:t>600/72</w:t>
            </w:r>
          </w:p>
        </w:tc>
        <w:tc>
          <w:tcPr>
            <w:tcW w:w="657" w:type="dxa"/>
            <w:vAlign w:val="center"/>
          </w:tcPr>
          <w:p>
            <w:pPr>
              <w:widowControl w:val="0"/>
              <w:jc w:val="center"/>
            </w:pPr>
            <w:r>
              <w:t>1050</w:t>
            </w:r>
          </w:p>
        </w:tc>
        <w:tc>
          <w:tcPr>
            <w:tcW w:w="914" w:type="dxa"/>
            <w:vAlign w:val="center"/>
          </w:tcPr>
          <w:p>
            <w:pPr>
              <w:widowControl w:val="0"/>
              <w:jc w:val="center"/>
            </w:pPr>
            <w:r>
              <w:t>920</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1100</w:t>
            </w:r>
          </w:p>
        </w:tc>
        <w:tc>
          <w:tcPr>
            <w:tcW w:w="885" w:type="dxa"/>
            <w:vAlign w:val="center"/>
          </w:tcPr>
          <w:p>
            <w:pPr>
              <w:widowControl w:val="0"/>
              <w:jc w:val="center"/>
            </w:pPr>
            <w:r>
              <w:t>955</w:t>
            </w:r>
          </w:p>
        </w:tc>
      </w:tr>
      <w:tr>
        <w:trPr>
          <w:cantSplit/>
          <w:trHeight w:val="20"/>
        </w:trPr>
        <w:tc>
          <w:tcPr>
            <w:tcW w:w="782" w:type="dxa"/>
            <w:vAlign w:val="center"/>
          </w:tcPr>
          <w:p>
            <w:pPr>
              <w:widowControl w:val="0"/>
              <w:jc w:val="center"/>
            </w:pPr>
            <w:r>
              <w:t>700</w:t>
            </w:r>
          </w:p>
        </w:tc>
        <w:tc>
          <w:tcPr>
            <w:tcW w:w="1049" w:type="dxa"/>
            <w:vAlign w:val="center"/>
          </w:tcPr>
          <w:p>
            <w:pPr>
              <w:widowControl w:val="0"/>
              <w:jc w:val="center"/>
            </w:pPr>
            <w:r>
              <w:t>700/86</w:t>
            </w:r>
          </w:p>
        </w:tc>
        <w:tc>
          <w:tcPr>
            <w:tcW w:w="657" w:type="dxa"/>
            <w:vAlign w:val="center"/>
          </w:tcPr>
          <w:p>
            <w:pPr>
              <w:widowControl w:val="0"/>
              <w:jc w:val="center"/>
            </w:pPr>
            <w:r>
              <w:t>1180</w:t>
            </w:r>
          </w:p>
        </w:tc>
        <w:tc>
          <w:tcPr>
            <w:tcW w:w="914" w:type="dxa"/>
            <w:vAlign w:val="center"/>
          </w:tcPr>
          <w:p>
            <w:pPr>
              <w:widowControl w:val="0"/>
              <w:jc w:val="center"/>
            </w:pPr>
            <w:r>
              <w:t>1040</w:t>
            </w:r>
          </w:p>
        </w:tc>
        <w:tc>
          <w:tcPr>
            <w:tcW w:w="709" w:type="dxa"/>
            <w:vAlign w:val="center"/>
          </w:tcPr>
          <w:p>
            <w:pPr>
              <w:widowControl w:val="0"/>
              <w:jc w:val="center"/>
            </w:pPr>
            <w:r>
              <w:t>–</w:t>
            </w:r>
          </w:p>
        </w:tc>
        <w:tc>
          <w:tcPr>
            <w:tcW w:w="848" w:type="dxa"/>
            <w:vAlign w:val="center"/>
          </w:tcPr>
          <w:p>
            <w:pPr>
              <w:widowControl w:val="0"/>
              <w:jc w:val="center"/>
            </w:pPr>
            <w:r>
              <w:t>–</w:t>
            </w:r>
          </w:p>
        </w:tc>
        <w:tc>
          <w:tcPr>
            <w:tcW w:w="677" w:type="dxa"/>
            <w:vAlign w:val="center"/>
          </w:tcPr>
          <w:p>
            <w:pPr>
              <w:widowControl w:val="0"/>
              <w:jc w:val="center"/>
            </w:pPr>
            <w:r>
              <w:t>–</w:t>
            </w:r>
          </w:p>
        </w:tc>
        <w:tc>
          <w:tcPr>
            <w:tcW w:w="885" w:type="dxa"/>
            <w:vAlign w:val="center"/>
          </w:tcPr>
          <w:p>
            <w:pPr>
              <w:widowControl w:val="0"/>
              <w:jc w:val="center"/>
            </w:pPr>
            <w:r>
              <w:t>–</w:t>
            </w:r>
          </w:p>
        </w:tc>
      </w:tr>
    </w:tbl>
    <w:p>
      <w:pPr>
        <w:widowControl w:val="0"/>
        <w:ind w:firstLine="567"/>
        <w:jc w:val="both"/>
      </w:pPr>
    </w:p>
    <w:p>
      <w:pPr>
        <w:widowControl w:val="0"/>
        <w:ind w:firstLine="567"/>
        <w:jc w:val="both"/>
        <w:rPr>
          <w:b/>
        </w:rPr>
      </w:pPr>
      <w:r>
        <w:rPr>
          <w:b/>
        </w:rPr>
        <w:t>18 lentelė. Apvalių pilnavidurių ir tuščiavidurių aliumininių ir varinių šynų leistinoji ilgalaikė srovė</w:t>
      </w:r>
    </w:p>
    <w:p>
      <w:pPr>
        <w:widowControl w:val="0"/>
        <w:ind w:firstLine="567"/>
        <w:jc w:val="both"/>
      </w:pPr>
    </w:p>
    <w:p>
      <w:pPr>
        <w:widowControl w:val="0"/>
        <w:ind w:firstLine="567"/>
        <w:jc w:val="both"/>
      </w:pPr>
      <w:r>
        <w:t xml:space="preserve">Temperatūra: šynų +70 </w:t>
      </w:r>
      <w:r>
        <w:rPr>
          <w:vertAlign w:val="superscript"/>
        </w:rPr>
        <w:t>o</w:t>
      </w:r>
      <w:r>
        <w:t xml:space="preserve">C, oro +25 </w:t>
      </w:r>
      <w:r>
        <w:rPr>
          <w:vertAlign w:val="superscript"/>
        </w:rPr>
        <w:t>o</w:t>
      </w:r>
      <w:r>
        <w:t>C.</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727"/>
        <w:gridCol w:w="726"/>
        <w:gridCol w:w="907"/>
        <w:gridCol w:w="725"/>
        <w:gridCol w:w="907"/>
        <w:gridCol w:w="1088"/>
        <w:gridCol w:w="1089"/>
        <w:gridCol w:w="1088"/>
        <w:gridCol w:w="1813"/>
      </w:tblGrid>
      <w:tr>
        <w:trPr>
          <w:cantSplit/>
          <w:trHeight w:val="20"/>
          <w:tblHeader/>
        </w:trPr>
        <w:tc>
          <w:tcPr>
            <w:tcW w:w="3973" w:type="dxa"/>
            <w:gridSpan w:val="5"/>
            <w:vAlign w:val="center"/>
          </w:tcPr>
          <w:p>
            <w:pPr>
              <w:widowControl w:val="0"/>
              <w:jc w:val="center"/>
            </w:pPr>
            <w:r>
              <w:t>Pilnavidurės šynos</w:t>
            </w:r>
          </w:p>
        </w:tc>
        <w:tc>
          <w:tcPr>
            <w:tcW w:w="5055" w:type="dxa"/>
            <w:gridSpan w:val="4"/>
            <w:vAlign w:val="center"/>
          </w:tcPr>
          <w:p>
            <w:pPr>
              <w:widowControl w:val="0"/>
              <w:jc w:val="center"/>
            </w:pPr>
            <w:r>
              <w:t>Tuščiavidurės šynos</w:t>
            </w:r>
          </w:p>
        </w:tc>
      </w:tr>
      <w:tr>
        <w:trPr>
          <w:cantSplit/>
          <w:trHeight w:val="20"/>
          <w:tblHeader/>
        </w:trPr>
        <w:tc>
          <w:tcPr>
            <w:tcW w:w="723" w:type="dxa"/>
            <w:vMerge w:val="restart"/>
            <w:vAlign w:val="center"/>
          </w:tcPr>
          <w:p>
            <w:pPr>
              <w:widowControl w:val="0"/>
              <w:jc w:val="center"/>
            </w:pPr>
            <w:r>
              <w:t>Šynos skersmuo, mm</w:t>
            </w:r>
          </w:p>
        </w:tc>
        <w:tc>
          <w:tcPr>
            <w:tcW w:w="1625" w:type="dxa"/>
            <w:gridSpan w:val="2"/>
            <w:vAlign w:val="center"/>
          </w:tcPr>
          <w:p>
            <w:pPr>
              <w:widowControl w:val="0"/>
              <w:jc w:val="center"/>
            </w:pPr>
            <w:r>
              <w:t>varinės</w:t>
            </w:r>
          </w:p>
        </w:tc>
        <w:tc>
          <w:tcPr>
            <w:tcW w:w="1625" w:type="dxa"/>
            <w:gridSpan w:val="2"/>
            <w:vAlign w:val="center"/>
          </w:tcPr>
          <w:p>
            <w:pPr>
              <w:widowControl w:val="0"/>
              <w:jc w:val="center"/>
            </w:pPr>
            <w:r>
              <w:t>aliumininės</w:t>
            </w:r>
          </w:p>
        </w:tc>
        <w:tc>
          <w:tcPr>
            <w:tcW w:w="2167" w:type="dxa"/>
            <w:gridSpan w:val="2"/>
            <w:vAlign w:val="center"/>
          </w:tcPr>
          <w:p>
            <w:pPr>
              <w:widowControl w:val="0"/>
              <w:jc w:val="center"/>
            </w:pPr>
            <w:r>
              <w:t>varinės</w:t>
            </w:r>
          </w:p>
        </w:tc>
        <w:tc>
          <w:tcPr>
            <w:tcW w:w="2888" w:type="dxa"/>
            <w:gridSpan w:val="2"/>
            <w:vAlign w:val="center"/>
          </w:tcPr>
          <w:p>
            <w:pPr>
              <w:widowControl w:val="0"/>
              <w:jc w:val="center"/>
            </w:pPr>
            <w:r>
              <w:t>aliumininės</w:t>
            </w:r>
          </w:p>
        </w:tc>
      </w:tr>
      <w:tr>
        <w:trPr>
          <w:cantSplit/>
          <w:trHeight w:val="20"/>
          <w:tblHeader/>
        </w:trPr>
        <w:tc>
          <w:tcPr>
            <w:tcW w:w="723" w:type="dxa"/>
            <w:vMerge/>
            <w:vAlign w:val="center"/>
          </w:tcPr>
          <w:p>
            <w:pPr>
              <w:widowControl w:val="0"/>
              <w:jc w:val="center"/>
            </w:pPr>
          </w:p>
        </w:tc>
        <w:tc>
          <w:tcPr>
            <w:tcW w:w="1625" w:type="dxa"/>
            <w:gridSpan w:val="2"/>
            <w:vAlign w:val="center"/>
          </w:tcPr>
          <w:p>
            <w:pPr>
              <w:widowControl w:val="0"/>
              <w:jc w:val="center"/>
            </w:pPr>
            <w:r>
              <w:t>leistinoji ilgalaikė srovė, A</w:t>
            </w:r>
          </w:p>
        </w:tc>
        <w:tc>
          <w:tcPr>
            <w:tcW w:w="1625" w:type="dxa"/>
            <w:gridSpan w:val="2"/>
            <w:vAlign w:val="center"/>
          </w:tcPr>
          <w:p>
            <w:pPr>
              <w:widowControl w:val="0"/>
              <w:jc w:val="center"/>
            </w:pPr>
            <w:r>
              <w:t>leistinoji ilgalaikė srovė, A</w:t>
            </w:r>
          </w:p>
        </w:tc>
        <w:tc>
          <w:tcPr>
            <w:tcW w:w="1083" w:type="dxa"/>
            <w:vMerge w:val="restart"/>
          </w:tcPr>
          <w:p>
            <w:pPr>
              <w:widowControl w:val="0"/>
              <w:jc w:val="center"/>
            </w:pPr>
            <w:r>
              <w:t>šynos išorės ir vidaus skersmuo, mm</w:t>
            </w:r>
          </w:p>
        </w:tc>
        <w:tc>
          <w:tcPr>
            <w:tcW w:w="1084" w:type="dxa"/>
            <w:vMerge w:val="restart"/>
          </w:tcPr>
          <w:p>
            <w:pPr>
              <w:widowControl w:val="0"/>
              <w:jc w:val="center"/>
            </w:pPr>
            <w:r>
              <w:t>leistinoji ilgalaikė kintamoji srovė,</w:t>
            </w:r>
          </w:p>
          <w:p>
            <w:pPr>
              <w:widowControl w:val="0"/>
              <w:jc w:val="center"/>
            </w:pPr>
            <w:r>
              <w:t>A</w:t>
            </w:r>
          </w:p>
        </w:tc>
        <w:tc>
          <w:tcPr>
            <w:tcW w:w="1083" w:type="dxa"/>
            <w:vMerge w:val="restart"/>
          </w:tcPr>
          <w:p>
            <w:pPr>
              <w:widowControl w:val="0"/>
              <w:jc w:val="center"/>
            </w:pPr>
            <w:r>
              <w:t>šynos išorės ir vidaus skersmuo, mm</w:t>
            </w:r>
          </w:p>
        </w:tc>
        <w:tc>
          <w:tcPr>
            <w:tcW w:w="1805" w:type="dxa"/>
            <w:vMerge w:val="restart"/>
          </w:tcPr>
          <w:p>
            <w:pPr>
              <w:widowControl w:val="0"/>
              <w:jc w:val="center"/>
            </w:pPr>
            <w:r>
              <w:t>leistinoji ilgalaikė kintamoji srovė,</w:t>
            </w:r>
          </w:p>
          <w:p>
            <w:pPr>
              <w:widowControl w:val="0"/>
              <w:jc w:val="center"/>
            </w:pPr>
            <w:r>
              <w:t>A</w:t>
            </w:r>
          </w:p>
        </w:tc>
      </w:tr>
      <w:tr>
        <w:trPr>
          <w:cantSplit/>
          <w:trHeight w:val="20"/>
          <w:tblHeader/>
        </w:trPr>
        <w:tc>
          <w:tcPr>
            <w:tcW w:w="723" w:type="dxa"/>
            <w:vMerge/>
            <w:vAlign w:val="center"/>
          </w:tcPr>
          <w:p>
            <w:pPr>
              <w:widowControl w:val="0"/>
              <w:jc w:val="center"/>
            </w:pPr>
          </w:p>
        </w:tc>
        <w:tc>
          <w:tcPr>
            <w:tcW w:w="722" w:type="dxa"/>
            <w:vAlign w:val="center"/>
          </w:tcPr>
          <w:p>
            <w:pPr>
              <w:widowControl w:val="0"/>
              <w:jc w:val="center"/>
            </w:pPr>
            <w:r>
              <w:t>kintamoji</w:t>
            </w:r>
          </w:p>
        </w:tc>
        <w:tc>
          <w:tcPr>
            <w:tcW w:w="903" w:type="dxa"/>
            <w:vAlign w:val="center"/>
          </w:tcPr>
          <w:p>
            <w:pPr>
              <w:widowControl w:val="0"/>
              <w:jc w:val="center"/>
            </w:pPr>
            <w:r>
              <w:t>nuolatinė</w:t>
            </w:r>
          </w:p>
        </w:tc>
        <w:tc>
          <w:tcPr>
            <w:tcW w:w="722" w:type="dxa"/>
            <w:vAlign w:val="center"/>
          </w:tcPr>
          <w:p>
            <w:pPr>
              <w:widowControl w:val="0"/>
              <w:jc w:val="center"/>
            </w:pPr>
            <w:r>
              <w:t>kintamoji</w:t>
            </w:r>
          </w:p>
        </w:tc>
        <w:tc>
          <w:tcPr>
            <w:tcW w:w="903" w:type="dxa"/>
            <w:vAlign w:val="center"/>
          </w:tcPr>
          <w:p>
            <w:pPr>
              <w:widowControl w:val="0"/>
              <w:jc w:val="center"/>
            </w:pPr>
            <w:r>
              <w:t>nuolatinė</w:t>
            </w:r>
          </w:p>
        </w:tc>
        <w:tc>
          <w:tcPr>
            <w:tcW w:w="1083" w:type="dxa"/>
            <w:vMerge/>
            <w:vAlign w:val="center"/>
          </w:tcPr>
          <w:p>
            <w:pPr>
              <w:widowControl w:val="0"/>
              <w:jc w:val="center"/>
            </w:pPr>
          </w:p>
        </w:tc>
        <w:tc>
          <w:tcPr>
            <w:tcW w:w="1084" w:type="dxa"/>
            <w:vMerge/>
            <w:vAlign w:val="center"/>
          </w:tcPr>
          <w:p>
            <w:pPr>
              <w:widowControl w:val="0"/>
              <w:jc w:val="center"/>
            </w:pPr>
          </w:p>
        </w:tc>
        <w:tc>
          <w:tcPr>
            <w:tcW w:w="1083" w:type="dxa"/>
            <w:vMerge/>
            <w:vAlign w:val="center"/>
          </w:tcPr>
          <w:p>
            <w:pPr>
              <w:widowControl w:val="0"/>
              <w:jc w:val="center"/>
            </w:pPr>
          </w:p>
        </w:tc>
        <w:tc>
          <w:tcPr>
            <w:tcW w:w="1805" w:type="dxa"/>
            <w:vMerge/>
            <w:vAlign w:val="center"/>
          </w:tcPr>
          <w:p>
            <w:pPr>
              <w:widowControl w:val="0"/>
              <w:jc w:val="center"/>
            </w:pPr>
          </w:p>
        </w:tc>
      </w:tr>
      <w:tr>
        <w:trPr>
          <w:cantSplit/>
          <w:trHeight w:val="20"/>
        </w:trPr>
        <w:tc>
          <w:tcPr>
            <w:tcW w:w="723" w:type="dxa"/>
            <w:tcBorders>
              <w:bottom w:val="single" w:sz="2" w:space="0" w:color="auto"/>
            </w:tcBorders>
            <w:vAlign w:val="center"/>
          </w:tcPr>
          <w:p>
            <w:pPr>
              <w:widowControl w:val="0"/>
              <w:jc w:val="center"/>
            </w:pPr>
            <w:r>
              <w:t>6</w:t>
            </w:r>
          </w:p>
        </w:tc>
        <w:tc>
          <w:tcPr>
            <w:tcW w:w="722" w:type="dxa"/>
            <w:tcBorders>
              <w:bottom w:val="single" w:sz="2" w:space="0" w:color="auto"/>
            </w:tcBorders>
            <w:vAlign w:val="center"/>
          </w:tcPr>
          <w:p>
            <w:pPr>
              <w:widowControl w:val="0"/>
              <w:jc w:val="center"/>
            </w:pPr>
            <w:r>
              <w:t>155</w:t>
            </w:r>
          </w:p>
        </w:tc>
        <w:tc>
          <w:tcPr>
            <w:tcW w:w="903" w:type="dxa"/>
            <w:tcBorders>
              <w:bottom w:val="single" w:sz="2" w:space="0" w:color="auto"/>
            </w:tcBorders>
            <w:vAlign w:val="center"/>
          </w:tcPr>
          <w:p>
            <w:pPr>
              <w:widowControl w:val="0"/>
              <w:jc w:val="center"/>
            </w:pPr>
            <w:r>
              <w:t>155</w:t>
            </w:r>
          </w:p>
        </w:tc>
        <w:tc>
          <w:tcPr>
            <w:tcW w:w="722" w:type="dxa"/>
            <w:tcBorders>
              <w:bottom w:val="single" w:sz="2" w:space="0" w:color="auto"/>
            </w:tcBorders>
            <w:vAlign w:val="center"/>
          </w:tcPr>
          <w:p>
            <w:pPr>
              <w:widowControl w:val="0"/>
              <w:jc w:val="center"/>
            </w:pPr>
            <w:r>
              <w:t>120</w:t>
            </w:r>
          </w:p>
        </w:tc>
        <w:tc>
          <w:tcPr>
            <w:tcW w:w="903" w:type="dxa"/>
            <w:tcBorders>
              <w:bottom w:val="single" w:sz="2" w:space="0" w:color="auto"/>
            </w:tcBorders>
            <w:vAlign w:val="center"/>
          </w:tcPr>
          <w:p>
            <w:pPr>
              <w:widowControl w:val="0"/>
              <w:jc w:val="center"/>
            </w:pPr>
            <w:r>
              <w:t>120</w:t>
            </w:r>
          </w:p>
        </w:tc>
        <w:tc>
          <w:tcPr>
            <w:tcW w:w="1083" w:type="dxa"/>
            <w:tcBorders>
              <w:bottom w:val="single" w:sz="2" w:space="0" w:color="auto"/>
            </w:tcBorders>
            <w:vAlign w:val="center"/>
          </w:tcPr>
          <w:p>
            <w:pPr>
              <w:widowControl w:val="0"/>
              <w:jc w:val="center"/>
            </w:pPr>
            <w:r>
              <w:t>15/12</w:t>
            </w:r>
          </w:p>
        </w:tc>
        <w:tc>
          <w:tcPr>
            <w:tcW w:w="1084" w:type="dxa"/>
            <w:tcBorders>
              <w:bottom w:val="single" w:sz="2" w:space="0" w:color="auto"/>
            </w:tcBorders>
            <w:vAlign w:val="center"/>
          </w:tcPr>
          <w:p>
            <w:pPr>
              <w:widowControl w:val="0"/>
              <w:jc w:val="center"/>
            </w:pPr>
            <w:r>
              <w:t>340</w:t>
            </w:r>
          </w:p>
        </w:tc>
        <w:tc>
          <w:tcPr>
            <w:tcW w:w="1083" w:type="dxa"/>
            <w:tcBorders>
              <w:bottom w:val="single" w:sz="2" w:space="0" w:color="auto"/>
            </w:tcBorders>
            <w:vAlign w:val="center"/>
          </w:tcPr>
          <w:p>
            <w:pPr>
              <w:widowControl w:val="0"/>
              <w:jc w:val="center"/>
            </w:pPr>
            <w:r>
              <w:t>16/13</w:t>
            </w:r>
          </w:p>
        </w:tc>
        <w:tc>
          <w:tcPr>
            <w:tcW w:w="1805" w:type="dxa"/>
            <w:tcBorders>
              <w:bottom w:val="single" w:sz="2" w:space="0" w:color="auto"/>
            </w:tcBorders>
            <w:vAlign w:val="center"/>
          </w:tcPr>
          <w:p>
            <w:pPr>
              <w:widowControl w:val="0"/>
              <w:jc w:val="center"/>
            </w:pPr>
            <w:r>
              <w:t>295</w:t>
            </w:r>
          </w:p>
        </w:tc>
      </w:tr>
      <w:tr>
        <w:trPr>
          <w:cantSplit/>
          <w:trHeight w:val="20"/>
        </w:trPr>
        <w:tc>
          <w:tcPr>
            <w:tcW w:w="723" w:type="dxa"/>
            <w:tcBorders>
              <w:bottom w:val="single" w:sz="2" w:space="0" w:color="auto"/>
            </w:tcBorders>
            <w:vAlign w:val="center"/>
          </w:tcPr>
          <w:p>
            <w:pPr>
              <w:widowControl w:val="0"/>
              <w:jc w:val="center"/>
            </w:pPr>
            <w:r>
              <w:t>7</w:t>
            </w:r>
          </w:p>
        </w:tc>
        <w:tc>
          <w:tcPr>
            <w:tcW w:w="722" w:type="dxa"/>
            <w:tcBorders>
              <w:bottom w:val="single" w:sz="2" w:space="0" w:color="auto"/>
            </w:tcBorders>
            <w:vAlign w:val="center"/>
          </w:tcPr>
          <w:p>
            <w:pPr>
              <w:widowControl w:val="0"/>
              <w:jc w:val="center"/>
            </w:pPr>
            <w:r>
              <w:t>195</w:t>
            </w:r>
          </w:p>
        </w:tc>
        <w:tc>
          <w:tcPr>
            <w:tcW w:w="903" w:type="dxa"/>
            <w:tcBorders>
              <w:bottom w:val="single" w:sz="2" w:space="0" w:color="auto"/>
            </w:tcBorders>
            <w:vAlign w:val="center"/>
          </w:tcPr>
          <w:p>
            <w:pPr>
              <w:widowControl w:val="0"/>
              <w:jc w:val="center"/>
            </w:pPr>
            <w:r>
              <w:t>195</w:t>
            </w:r>
          </w:p>
        </w:tc>
        <w:tc>
          <w:tcPr>
            <w:tcW w:w="722" w:type="dxa"/>
            <w:tcBorders>
              <w:bottom w:val="single" w:sz="2" w:space="0" w:color="auto"/>
            </w:tcBorders>
            <w:vAlign w:val="center"/>
          </w:tcPr>
          <w:p>
            <w:pPr>
              <w:widowControl w:val="0"/>
              <w:jc w:val="center"/>
            </w:pPr>
            <w:r>
              <w:t>150</w:t>
            </w:r>
          </w:p>
        </w:tc>
        <w:tc>
          <w:tcPr>
            <w:tcW w:w="903" w:type="dxa"/>
            <w:tcBorders>
              <w:bottom w:val="single" w:sz="2" w:space="0" w:color="auto"/>
            </w:tcBorders>
            <w:vAlign w:val="center"/>
          </w:tcPr>
          <w:p>
            <w:pPr>
              <w:widowControl w:val="0"/>
              <w:jc w:val="center"/>
            </w:pPr>
            <w:r>
              <w:t>150</w:t>
            </w:r>
          </w:p>
        </w:tc>
        <w:tc>
          <w:tcPr>
            <w:tcW w:w="1083" w:type="dxa"/>
            <w:tcBorders>
              <w:bottom w:val="single" w:sz="2" w:space="0" w:color="auto"/>
            </w:tcBorders>
            <w:vAlign w:val="center"/>
          </w:tcPr>
          <w:p>
            <w:pPr>
              <w:widowControl w:val="0"/>
              <w:jc w:val="center"/>
            </w:pPr>
            <w:r>
              <w:t>18/14</w:t>
            </w:r>
          </w:p>
        </w:tc>
        <w:tc>
          <w:tcPr>
            <w:tcW w:w="1084" w:type="dxa"/>
            <w:tcBorders>
              <w:bottom w:val="single" w:sz="2" w:space="0" w:color="auto"/>
            </w:tcBorders>
            <w:vAlign w:val="center"/>
          </w:tcPr>
          <w:p>
            <w:pPr>
              <w:widowControl w:val="0"/>
              <w:jc w:val="center"/>
            </w:pPr>
            <w:r>
              <w:t>460</w:t>
            </w:r>
          </w:p>
        </w:tc>
        <w:tc>
          <w:tcPr>
            <w:tcW w:w="1083" w:type="dxa"/>
            <w:tcBorders>
              <w:bottom w:val="single" w:sz="2" w:space="0" w:color="auto"/>
            </w:tcBorders>
            <w:vAlign w:val="center"/>
          </w:tcPr>
          <w:p>
            <w:pPr>
              <w:widowControl w:val="0"/>
              <w:jc w:val="center"/>
            </w:pPr>
            <w:r>
              <w:t>20/17</w:t>
            </w:r>
          </w:p>
        </w:tc>
        <w:tc>
          <w:tcPr>
            <w:tcW w:w="1805" w:type="dxa"/>
            <w:tcBorders>
              <w:bottom w:val="single" w:sz="2" w:space="0" w:color="auto"/>
            </w:tcBorders>
            <w:vAlign w:val="center"/>
          </w:tcPr>
          <w:p>
            <w:pPr>
              <w:widowControl w:val="0"/>
              <w:jc w:val="center"/>
            </w:pPr>
            <w:r>
              <w:t>345</w:t>
            </w:r>
          </w:p>
        </w:tc>
      </w:tr>
      <w:tr>
        <w:trPr>
          <w:cantSplit/>
          <w:trHeight w:val="20"/>
        </w:trPr>
        <w:tc>
          <w:tcPr>
            <w:tcW w:w="723" w:type="dxa"/>
            <w:tcBorders>
              <w:top w:val="single" w:sz="2" w:space="0" w:color="auto"/>
            </w:tcBorders>
            <w:vAlign w:val="center"/>
          </w:tcPr>
          <w:p>
            <w:pPr>
              <w:widowControl w:val="0"/>
              <w:jc w:val="center"/>
            </w:pPr>
            <w:r>
              <w:t>8</w:t>
            </w:r>
          </w:p>
        </w:tc>
        <w:tc>
          <w:tcPr>
            <w:tcW w:w="722" w:type="dxa"/>
            <w:tcBorders>
              <w:top w:val="single" w:sz="2" w:space="0" w:color="auto"/>
            </w:tcBorders>
            <w:vAlign w:val="center"/>
          </w:tcPr>
          <w:p>
            <w:pPr>
              <w:widowControl w:val="0"/>
              <w:jc w:val="center"/>
            </w:pPr>
            <w:r>
              <w:t>235</w:t>
            </w:r>
          </w:p>
        </w:tc>
        <w:tc>
          <w:tcPr>
            <w:tcW w:w="903" w:type="dxa"/>
            <w:tcBorders>
              <w:top w:val="single" w:sz="2" w:space="0" w:color="auto"/>
            </w:tcBorders>
            <w:vAlign w:val="center"/>
          </w:tcPr>
          <w:p>
            <w:pPr>
              <w:widowControl w:val="0"/>
              <w:jc w:val="center"/>
            </w:pPr>
            <w:r>
              <w:t>235</w:t>
            </w:r>
          </w:p>
        </w:tc>
        <w:tc>
          <w:tcPr>
            <w:tcW w:w="722" w:type="dxa"/>
            <w:tcBorders>
              <w:top w:val="single" w:sz="2" w:space="0" w:color="auto"/>
            </w:tcBorders>
            <w:vAlign w:val="center"/>
          </w:tcPr>
          <w:p>
            <w:pPr>
              <w:widowControl w:val="0"/>
              <w:jc w:val="center"/>
            </w:pPr>
            <w:r>
              <w:t>180</w:t>
            </w:r>
          </w:p>
        </w:tc>
        <w:tc>
          <w:tcPr>
            <w:tcW w:w="903" w:type="dxa"/>
            <w:tcBorders>
              <w:top w:val="single" w:sz="2" w:space="0" w:color="auto"/>
            </w:tcBorders>
            <w:vAlign w:val="center"/>
          </w:tcPr>
          <w:p>
            <w:pPr>
              <w:widowControl w:val="0"/>
              <w:jc w:val="center"/>
            </w:pPr>
            <w:r>
              <w:t>180</w:t>
            </w:r>
          </w:p>
        </w:tc>
        <w:tc>
          <w:tcPr>
            <w:tcW w:w="1083" w:type="dxa"/>
            <w:tcBorders>
              <w:top w:val="single" w:sz="2" w:space="0" w:color="auto"/>
            </w:tcBorders>
            <w:vAlign w:val="center"/>
          </w:tcPr>
          <w:p>
            <w:pPr>
              <w:widowControl w:val="0"/>
              <w:jc w:val="center"/>
            </w:pPr>
            <w:r>
              <w:t>20/16</w:t>
            </w:r>
          </w:p>
        </w:tc>
        <w:tc>
          <w:tcPr>
            <w:tcW w:w="1084" w:type="dxa"/>
            <w:tcBorders>
              <w:top w:val="single" w:sz="2" w:space="0" w:color="auto"/>
            </w:tcBorders>
            <w:vAlign w:val="center"/>
          </w:tcPr>
          <w:p>
            <w:pPr>
              <w:widowControl w:val="0"/>
              <w:jc w:val="center"/>
            </w:pPr>
            <w:r>
              <w:t>505</w:t>
            </w:r>
          </w:p>
        </w:tc>
        <w:tc>
          <w:tcPr>
            <w:tcW w:w="1083" w:type="dxa"/>
            <w:tcBorders>
              <w:top w:val="single" w:sz="2" w:space="0" w:color="auto"/>
            </w:tcBorders>
            <w:vAlign w:val="center"/>
          </w:tcPr>
          <w:p>
            <w:pPr>
              <w:widowControl w:val="0"/>
              <w:jc w:val="center"/>
            </w:pPr>
            <w:r>
              <w:t>22/18</w:t>
            </w:r>
          </w:p>
        </w:tc>
        <w:tc>
          <w:tcPr>
            <w:tcW w:w="1805" w:type="dxa"/>
            <w:tcBorders>
              <w:top w:val="single" w:sz="2" w:space="0" w:color="auto"/>
            </w:tcBorders>
            <w:vAlign w:val="center"/>
          </w:tcPr>
          <w:p>
            <w:pPr>
              <w:widowControl w:val="0"/>
              <w:jc w:val="center"/>
            </w:pPr>
            <w:r>
              <w:t>425</w:t>
            </w:r>
          </w:p>
        </w:tc>
      </w:tr>
      <w:tr>
        <w:trPr>
          <w:cantSplit/>
          <w:trHeight w:val="20"/>
        </w:trPr>
        <w:tc>
          <w:tcPr>
            <w:tcW w:w="723" w:type="dxa"/>
            <w:vAlign w:val="center"/>
          </w:tcPr>
          <w:p>
            <w:pPr>
              <w:widowControl w:val="0"/>
              <w:jc w:val="center"/>
            </w:pPr>
            <w:r>
              <w:t>10</w:t>
            </w:r>
          </w:p>
        </w:tc>
        <w:tc>
          <w:tcPr>
            <w:tcW w:w="722" w:type="dxa"/>
            <w:vAlign w:val="center"/>
          </w:tcPr>
          <w:p>
            <w:pPr>
              <w:widowControl w:val="0"/>
              <w:jc w:val="center"/>
            </w:pPr>
            <w:r>
              <w:t>320</w:t>
            </w:r>
          </w:p>
        </w:tc>
        <w:tc>
          <w:tcPr>
            <w:tcW w:w="903" w:type="dxa"/>
            <w:vAlign w:val="center"/>
          </w:tcPr>
          <w:p>
            <w:pPr>
              <w:widowControl w:val="0"/>
              <w:jc w:val="center"/>
            </w:pPr>
            <w:r>
              <w:t>320</w:t>
            </w:r>
          </w:p>
        </w:tc>
        <w:tc>
          <w:tcPr>
            <w:tcW w:w="722" w:type="dxa"/>
            <w:vAlign w:val="center"/>
          </w:tcPr>
          <w:p>
            <w:pPr>
              <w:widowControl w:val="0"/>
              <w:jc w:val="center"/>
            </w:pPr>
            <w:r>
              <w:t>245</w:t>
            </w:r>
          </w:p>
        </w:tc>
        <w:tc>
          <w:tcPr>
            <w:tcW w:w="903" w:type="dxa"/>
            <w:vAlign w:val="center"/>
          </w:tcPr>
          <w:p>
            <w:pPr>
              <w:widowControl w:val="0"/>
              <w:jc w:val="center"/>
            </w:pPr>
            <w:r>
              <w:t>245</w:t>
            </w:r>
          </w:p>
        </w:tc>
        <w:tc>
          <w:tcPr>
            <w:tcW w:w="1083" w:type="dxa"/>
            <w:vAlign w:val="center"/>
          </w:tcPr>
          <w:p>
            <w:pPr>
              <w:widowControl w:val="0"/>
              <w:jc w:val="center"/>
            </w:pPr>
            <w:r>
              <w:t>22/18</w:t>
            </w:r>
          </w:p>
        </w:tc>
        <w:tc>
          <w:tcPr>
            <w:tcW w:w="1084" w:type="dxa"/>
            <w:vAlign w:val="center"/>
          </w:tcPr>
          <w:p>
            <w:pPr>
              <w:widowControl w:val="0"/>
              <w:jc w:val="center"/>
            </w:pPr>
            <w:r>
              <w:t>555</w:t>
            </w:r>
          </w:p>
        </w:tc>
        <w:tc>
          <w:tcPr>
            <w:tcW w:w="1083" w:type="dxa"/>
            <w:vAlign w:val="center"/>
          </w:tcPr>
          <w:p>
            <w:pPr>
              <w:widowControl w:val="0"/>
              <w:jc w:val="center"/>
            </w:pPr>
            <w:r>
              <w:t>30/27</w:t>
            </w:r>
          </w:p>
        </w:tc>
        <w:tc>
          <w:tcPr>
            <w:tcW w:w="1805" w:type="dxa"/>
            <w:vAlign w:val="center"/>
          </w:tcPr>
          <w:p>
            <w:pPr>
              <w:widowControl w:val="0"/>
              <w:jc w:val="center"/>
            </w:pPr>
            <w:r>
              <w:t>500</w:t>
            </w:r>
          </w:p>
        </w:tc>
      </w:tr>
      <w:tr>
        <w:trPr>
          <w:cantSplit/>
          <w:trHeight w:val="20"/>
        </w:trPr>
        <w:tc>
          <w:tcPr>
            <w:tcW w:w="723" w:type="dxa"/>
            <w:vAlign w:val="center"/>
          </w:tcPr>
          <w:p>
            <w:pPr>
              <w:widowControl w:val="0"/>
              <w:jc w:val="center"/>
            </w:pPr>
            <w:r>
              <w:t>12</w:t>
            </w:r>
          </w:p>
        </w:tc>
        <w:tc>
          <w:tcPr>
            <w:tcW w:w="722" w:type="dxa"/>
            <w:vAlign w:val="center"/>
          </w:tcPr>
          <w:p>
            <w:pPr>
              <w:widowControl w:val="0"/>
              <w:jc w:val="center"/>
            </w:pPr>
            <w:r>
              <w:t>415</w:t>
            </w:r>
          </w:p>
        </w:tc>
        <w:tc>
          <w:tcPr>
            <w:tcW w:w="903" w:type="dxa"/>
            <w:vAlign w:val="center"/>
          </w:tcPr>
          <w:p>
            <w:pPr>
              <w:widowControl w:val="0"/>
              <w:jc w:val="center"/>
            </w:pPr>
            <w:r>
              <w:t>415</w:t>
            </w:r>
          </w:p>
        </w:tc>
        <w:tc>
          <w:tcPr>
            <w:tcW w:w="722" w:type="dxa"/>
            <w:vAlign w:val="center"/>
          </w:tcPr>
          <w:p>
            <w:pPr>
              <w:widowControl w:val="0"/>
              <w:jc w:val="center"/>
            </w:pPr>
            <w:r>
              <w:t>320</w:t>
            </w:r>
          </w:p>
        </w:tc>
        <w:tc>
          <w:tcPr>
            <w:tcW w:w="903" w:type="dxa"/>
            <w:vAlign w:val="center"/>
          </w:tcPr>
          <w:p>
            <w:pPr>
              <w:widowControl w:val="0"/>
              <w:jc w:val="center"/>
            </w:pPr>
            <w:r>
              <w:t>320</w:t>
            </w:r>
          </w:p>
        </w:tc>
        <w:tc>
          <w:tcPr>
            <w:tcW w:w="1083" w:type="dxa"/>
            <w:vAlign w:val="center"/>
          </w:tcPr>
          <w:p>
            <w:pPr>
              <w:widowControl w:val="0"/>
              <w:jc w:val="center"/>
            </w:pPr>
            <w:r>
              <w:t>24/20</w:t>
            </w:r>
          </w:p>
        </w:tc>
        <w:tc>
          <w:tcPr>
            <w:tcW w:w="1084" w:type="dxa"/>
            <w:vAlign w:val="center"/>
          </w:tcPr>
          <w:p>
            <w:pPr>
              <w:widowControl w:val="0"/>
              <w:jc w:val="center"/>
            </w:pPr>
            <w:r>
              <w:t>600</w:t>
            </w:r>
          </w:p>
        </w:tc>
        <w:tc>
          <w:tcPr>
            <w:tcW w:w="1083" w:type="dxa"/>
            <w:vAlign w:val="center"/>
          </w:tcPr>
          <w:p>
            <w:pPr>
              <w:widowControl w:val="0"/>
              <w:jc w:val="center"/>
            </w:pPr>
            <w:r>
              <w:t>30/26</w:t>
            </w:r>
          </w:p>
        </w:tc>
        <w:tc>
          <w:tcPr>
            <w:tcW w:w="1805" w:type="dxa"/>
            <w:vAlign w:val="center"/>
          </w:tcPr>
          <w:p>
            <w:pPr>
              <w:widowControl w:val="0"/>
              <w:jc w:val="center"/>
            </w:pPr>
            <w:r>
              <w:t>575</w:t>
            </w:r>
          </w:p>
        </w:tc>
      </w:tr>
      <w:tr>
        <w:trPr>
          <w:cantSplit/>
          <w:trHeight w:val="20"/>
        </w:trPr>
        <w:tc>
          <w:tcPr>
            <w:tcW w:w="723" w:type="dxa"/>
            <w:vAlign w:val="center"/>
          </w:tcPr>
          <w:p>
            <w:pPr>
              <w:widowControl w:val="0"/>
              <w:jc w:val="center"/>
            </w:pPr>
            <w:r>
              <w:t>14</w:t>
            </w:r>
          </w:p>
        </w:tc>
        <w:tc>
          <w:tcPr>
            <w:tcW w:w="722" w:type="dxa"/>
            <w:vAlign w:val="center"/>
          </w:tcPr>
          <w:p>
            <w:pPr>
              <w:widowControl w:val="0"/>
              <w:jc w:val="center"/>
            </w:pPr>
            <w:r>
              <w:t>505</w:t>
            </w:r>
          </w:p>
        </w:tc>
        <w:tc>
          <w:tcPr>
            <w:tcW w:w="903" w:type="dxa"/>
            <w:vAlign w:val="center"/>
          </w:tcPr>
          <w:p>
            <w:pPr>
              <w:widowControl w:val="0"/>
              <w:jc w:val="center"/>
            </w:pPr>
            <w:r>
              <w:t>505</w:t>
            </w:r>
          </w:p>
        </w:tc>
        <w:tc>
          <w:tcPr>
            <w:tcW w:w="722" w:type="dxa"/>
            <w:vAlign w:val="center"/>
          </w:tcPr>
          <w:p>
            <w:pPr>
              <w:widowControl w:val="0"/>
              <w:jc w:val="center"/>
            </w:pPr>
            <w:r>
              <w:t>390</w:t>
            </w:r>
          </w:p>
        </w:tc>
        <w:tc>
          <w:tcPr>
            <w:tcW w:w="903" w:type="dxa"/>
            <w:vAlign w:val="center"/>
          </w:tcPr>
          <w:p>
            <w:pPr>
              <w:widowControl w:val="0"/>
              <w:jc w:val="center"/>
            </w:pPr>
            <w:r>
              <w:t>390</w:t>
            </w:r>
          </w:p>
        </w:tc>
        <w:tc>
          <w:tcPr>
            <w:tcW w:w="1083" w:type="dxa"/>
            <w:vAlign w:val="center"/>
          </w:tcPr>
          <w:p>
            <w:pPr>
              <w:widowControl w:val="0"/>
              <w:jc w:val="center"/>
            </w:pPr>
            <w:r>
              <w:t>26/22</w:t>
            </w:r>
          </w:p>
        </w:tc>
        <w:tc>
          <w:tcPr>
            <w:tcW w:w="1084" w:type="dxa"/>
            <w:vAlign w:val="center"/>
          </w:tcPr>
          <w:p>
            <w:pPr>
              <w:widowControl w:val="0"/>
              <w:jc w:val="center"/>
            </w:pPr>
            <w:r>
              <w:t>650</w:t>
            </w:r>
          </w:p>
        </w:tc>
        <w:tc>
          <w:tcPr>
            <w:tcW w:w="1083" w:type="dxa"/>
            <w:vAlign w:val="center"/>
          </w:tcPr>
          <w:p>
            <w:pPr>
              <w:widowControl w:val="0"/>
              <w:jc w:val="center"/>
            </w:pPr>
            <w:r>
              <w:t>30/25</w:t>
            </w:r>
          </w:p>
        </w:tc>
        <w:tc>
          <w:tcPr>
            <w:tcW w:w="1805" w:type="dxa"/>
            <w:vAlign w:val="center"/>
          </w:tcPr>
          <w:p>
            <w:pPr>
              <w:widowControl w:val="0"/>
              <w:jc w:val="center"/>
            </w:pPr>
            <w:r>
              <w:t>640</w:t>
            </w:r>
          </w:p>
        </w:tc>
      </w:tr>
      <w:tr>
        <w:trPr>
          <w:cantSplit/>
          <w:trHeight w:val="20"/>
        </w:trPr>
        <w:tc>
          <w:tcPr>
            <w:tcW w:w="723" w:type="dxa"/>
            <w:vAlign w:val="center"/>
          </w:tcPr>
          <w:p>
            <w:pPr>
              <w:widowControl w:val="0"/>
              <w:jc w:val="center"/>
            </w:pPr>
            <w:r>
              <w:t>15</w:t>
            </w:r>
          </w:p>
        </w:tc>
        <w:tc>
          <w:tcPr>
            <w:tcW w:w="722" w:type="dxa"/>
            <w:vAlign w:val="center"/>
          </w:tcPr>
          <w:p>
            <w:pPr>
              <w:widowControl w:val="0"/>
              <w:jc w:val="center"/>
            </w:pPr>
            <w:r>
              <w:t>565</w:t>
            </w:r>
          </w:p>
        </w:tc>
        <w:tc>
          <w:tcPr>
            <w:tcW w:w="903" w:type="dxa"/>
            <w:vAlign w:val="center"/>
          </w:tcPr>
          <w:p>
            <w:pPr>
              <w:widowControl w:val="0"/>
              <w:jc w:val="center"/>
            </w:pPr>
            <w:r>
              <w:t>565</w:t>
            </w:r>
          </w:p>
        </w:tc>
        <w:tc>
          <w:tcPr>
            <w:tcW w:w="722" w:type="dxa"/>
            <w:vAlign w:val="center"/>
          </w:tcPr>
          <w:p>
            <w:pPr>
              <w:widowControl w:val="0"/>
              <w:jc w:val="center"/>
            </w:pPr>
            <w:r>
              <w:t>435</w:t>
            </w:r>
          </w:p>
        </w:tc>
        <w:tc>
          <w:tcPr>
            <w:tcW w:w="903" w:type="dxa"/>
            <w:vAlign w:val="center"/>
          </w:tcPr>
          <w:p>
            <w:pPr>
              <w:widowControl w:val="0"/>
              <w:jc w:val="center"/>
            </w:pPr>
            <w:r>
              <w:t>435</w:t>
            </w:r>
          </w:p>
        </w:tc>
        <w:tc>
          <w:tcPr>
            <w:tcW w:w="1083" w:type="dxa"/>
            <w:vAlign w:val="center"/>
          </w:tcPr>
          <w:p>
            <w:pPr>
              <w:widowControl w:val="0"/>
              <w:jc w:val="center"/>
            </w:pPr>
            <w:r>
              <w:t>30/25</w:t>
            </w:r>
          </w:p>
        </w:tc>
        <w:tc>
          <w:tcPr>
            <w:tcW w:w="1084" w:type="dxa"/>
            <w:vAlign w:val="center"/>
          </w:tcPr>
          <w:p>
            <w:pPr>
              <w:widowControl w:val="0"/>
              <w:jc w:val="center"/>
            </w:pPr>
            <w:r>
              <w:t>830</w:t>
            </w:r>
          </w:p>
        </w:tc>
        <w:tc>
          <w:tcPr>
            <w:tcW w:w="1083" w:type="dxa"/>
            <w:vAlign w:val="center"/>
          </w:tcPr>
          <w:p>
            <w:pPr>
              <w:widowControl w:val="0"/>
              <w:jc w:val="center"/>
            </w:pPr>
            <w:r>
              <w:t>40/36</w:t>
            </w:r>
          </w:p>
        </w:tc>
        <w:tc>
          <w:tcPr>
            <w:tcW w:w="1805" w:type="dxa"/>
            <w:vAlign w:val="center"/>
          </w:tcPr>
          <w:p>
            <w:pPr>
              <w:widowControl w:val="0"/>
              <w:jc w:val="center"/>
            </w:pPr>
            <w:r>
              <w:t>765</w:t>
            </w:r>
          </w:p>
        </w:tc>
      </w:tr>
      <w:tr>
        <w:trPr>
          <w:cantSplit/>
          <w:trHeight w:val="20"/>
        </w:trPr>
        <w:tc>
          <w:tcPr>
            <w:tcW w:w="723" w:type="dxa"/>
            <w:vAlign w:val="center"/>
          </w:tcPr>
          <w:p>
            <w:pPr>
              <w:widowControl w:val="0"/>
              <w:jc w:val="center"/>
            </w:pPr>
            <w:r>
              <w:t>16</w:t>
            </w:r>
          </w:p>
        </w:tc>
        <w:tc>
          <w:tcPr>
            <w:tcW w:w="722" w:type="dxa"/>
            <w:vAlign w:val="center"/>
          </w:tcPr>
          <w:p>
            <w:pPr>
              <w:widowControl w:val="0"/>
              <w:jc w:val="center"/>
            </w:pPr>
            <w:r>
              <w:t>610</w:t>
            </w:r>
          </w:p>
        </w:tc>
        <w:tc>
          <w:tcPr>
            <w:tcW w:w="903" w:type="dxa"/>
            <w:vAlign w:val="center"/>
          </w:tcPr>
          <w:p>
            <w:pPr>
              <w:widowControl w:val="0"/>
              <w:jc w:val="center"/>
            </w:pPr>
            <w:r>
              <w:t>615</w:t>
            </w:r>
          </w:p>
        </w:tc>
        <w:tc>
          <w:tcPr>
            <w:tcW w:w="722" w:type="dxa"/>
            <w:vAlign w:val="center"/>
          </w:tcPr>
          <w:p>
            <w:pPr>
              <w:widowControl w:val="0"/>
              <w:jc w:val="center"/>
            </w:pPr>
            <w:r>
              <w:t>475</w:t>
            </w:r>
          </w:p>
        </w:tc>
        <w:tc>
          <w:tcPr>
            <w:tcW w:w="903" w:type="dxa"/>
            <w:vAlign w:val="center"/>
          </w:tcPr>
          <w:p>
            <w:pPr>
              <w:widowControl w:val="0"/>
              <w:jc w:val="center"/>
            </w:pPr>
            <w:r>
              <w:t>475</w:t>
            </w:r>
          </w:p>
        </w:tc>
        <w:tc>
          <w:tcPr>
            <w:tcW w:w="1083" w:type="dxa"/>
            <w:vAlign w:val="center"/>
          </w:tcPr>
          <w:p>
            <w:pPr>
              <w:widowControl w:val="0"/>
              <w:jc w:val="center"/>
            </w:pPr>
            <w:r>
              <w:t>34/29</w:t>
            </w:r>
          </w:p>
        </w:tc>
        <w:tc>
          <w:tcPr>
            <w:tcW w:w="1084" w:type="dxa"/>
            <w:vAlign w:val="center"/>
          </w:tcPr>
          <w:p>
            <w:pPr>
              <w:widowControl w:val="0"/>
              <w:jc w:val="center"/>
            </w:pPr>
            <w:r>
              <w:t>925</w:t>
            </w:r>
          </w:p>
        </w:tc>
        <w:tc>
          <w:tcPr>
            <w:tcW w:w="1083" w:type="dxa"/>
            <w:vAlign w:val="center"/>
          </w:tcPr>
          <w:p>
            <w:pPr>
              <w:widowControl w:val="0"/>
              <w:jc w:val="center"/>
            </w:pPr>
            <w:r>
              <w:t>40/35</w:t>
            </w:r>
          </w:p>
        </w:tc>
        <w:tc>
          <w:tcPr>
            <w:tcW w:w="1805" w:type="dxa"/>
            <w:vAlign w:val="center"/>
          </w:tcPr>
          <w:p>
            <w:pPr>
              <w:widowControl w:val="0"/>
              <w:jc w:val="center"/>
            </w:pPr>
            <w:r>
              <w:t>850</w:t>
            </w:r>
          </w:p>
        </w:tc>
      </w:tr>
      <w:tr>
        <w:trPr>
          <w:cantSplit/>
          <w:trHeight w:val="20"/>
        </w:trPr>
        <w:tc>
          <w:tcPr>
            <w:tcW w:w="723" w:type="dxa"/>
            <w:vAlign w:val="center"/>
          </w:tcPr>
          <w:p>
            <w:pPr>
              <w:widowControl w:val="0"/>
              <w:jc w:val="center"/>
            </w:pPr>
            <w:r>
              <w:t>18</w:t>
            </w:r>
          </w:p>
        </w:tc>
        <w:tc>
          <w:tcPr>
            <w:tcW w:w="722" w:type="dxa"/>
            <w:vAlign w:val="center"/>
          </w:tcPr>
          <w:p>
            <w:pPr>
              <w:widowControl w:val="0"/>
              <w:jc w:val="center"/>
            </w:pPr>
            <w:r>
              <w:t>720</w:t>
            </w:r>
          </w:p>
        </w:tc>
        <w:tc>
          <w:tcPr>
            <w:tcW w:w="903" w:type="dxa"/>
            <w:vAlign w:val="center"/>
          </w:tcPr>
          <w:p>
            <w:pPr>
              <w:widowControl w:val="0"/>
              <w:jc w:val="center"/>
            </w:pPr>
            <w:r>
              <w:t>725</w:t>
            </w:r>
          </w:p>
        </w:tc>
        <w:tc>
          <w:tcPr>
            <w:tcW w:w="722" w:type="dxa"/>
            <w:vAlign w:val="center"/>
          </w:tcPr>
          <w:p>
            <w:pPr>
              <w:widowControl w:val="0"/>
              <w:jc w:val="center"/>
            </w:pPr>
            <w:r>
              <w:t>560</w:t>
            </w:r>
          </w:p>
        </w:tc>
        <w:tc>
          <w:tcPr>
            <w:tcW w:w="903" w:type="dxa"/>
            <w:vAlign w:val="center"/>
          </w:tcPr>
          <w:p>
            <w:pPr>
              <w:widowControl w:val="0"/>
              <w:jc w:val="center"/>
            </w:pPr>
            <w:r>
              <w:t>560</w:t>
            </w:r>
          </w:p>
        </w:tc>
        <w:tc>
          <w:tcPr>
            <w:tcW w:w="1083" w:type="dxa"/>
            <w:vAlign w:val="center"/>
          </w:tcPr>
          <w:p>
            <w:pPr>
              <w:widowControl w:val="0"/>
              <w:jc w:val="center"/>
            </w:pPr>
            <w:r>
              <w:t>40/35</w:t>
            </w:r>
          </w:p>
        </w:tc>
        <w:tc>
          <w:tcPr>
            <w:tcW w:w="1084" w:type="dxa"/>
            <w:vAlign w:val="center"/>
          </w:tcPr>
          <w:p>
            <w:pPr>
              <w:widowControl w:val="0"/>
              <w:jc w:val="center"/>
            </w:pPr>
            <w:r>
              <w:t>1100</w:t>
            </w:r>
          </w:p>
        </w:tc>
        <w:tc>
          <w:tcPr>
            <w:tcW w:w="1083" w:type="dxa"/>
            <w:vAlign w:val="center"/>
          </w:tcPr>
          <w:p>
            <w:pPr>
              <w:widowControl w:val="0"/>
              <w:jc w:val="center"/>
            </w:pPr>
            <w:r>
              <w:t>45/40</w:t>
            </w:r>
          </w:p>
        </w:tc>
        <w:tc>
          <w:tcPr>
            <w:tcW w:w="1805" w:type="dxa"/>
            <w:vAlign w:val="center"/>
          </w:tcPr>
          <w:p>
            <w:pPr>
              <w:widowControl w:val="0"/>
              <w:jc w:val="center"/>
            </w:pPr>
            <w:r>
              <w:t>935</w:t>
            </w:r>
          </w:p>
        </w:tc>
      </w:tr>
      <w:tr>
        <w:trPr>
          <w:cantSplit/>
          <w:trHeight w:val="20"/>
        </w:trPr>
        <w:tc>
          <w:tcPr>
            <w:tcW w:w="723" w:type="dxa"/>
            <w:vAlign w:val="center"/>
          </w:tcPr>
          <w:p>
            <w:pPr>
              <w:widowControl w:val="0"/>
              <w:jc w:val="center"/>
            </w:pPr>
            <w:r>
              <w:t>19</w:t>
            </w:r>
          </w:p>
        </w:tc>
        <w:tc>
          <w:tcPr>
            <w:tcW w:w="722" w:type="dxa"/>
            <w:vAlign w:val="center"/>
          </w:tcPr>
          <w:p>
            <w:pPr>
              <w:widowControl w:val="0"/>
              <w:jc w:val="center"/>
            </w:pPr>
            <w:r>
              <w:t>780</w:t>
            </w:r>
          </w:p>
        </w:tc>
        <w:tc>
          <w:tcPr>
            <w:tcW w:w="903" w:type="dxa"/>
            <w:vAlign w:val="center"/>
          </w:tcPr>
          <w:p>
            <w:pPr>
              <w:widowControl w:val="0"/>
              <w:jc w:val="center"/>
            </w:pPr>
            <w:r>
              <w:t>785</w:t>
            </w:r>
          </w:p>
        </w:tc>
        <w:tc>
          <w:tcPr>
            <w:tcW w:w="722" w:type="dxa"/>
            <w:vAlign w:val="center"/>
          </w:tcPr>
          <w:p>
            <w:pPr>
              <w:widowControl w:val="0"/>
              <w:jc w:val="center"/>
            </w:pPr>
            <w:r>
              <w:t>605</w:t>
            </w:r>
          </w:p>
        </w:tc>
        <w:tc>
          <w:tcPr>
            <w:tcW w:w="903" w:type="dxa"/>
            <w:vAlign w:val="center"/>
          </w:tcPr>
          <w:p>
            <w:pPr>
              <w:widowControl w:val="0"/>
              <w:jc w:val="center"/>
            </w:pPr>
            <w:r>
              <w:t>610</w:t>
            </w:r>
          </w:p>
        </w:tc>
        <w:tc>
          <w:tcPr>
            <w:tcW w:w="1083" w:type="dxa"/>
            <w:vAlign w:val="center"/>
          </w:tcPr>
          <w:p>
            <w:pPr>
              <w:widowControl w:val="0"/>
              <w:jc w:val="center"/>
            </w:pPr>
            <w:r>
              <w:t>45/40</w:t>
            </w:r>
          </w:p>
        </w:tc>
        <w:tc>
          <w:tcPr>
            <w:tcW w:w="1084" w:type="dxa"/>
            <w:vAlign w:val="center"/>
          </w:tcPr>
          <w:p>
            <w:pPr>
              <w:widowControl w:val="0"/>
              <w:jc w:val="center"/>
            </w:pPr>
            <w:r>
              <w:t>1200</w:t>
            </w:r>
          </w:p>
        </w:tc>
        <w:tc>
          <w:tcPr>
            <w:tcW w:w="1083" w:type="dxa"/>
            <w:vAlign w:val="center"/>
          </w:tcPr>
          <w:p>
            <w:pPr>
              <w:widowControl w:val="0"/>
              <w:jc w:val="center"/>
            </w:pPr>
            <w:r>
              <w:t>50/45</w:t>
            </w:r>
          </w:p>
        </w:tc>
        <w:tc>
          <w:tcPr>
            <w:tcW w:w="1805" w:type="dxa"/>
            <w:vAlign w:val="center"/>
          </w:tcPr>
          <w:p>
            <w:pPr>
              <w:widowControl w:val="0"/>
              <w:jc w:val="center"/>
            </w:pPr>
            <w:r>
              <w:t>1040</w:t>
            </w:r>
          </w:p>
        </w:tc>
      </w:tr>
      <w:tr>
        <w:trPr>
          <w:cantSplit/>
          <w:trHeight w:val="20"/>
        </w:trPr>
        <w:tc>
          <w:tcPr>
            <w:tcW w:w="723" w:type="dxa"/>
            <w:vAlign w:val="center"/>
          </w:tcPr>
          <w:p>
            <w:pPr>
              <w:widowControl w:val="0"/>
              <w:jc w:val="center"/>
            </w:pPr>
            <w:r>
              <w:t>20</w:t>
            </w:r>
          </w:p>
        </w:tc>
        <w:tc>
          <w:tcPr>
            <w:tcW w:w="722" w:type="dxa"/>
            <w:vAlign w:val="center"/>
          </w:tcPr>
          <w:p>
            <w:pPr>
              <w:widowControl w:val="0"/>
              <w:jc w:val="center"/>
            </w:pPr>
            <w:r>
              <w:t>835</w:t>
            </w:r>
          </w:p>
        </w:tc>
        <w:tc>
          <w:tcPr>
            <w:tcW w:w="903" w:type="dxa"/>
            <w:vAlign w:val="center"/>
          </w:tcPr>
          <w:p>
            <w:pPr>
              <w:widowControl w:val="0"/>
              <w:jc w:val="center"/>
            </w:pPr>
            <w:r>
              <w:t>840</w:t>
            </w:r>
          </w:p>
        </w:tc>
        <w:tc>
          <w:tcPr>
            <w:tcW w:w="722" w:type="dxa"/>
            <w:vAlign w:val="center"/>
          </w:tcPr>
          <w:p>
            <w:pPr>
              <w:widowControl w:val="0"/>
              <w:jc w:val="center"/>
            </w:pPr>
            <w:r>
              <w:t>650</w:t>
            </w:r>
          </w:p>
        </w:tc>
        <w:tc>
          <w:tcPr>
            <w:tcW w:w="903" w:type="dxa"/>
            <w:vAlign w:val="center"/>
          </w:tcPr>
          <w:p>
            <w:pPr>
              <w:widowControl w:val="0"/>
              <w:jc w:val="center"/>
            </w:pPr>
            <w:r>
              <w:t>655</w:t>
            </w:r>
          </w:p>
        </w:tc>
        <w:tc>
          <w:tcPr>
            <w:tcW w:w="1083" w:type="dxa"/>
            <w:vAlign w:val="center"/>
          </w:tcPr>
          <w:p>
            <w:pPr>
              <w:widowControl w:val="0"/>
              <w:jc w:val="center"/>
            </w:pPr>
            <w:r>
              <w:t>50/45</w:t>
            </w:r>
          </w:p>
        </w:tc>
        <w:tc>
          <w:tcPr>
            <w:tcW w:w="1084" w:type="dxa"/>
            <w:vAlign w:val="center"/>
          </w:tcPr>
          <w:p>
            <w:pPr>
              <w:widowControl w:val="0"/>
              <w:jc w:val="center"/>
            </w:pPr>
            <w:r>
              <w:t>1330</w:t>
            </w:r>
          </w:p>
        </w:tc>
        <w:tc>
          <w:tcPr>
            <w:tcW w:w="1083" w:type="dxa"/>
            <w:vAlign w:val="center"/>
          </w:tcPr>
          <w:p>
            <w:pPr>
              <w:widowControl w:val="0"/>
              <w:jc w:val="center"/>
            </w:pPr>
            <w:r>
              <w:t>55/50</w:t>
            </w:r>
          </w:p>
        </w:tc>
        <w:tc>
          <w:tcPr>
            <w:tcW w:w="1805" w:type="dxa"/>
            <w:vAlign w:val="center"/>
          </w:tcPr>
          <w:p>
            <w:pPr>
              <w:widowControl w:val="0"/>
              <w:jc w:val="center"/>
            </w:pPr>
            <w:r>
              <w:t>1150</w:t>
            </w:r>
          </w:p>
        </w:tc>
      </w:tr>
      <w:tr>
        <w:trPr>
          <w:cantSplit/>
          <w:trHeight w:val="20"/>
        </w:trPr>
        <w:tc>
          <w:tcPr>
            <w:tcW w:w="723" w:type="dxa"/>
            <w:vAlign w:val="center"/>
          </w:tcPr>
          <w:p>
            <w:pPr>
              <w:widowControl w:val="0"/>
              <w:jc w:val="center"/>
            </w:pPr>
            <w:r>
              <w:t>21</w:t>
            </w:r>
          </w:p>
        </w:tc>
        <w:tc>
          <w:tcPr>
            <w:tcW w:w="722" w:type="dxa"/>
            <w:vAlign w:val="center"/>
          </w:tcPr>
          <w:p>
            <w:pPr>
              <w:widowControl w:val="0"/>
              <w:jc w:val="center"/>
            </w:pPr>
            <w:r>
              <w:t>900</w:t>
            </w:r>
          </w:p>
        </w:tc>
        <w:tc>
          <w:tcPr>
            <w:tcW w:w="903" w:type="dxa"/>
            <w:vAlign w:val="center"/>
          </w:tcPr>
          <w:p>
            <w:pPr>
              <w:widowControl w:val="0"/>
              <w:jc w:val="center"/>
            </w:pPr>
            <w:r>
              <w:t>905</w:t>
            </w:r>
          </w:p>
        </w:tc>
        <w:tc>
          <w:tcPr>
            <w:tcW w:w="722" w:type="dxa"/>
            <w:vAlign w:val="center"/>
          </w:tcPr>
          <w:p>
            <w:pPr>
              <w:widowControl w:val="0"/>
              <w:jc w:val="center"/>
            </w:pPr>
            <w:r>
              <w:t>695</w:t>
            </w:r>
          </w:p>
        </w:tc>
        <w:tc>
          <w:tcPr>
            <w:tcW w:w="903" w:type="dxa"/>
            <w:vAlign w:val="center"/>
          </w:tcPr>
          <w:p>
            <w:pPr>
              <w:widowControl w:val="0"/>
              <w:jc w:val="center"/>
            </w:pPr>
            <w:r>
              <w:t>700</w:t>
            </w:r>
          </w:p>
        </w:tc>
        <w:tc>
          <w:tcPr>
            <w:tcW w:w="1083" w:type="dxa"/>
            <w:vAlign w:val="center"/>
          </w:tcPr>
          <w:p>
            <w:pPr>
              <w:widowControl w:val="0"/>
              <w:jc w:val="center"/>
            </w:pPr>
            <w:r>
              <w:t>55/49</w:t>
            </w:r>
          </w:p>
        </w:tc>
        <w:tc>
          <w:tcPr>
            <w:tcW w:w="1084" w:type="dxa"/>
            <w:vAlign w:val="center"/>
          </w:tcPr>
          <w:p>
            <w:pPr>
              <w:widowControl w:val="0"/>
              <w:jc w:val="center"/>
            </w:pPr>
            <w:r>
              <w:t>1580</w:t>
            </w:r>
          </w:p>
        </w:tc>
        <w:tc>
          <w:tcPr>
            <w:tcW w:w="1083" w:type="dxa"/>
            <w:vAlign w:val="center"/>
          </w:tcPr>
          <w:p>
            <w:pPr>
              <w:widowControl w:val="0"/>
              <w:jc w:val="center"/>
            </w:pPr>
            <w:r>
              <w:t>60/54</w:t>
            </w:r>
          </w:p>
        </w:tc>
        <w:tc>
          <w:tcPr>
            <w:tcW w:w="1805" w:type="dxa"/>
            <w:vAlign w:val="center"/>
          </w:tcPr>
          <w:p>
            <w:pPr>
              <w:widowControl w:val="0"/>
              <w:jc w:val="center"/>
            </w:pPr>
            <w:r>
              <w:t>1340</w:t>
            </w:r>
          </w:p>
        </w:tc>
      </w:tr>
      <w:tr>
        <w:trPr>
          <w:cantSplit/>
          <w:trHeight w:val="20"/>
        </w:trPr>
        <w:tc>
          <w:tcPr>
            <w:tcW w:w="723" w:type="dxa"/>
            <w:vAlign w:val="center"/>
          </w:tcPr>
          <w:p>
            <w:pPr>
              <w:widowControl w:val="0"/>
              <w:jc w:val="center"/>
            </w:pPr>
            <w:r>
              <w:t>22</w:t>
            </w:r>
          </w:p>
        </w:tc>
        <w:tc>
          <w:tcPr>
            <w:tcW w:w="722" w:type="dxa"/>
            <w:vAlign w:val="center"/>
          </w:tcPr>
          <w:p>
            <w:pPr>
              <w:widowControl w:val="0"/>
              <w:jc w:val="center"/>
            </w:pPr>
            <w:r>
              <w:t>955</w:t>
            </w:r>
          </w:p>
        </w:tc>
        <w:tc>
          <w:tcPr>
            <w:tcW w:w="903" w:type="dxa"/>
            <w:vAlign w:val="center"/>
          </w:tcPr>
          <w:p>
            <w:pPr>
              <w:widowControl w:val="0"/>
              <w:jc w:val="center"/>
            </w:pPr>
            <w:r>
              <w:t>965</w:t>
            </w:r>
          </w:p>
        </w:tc>
        <w:tc>
          <w:tcPr>
            <w:tcW w:w="722" w:type="dxa"/>
            <w:vAlign w:val="center"/>
          </w:tcPr>
          <w:p>
            <w:pPr>
              <w:widowControl w:val="0"/>
              <w:jc w:val="center"/>
            </w:pPr>
            <w:r>
              <w:t>740</w:t>
            </w:r>
          </w:p>
        </w:tc>
        <w:tc>
          <w:tcPr>
            <w:tcW w:w="903" w:type="dxa"/>
            <w:vAlign w:val="center"/>
          </w:tcPr>
          <w:p>
            <w:pPr>
              <w:widowControl w:val="0"/>
              <w:jc w:val="center"/>
            </w:pPr>
            <w:r>
              <w:t>745</w:t>
            </w:r>
          </w:p>
        </w:tc>
        <w:tc>
          <w:tcPr>
            <w:tcW w:w="1083" w:type="dxa"/>
            <w:vAlign w:val="center"/>
          </w:tcPr>
          <w:p>
            <w:pPr>
              <w:widowControl w:val="0"/>
              <w:jc w:val="center"/>
            </w:pPr>
            <w:r>
              <w:t>60/53</w:t>
            </w:r>
          </w:p>
        </w:tc>
        <w:tc>
          <w:tcPr>
            <w:tcW w:w="1084" w:type="dxa"/>
            <w:vAlign w:val="center"/>
          </w:tcPr>
          <w:p>
            <w:pPr>
              <w:widowControl w:val="0"/>
              <w:jc w:val="center"/>
            </w:pPr>
            <w:r>
              <w:t>1860</w:t>
            </w:r>
          </w:p>
        </w:tc>
        <w:tc>
          <w:tcPr>
            <w:tcW w:w="1083" w:type="dxa"/>
            <w:vAlign w:val="center"/>
          </w:tcPr>
          <w:p>
            <w:pPr>
              <w:widowControl w:val="0"/>
              <w:jc w:val="center"/>
            </w:pPr>
            <w:r>
              <w:t>70/64</w:t>
            </w:r>
          </w:p>
        </w:tc>
        <w:tc>
          <w:tcPr>
            <w:tcW w:w="1805" w:type="dxa"/>
            <w:vAlign w:val="center"/>
          </w:tcPr>
          <w:p>
            <w:pPr>
              <w:widowControl w:val="0"/>
              <w:jc w:val="center"/>
            </w:pPr>
            <w:r>
              <w:t>1545</w:t>
            </w:r>
          </w:p>
        </w:tc>
      </w:tr>
      <w:tr>
        <w:trPr>
          <w:cantSplit/>
          <w:trHeight w:val="20"/>
        </w:trPr>
        <w:tc>
          <w:tcPr>
            <w:tcW w:w="723" w:type="dxa"/>
            <w:vAlign w:val="center"/>
          </w:tcPr>
          <w:p>
            <w:pPr>
              <w:widowControl w:val="0"/>
              <w:jc w:val="center"/>
            </w:pPr>
            <w:r>
              <w:t>25</w:t>
            </w:r>
          </w:p>
        </w:tc>
        <w:tc>
          <w:tcPr>
            <w:tcW w:w="722" w:type="dxa"/>
            <w:vAlign w:val="center"/>
          </w:tcPr>
          <w:p>
            <w:pPr>
              <w:widowControl w:val="0"/>
              <w:jc w:val="center"/>
            </w:pPr>
            <w:r>
              <w:t>1140</w:t>
            </w:r>
          </w:p>
        </w:tc>
        <w:tc>
          <w:tcPr>
            <w:tcW w:w="903" w:type="dxa"/>
            <w:vAlign w:val="center"/>
          </w:tcPr>
          <w:p>
            <w:pPr>
              <w:widowControl w:val="0"/>
              <w:jc w:val="center"/>
            </w:pPr>
            <w:r>
              <w:t>1165</w:t>
            </w:r>
          </w:p>
        </w:tc>
        <w:tc>
          <w:tcPr>
            <w:tcW w:w="722" w:type="dxa"/>
            <w:vAlign w:val="center"/>
          </w:tcPr>
          <w:p>
            <w:pPr>
              <w:widowControl w:val="0"/>
              <w:jc w:val="center"/>
            </w:pPr>
            <w:r>
              <w:t>885</w:t>
            </w:r>
          </w:p>
        </w:tc>
        <w:tc>
          <w:tcPr>
            <w:tcW w:w="903" w:type="dxa"/>
            <w:vAlign w:val="center"/>
          </w:tcPr>
          <w:p>
            <w:pPr>
              <w:widowControl w:val="0"/>
              <w:jc w:val="center"/>
            </w:pPr>
            <w:r>
              <w:t>900</w:t>
            </w:r>
          </w:p>
        </w:tc>
        <w:tc>
          <w:tcPr>
            <w:tcW w:w="1083" w:type="dxa"/>
            <w:vAlign w:val="center"/>
          </w:tcPr>
          <w:p>
            <w:pPr>
              <w:widowControl w:val="0"/>
              <w:jc w:val="center"/>
            </w:pPr>
            <w:r>
              <w:t>70/62</w:t>
            </w:r>
          </w:p>
        </w:tc>
        <w:tc>
          <w:tcPr>
            <w:tcW w:w="1084" w:type="dxa"/>
            <w:vAlign w:val="center"/>
          </w:tcPr>
          <w:p>
            <w:pPr>
              <w:widowControl w:val="0"/>
              <w:jc w:val="center"/>
            </w:pPr>
            <w:r>
              <w:t>2295</w:t>
            </w:r>
          </w:p>
        </w:tc>
        <w:tc>
          <w:tcPr>
            <w:tcW w:w="1083" w:type="dxa"/>
            <w:vAlign w:val="center"/>
          </w:tcPr>
          <w:p>
            <w:pPr>
              <w:widowControl w:val="0"/>
              <w:jc w:val="center"/>
            </w:pPr>
            <w:r>
              <w:t>80/74</w:t>
            </w:r>
          </w:p>
        </w:tc>
        <w:tc>
          <w:tcPr>
            <w:tcW w:w="1805" w:type="dxa"/>
            <w:vAlign w:val="center"/>
          </w:tcPr>
          <w:p>
            <w:pPr>
              <w:widowControl w:val="0"/>
              <w:jc w:val="center"/>
            </w:pPr>
            <w:r>
              <w:t>1770</w:t>
            </w:r>
          </w:p>
        </w:tc>
      </w:tr>
      <w:tr>
        <w:trPr>
          <w:cantSplit/>
          <w:trHeight w:val="20"/>
        </w:trPr>
        <w:tc>
          <w:tcPr>
            <w:tcW w:w="723" w:type="dxa"/>
            <w:vAlign w:val="center"/>
          </w:tcPr>
          <w:p>
            <w:pPr>
              <w:widowControl w:val="0"/>
              <w:jc w:val="center"/>
            </w:pPr>
            <w:r>
              <w:t>27</w:t>
            </w:r>
          </w:p>
        </w:tc>
        <w:tc>
          <w:tcPr>
            <w:tcW w:w="722" w:type="dxa"/>
            <w:vAlign w:val="center"/>
          </w:tcPr>
          <w:p>
            <w:pPr>
              <w:widowControl w:val="0"/>
              <w:jc w:val="center"/>
            </w:pPr>
            <w:r>
              <w:t>1270</w:t>
            </w:r>
          </w:p>
        </w:tc>
        <w:tc>
          <w:tcPr>
            <w:tcW w:w="903" w:type="dxa"/>
            <w:vAlign w:val="center"/>
          </w:tcPr>
          <w:p>
            <w:pPr>
              <w:widowControl w:val="0"/>
              <w:jc w:val="center"/>
            </w:pPr>
            <w:r>
              <w:t>1290</w:t>
            </w:r>
          </w:p>
        </w:tc>
        <w:tc>
          <w:tcPr>
            <w:tcW w:w="722" w:type="dxa"/>
            <w:vAlign w:val="center"/>
          </w:tcPr>
          <w:p>
            <w:pPr>
              <w:widowControl w:val="0"/>
              <w:jc w:val="center"/>
            </w:pPr>
            <w:r>
              <w:t>980</w:t>
            </w:r>
          </w:p>
        </w:tc>
        <w:tc>
          <w:tcPr>
            <w:tcW w:w="903" w:type="dxa"/>
            <w:vAlign w:val="center"/>
          </w:tcPr>
          <w:p>
            <w:pPr>
              <w:widowControl w:val="0"/>
              <w:jc w:val="center"/>
            </w:pPr>
            <w:r>
              <w:t>1000</w:t>
            </w:r>
          </w:p>
        </w:tc>
        <w:tc>
          <w:tcPr>
            <w:tcW w:w="1083" w:type="dxa"/>
            <w:vAlign w:val="center"/>
          </w:tcPr>
          <w:p>
            <w:pPr>
              <w:widowControl w:val="0"/>
              <w:jc w:val="center"/>
            </w:pPr>
            <w:r>
              <w:t>80/72</w:t>
            </w:r>
          </w:p>
        </w:tc>
        <w:tc>
          <w:tcPr>
            <w:tcW w:w="1084" w:type="dxa"/>
            <w:vAlign w:val="center"/>
          </w:tcPr>
          <w:p>
            <w:pPr>
              <w:widowControl w:val="0"/>
              <w:jc w:val="center"/>
            </w:pPr>
            <w:r>
              <w:t>2610</w:t>
            </w:r>
          </w:p>
        </w:tc>
        <w:tc>
          <w:tcPr>
            <w:tcW w:w="1083" w:type="dxa"/>
            <w:vAlign w:val="center"/>
          </w:tcPr>
          <w:p>
            <w:pPr>
              <w:widowControl w:val="0"/>
              <w:jc w:val="center"/>
            </w:pPr>
            <w:r>
              <w:t>80/72</w:t>
            </w:r>
          </w:p>
        </w:tc>
        <w:tc>
          <w:tcPr>
            <w:tcW w:w="1805" w:type="dxa"/>
            <w:vAlign w:val="center"/>
          </w:tcPr>
          <w:p>
            <w:pPr>
              <w:widowControl w:val="0"/>
              <w:jc w:val="center"/>
            </w:pPr>
            <w:r>
              <w:t>2035</w:t>
            </w:r>
          </w:p>
        </w:tc>
      </w:tr>
      <w:tr>
        <w:trPr>
          <w:cantSplit/>
          <w:trHeight w:val="20"/>
        </w:trPr>
        <w:tc>
          <w:tcPr>
            <w:tcW w:w="723" w:type="dxa"/>
            <w:vAlign w:val="center"/>
          </w:tcPr>
          <w:p>
            <w:pPr>
              <w:widowControl w:val="0"/>
              <w:jc w:val="center"/>
            </w:pPr>
            <w:r>
              <w:t>28</w:t>
            </w:r>
          </w:p>
        </w:tc>
        <w:tc>
          <w:tcPr>
            <w:tcW w:w="722" w:type="dxa"/>
            <w:vAlign w:val="center"/>
          </w:tcPr>
          <w:p>
            <w:pPr>
              <w:widowControl w:val="0"/>
              <w:jc w:val="center"/>
            </w:pPr>
            <w:r>
              <w:t>1325</w:t>
            </w:r>
          </w:p>
        </w:tc>
        <w:tc>
          <w:tcPr>
            <w:tcW w:w="903" w:type="dxa"/>
            <w:vAlign w:val="center"/>
          </w:tcPr>
          <w:p>
            <w:pPr>
              <w:widowControl w:val="0"/>
              <w:jc w:val="center"/>
            </w:pPr>
            <w:r>
              <w:t>1360</w:t>
            </w:r>
          </w:p>
        </w:tc>
        <w:tc>
          <w:tcPr>
            <w:tcW w:w="722" w:type="dxa"/>
            <w:vAlign w:val="center"/>
          </w:tcPr>
          <w:p>
            <w:pPr>
              <w:widowControl w:val="0"/>
              <w:jc w:val="center"/>
            </w:pPr>
            <w:r>
              <w:t>1025</w:t>
            </w:r>
          </w:p>
        </w:tc>
        <w:tc>
          <w:tcPr>
            <w:tcW w:w="903" w:type="dxa"/>
            <w:vAlign w:val="center"/>
          </w:tcPr>
          <w:p>
            <w:pPr>
              <w:widowControl w:val="0"/>
              <w:jc w:val="center"/>
            </w:pPr>
            <w:r>
              <w:t>1050</w:t>
            </w:r>
          </w:p>
        </w:tc>
        <w:tc>
          <w:tcPr>
            <w:tcW w:w="1083" w:type="dxa"/>
            <w:vAlign w:val="center"/>
          </w:tcPr>
          <w:p>
            <w:pPr>
              <w:widowControl w:val="0"/>
              <w:jc w:val="center"/>
            </w:pPr>
            <w:r>
              <w:t>85/75</w:t>
            </w:r>
          </w:p>
        </w:tc>
        <w:tc>
          <w:tcPr>
            <w:tcW w:w="1084" w:type="dxa"/>
            <w:vAlign w:val="center"/>
          </w:tcPr>
          <w:p>
            <w:pPr>
              <w:widowControl w:val="0"/>
              <w:jc w:val="center"/>
            </w:pPr>
            <w:r>
              <w:t>3070</w:t>
            </w:r>
          </w:p>
        </w:tc>
        <w:tc>
          <w:tcPr>
            <w:tcW w:w="1083" w:type="dxa"/>
            <w:vAlign w:val="center"/>
          </w:tcPr>
          <w:p>
            <w:pPr>
              <w:widowControl w:val="0"/>
              <w:jc w:val="center"/>
            </w:pPr>
            <w:r>
              <w:t>85/75</w:t>
            </w:r>
          </w:p>
        </w:tc>
        <w:tc>
          <w:tcPr>
            <w:tcW w:w="1805" w:type="dxa"/>
            <w:vAlign w:val="center"/>
          </w:tcPr>
          <w:p>
            <w:pPr>
              <w:widowControl w:val="0"/>
              <w:jc w:val="center"/>
            </w:pPr>
            <w:r>
              <w:t>2400</w:t>
            </w:r>
          </w:p>
        </w:tc>
      </w:tr>
      <w:tr>
        <w:trPr>
          <w:cantSplit/>
          <w:trHeight w:val="20"/>
        </w:trPr>
        <w:tc>
          <w:tcPr>
            <w:tcW w:w="723" w:type="dxa"/>
            <w:vAlign w:val="center"/>
          </w:tcPr>
          <w:p>
            <w:pPr>
              <w:widowControl w:val="0"/>
              <w:jc w:val="center"/>
            </w:pPr>
            <w:r>
              <w:t>30</w:t>
            </w:r>
          </w:p>
        </w:tc>
        <w:tc>
          <w:tcPr>
            <w:tcW w:w="722" w:type="dxa"/>
            <w:vAlign w:val="center"/>
          </w:tcPr>
          <w:p>
            <w:pPr>
              <w:widowControl w:val="0"/>
              <w:jc w:val="center"/>
            </w:pPr>
            <w:r>
              <w:t>1450</w:t>
            </w:r>
          </w:p>
        </w:tc>
        <w:tc>
          <w:tcPr>
            <w:tcW w:w="903" w:type="dxa"/>
            <w:vAlign w:val="center"/>
          </w:tcPr>
          <w:p>
            <w:pPr>
              <w:widowControl w:val="0"/>
              <w:jc w:val="center"/>
            </w:pPr>
            <w:r>
              <w:t>1490</w:t>
            </w:r>
          </w:p>
        </w:tc>
        <w:tc>
          <w:tcPr>
            <w:tcW w:w="722" w:type="dxa"/>
            <w:vAlign w:val="center"/>
          </w:tcPr>
          <w:p>
            <w:pPr>
              <w:widowControl w:val="0"/>
              <w:jc w:val="center"/>
            </w:pPr>
            <w:r>
              <w:t>1120</w:t>
            </w:r>
          </w:p>
        </w:tc>
        <w:tc>
          <w:tcPr>
            <w:tcW w:w="903" w:type="dxa"/>
            <w:vAlign w:val="center"/>
          </w:tcPr>
          <w:p>
            <w:pPr>
              <w:widowControl w:val="0"/>
              <w:jc w:val="center"/>
            </w:pPr>
            <w:r>
              <w:t>1155</w:t>
            </w:r>
          </w:p>
        </w:tc>
        <w:tc>
          <w:tcPr>
            <w:tcW w:w="1083" w:type="dxa"/>
            <w:vAlign w:val="center"/>
          </w:tcPr>
          <w:p>
            <w:pPr>
              <w:widowControl w:val="0"/>
              <w:jc w:val="center"/>
            </w:pPr>
            <w:r>
              <w:t>95/90</w:t>
            </w:r>
          </w:p>
        </w:tc>
        <w:tc>
          <w:tcPr>
            <w:tcW w:w="1084" w:type="dxa"/>
            <w:vAlign w:val="center"/>
          </w:tcPr>
          <w:p>
            <w:pPr>
              <w:widowControl w:val="0"/>
              <w:jc w:val="center"/>
            </w:pPr>
            <w:r>
              <w:t>2460</w:t>
            </w:r>
          </w:p>
        </w:tc>
        <w:tc>
          <w:tcPr>
            <w:tcW w:w="1083" w:type="dxa"/>
            <w:vAlign w:val="center"/>
          </w:tcPr>
          <w:p>
            <w:pPr>
              <w:widowControl w:val="0"/>
              <w:jc w:val="center"/>
            </w:pPr>
            <w:r>
              <w:t>95/90</w:t>
            </w:r>
          </w:p>
        </w:tc>
        <w:tc>
          <w:tcPr>
            <w:tcW w:w="1805" w:type="dxa"/>
            <w:vAlign w:val="center"/>
          </w:tcPr>
          <w:p>
            <w:pPr>
              <w:widowControl w:val="0"/>
              <w:jc w:val="center"/>
            </w:pPr>
            <w:r>
              <w:t>1925</w:t>
            </w:r>
          </w:p>
        </w:tc>
      </w:tr>
      <w:tr>
        <w:trPr>
          <w:cantSplit/>
          <w:trHeight w:val="20"/>
        </w:trPr>
        <w:tc>
          <w:tcPr>
            <w:tcW w:w="723" w:type="dxa"/>
            <w:vAlign w:val="center"/>
          </w:tcPr>
          <w:p>
            <w:pPr>
              <w:widowControl w:val="0"/>
              <w:jc w:val="center"/>
            </w:pPr>
            <w:r>
              <w:t>35</w:t>
            </w:r>
          </w:p>
        </w:tc>
        <w:tc>
          <w:tcPr>
            <w:tcW w:w="722" w:type="dxa"/>
            <w:vAlign w:val="center"/>
          </w:tcPr>
          <w:p>
            <w:pPr>
              <w:widowControl w:val="0"/>
              <w:jc w:val="center"/>
            </w:pPr>
            <w:r>
              <w:t>1770</w:t>
            </w:r>
          </w:p>
        </w:tc>
        <w:tc>
          <w:tcPr>
            <w:tcW w:w="903" w:type="dxa"/>
            <w:vAlign w:val="center"/>
          </w:tcPr>
          <w:p>
            <w:pPr>
              <w:widowControl w:val="0"/>
              <w:jc w:val="center"/>
            </w:pPr>
            <w:r>
              <w:t>1865</w:t>
            </w:r>
          </w:p>
        </w:tc>
        <w:tc>
          <w:tcPr>
            <w:tcW w:w="722" w:type="dxa"/>
            <w:vAlign w:val="center"/>
          </w:tcPr>
          <w:p>
            <w:pPr>
              <w:widowControl w:val="0"/>
              <w:jc w:val="center"/>
            </w:pPr>
            <w:r>
              <w:t>1370</w:t>
            </w:r>
          </w:p>
        </w:tc>
        <w:tc>
          <w:tcPr>
            <w:tcW w:w="903" w:type="dxa"/>
            <w:vAlign w:val="center"/>
          </w:tcPr>
          <w:p>
            <w:pPr>
              <w:widowControl w:val="0"/>
              <w:jc w:val="center"/>
            </w:pPr>
            <w:r>
              <w:t>1450</w:t>
            </w:r>
          </w:p>
        </w:tc>
        <w:tc>
          <w:tcPr>
            <w:tcW w:w="1083" w:type="dxa"/>
            <w:vAlign w:val="center"/>
          </w:tcPr>
          <w:p>
            <w:pPr>
              <w:widowControl w:val="0"/>
              <w:jc w:val="center"/>
            </w:pPr>
            <w:r>
              <w:t>100/95</w:t>
            </w:r>
          </w:p>
        </w:tc>
        <w:tc>
          <w:tcPr>
            <w:tcW w:w="1084" w:type="dxa"/>
            <w:vAlign w:val="center"/>
          </w:tcPr>
          <w:p>
            <w:pPr>
              <w:widowControl w:val="0"/>
              <w:jc w:val="center"/>
            </w:pPr>
            <w:r>
              <w:t>3060</w:t>
            </w:r>
          </w:p>
        </w:tc>
        <w:tc>
          <w:tcPr>
            <w:tcW w:w="1083" w:type="dxa"/>
            <w:vAlign w:val="center"/>
          </w:tcPr>
          <w:p>
            <w:pPr>
              <w:widowControl w:val="0"/>
              <w:jc w:val="center"/>
            </w:pPr>
            <w:r>
              <w:t>100/90</w:t>
            </w:r>
          </w:p>
        </w:tc>
        <w:tc>
          <w:tcPr>
            <w:tcW w:w="1805" w:type="dxa"/>
            <w:vAlign w:val="center"/>
          </w:tcPr>
          <w:p>
            <w:pPr>
              <w:widowControl w:val="0"/>
              <w:jc w:val="center"/>
            </w:pPr>
            <w:r>
              <w:t>2840</w:t>
            </w:r>
          </w:p>
        </w:tc>
      </w:tr>
      <w:tr>
        <w:trPr>
          <w:cantSplit/>
          <w:trHeight w:val="20"/>
        </w:trPr>
        <w:tc>
          <w:tcPr>
            <w:tcW w:w="723" w:type="dxa"/>
            <w:vAlign w:val="center"/>
          </w:tcPr>
          <w:p>
            <w:pPr>
              <w:widowControl w:val="0"/>
              <w:jc w:val="center"/>
            </w:pPr>
            <w:r>
              <w:t>38</w:t>
            </w:r>
          </w:p>
        </w:tc>
        <w:tc>
          <w:tcPr>
            <w:tcW w:w="722" w:type="dxa"/>
            <w:vAlign w:val="center"/>
          </w:tcPr>
          <w:p>
            <w:pPr>
              <w:widowControl w:val="0"/>
              <w:jc w:val="center"/>
            </w:pPr>
            <w:r>
              <w:t>1960</w:t>
            </w:r>
          </w:p>
        </w:tc>
        <w:tc>
          <w:tcPr>
            <w:tcW w:w="903" w:type="dxa"/>
            <w:vAlign w:val="center"/>
          </w:tcPr>
          <w:p>
            <w:pPr>
              <w:widowControl w:val="0"/>
              <w:jc w:val="center"/>
            </w:pPr>
            <w:r>
              <w:t>2100</w:t>
            </w:r>
          </w:p>
        </w:tc>
        <w:tc>
          <w:tcPr>
            <w:tcW w:w="722" w:type="dxa"/>
            <w:vAlign w:val="center"/>
          </w:tcPr>
          <w:p>
            <w:pPr>
              <w:widowControl w:val="0"/>
              <w:jc w:val="center"/>
            </w:pPr>
            <w:r>
              <w:t>1510</w:t>
            </w:r>
          </w:p>
        </w:tc>
        <w:tc>
          <w:tcPr>
            <w:tcW w:w="903" w:type="dxa"/>
            <w:vAlign w:val="center"/>
          </w:tcPr>
          <w:p>
            <w:pPr>
              <w:widowControl w:val="0"/>
              <w:jc w:val="center"/>
            </w:pPr>
            <w:r>
              <w:t>1620</w:t>
            </w:r>
          </w:p>
        </w:tc>
        <w:tc>
          <w:tcPr>
            <w:tcW w:w="1083" w:type="dxa"/>
            <w:vAlign w:val="center"/>
          </w:tcPr>
          <w:p>
            <w:pPr>
              <w:widowControl w:val="0"/>
              <w:jc w:val="center"/>
            </w:pPr>
            <w:r>
              <w:br w:type="column"/>
              <w:t>–</w:t>
            </w:r>
          </w:p>
        </w:tc>
        <w:tc>
          <w:tcPr>
            <w:tcW w:w="1084" w:type="dxa"/>
            <w:vAlign w:val="center"/>
          </w:tcPr>
          <w:p>
            <w:pPr>
              <w:widowControl w:val="0"/>
              <w:jc w:val="center"/>
            </w:pPr>
            <w:r>
              <w:t>–</w:t>
            </w:r>
          </w:p>
        </w:tc>
        <w:tc>
          <w:tcPr>
            <w:tcW w:w="1083" w:type="dxa"/>
            <w:vAlign w:val="center"/>
          </w:tcPr>
          <w:p>
            <w:pPr>
              <w:widowControl w:val="0"/>
              <w:jc w:val="center"/>
            </w:pPr>
            <w:r>
              <w:t>–</w:t>
            </w:r>
          </w:p>
        </w:tc>
        <w:tc>
          <w:tcPr>
            <w:tcW w:w="1805" w:type="dxa"/>
            <w:vAlign w:val="center"/>
          </w:tcPr>
          <w:p>
            <w:pPr>
              <w:widowControl w:val="0"/>
              <w:jc w:val="center"/>
            </w:pPr>
            <w:r>
              <w:t>–</w:t>
            </w:r>
          </w:p>
        </w:tc>
      </w:tr>
      <w:tr>
        <w:trPr>
          <w:cantSplit/>
          <w:trHeight w:val="20"/>
        </w:trPr>
        <w:tc>
          <w:tcPr>
            <w:tcW w:w="723" w:type="dxa"/>
            <w:vAlign w:val="center"/>
          </w:tcPr>
          <w:p>
            <w:pPr>
              <w:widowControl w:val="0"/>
              <w:jc w:val="center"/>
            </w:pPr>
            <w:r>
              <w:t>40</w:t>
            </w:r>
          </w:p>
        </w:tc>
        <w:tc>
          <w:tcPr>
            <w:tcW w:w="722" w:type="dxa"/>
            <w:vAlign w:val="center"/>
          </w:tcPr>
          <w:p>
            <w:pPr>
              <w:widowControl w:val="0"/>
              <w:jc w:val="center"/>
            </w:pPr>
            <w:r>
              <w:t>2080</w:t>
            </w:r>
          </w:p>
        </w:tc>
        <w:tc>
          <w:tcPr>
            <w:tcW w:w="903" w:type="dxa"/>
            <w:vAlign w:val="center"/>
          </w:tcPr>
          <w:p>
            <w:pPr>
              <w:widowControl w:val="0"/>
              <w:jc w:val="center"/>
            </w:pPr>
            <w:r>
              <w:t>2260</w:t>
            </w:r>
          </w:p>
        </w:tc>
        <w:tc>
          <w:tcPr>
            <w:tcW w:w="722" w:type="dxa"/>
            <w:vAlign w:val="center"/>
          </w:tcPr>
          <w:p>
            <w:pPr>
              <w:widowControl w:val="0"/>
              <w:jc w:val="center"/>
            </w:pPr>
            <w:r>
              <w:t>1610</w:t>
            </w:r>
          </w:p>
        </w:tc>
        <w:tc>
          <w:tcPr>
            <w:tcW w:w="903" w:type="dxa"/>
            <w:vAlign w:val="center"/>
          </w:tcPr>
          <w:p>
            <w:pPr>
              <w:widowControl w:val="0"/>
              <w:jc w:val="center"/>
            </w:pPr>
            <w:r>
              <w:t>1750</w:t>
            </w:r>
          </w:p>
        </w:tc>
        <w:tc>
          <w:tcPr>
            <w:tcW w:w="1083" w:type="dxa"/>
            <w:vAlign w:val="center"/>
          </w:tcPr>
          <w:p>
            <w:pPr>
              <w:widowControl w:val="0"/>
              <w:jc w:val="center"/>
            </w:pPr>
            <w:r>
              <w:br w:type="column"/>
              <w:t>–</w:t>
            </w:r>
          </w:p>
        </w:tc>
        <w:tc>
          <w:tcPr>
            <w:tcW w:w="1084" w:type="dxa"/>
            <w:vAlign w:val="center"/>
          </w:tcPr>
          <w:p>
            <w:pPr>
              <w:widowControl w:val="0"/>
              <w:jc w:val="center"/>
            </w:pPr>
            <w:r>
              <w:t>–</w:t>
            </w:r>
          </w:p>
        </w:tc>
        <w:tc>
          <w:tcPr>
            <w:tcW w:w="1083" w:type="dxa"/>
            <w:vAlign w:val="center"/>
          </w:tcPr>
          <w:p>
            <w:pPr>
              <w:widowControl w:val="0"/>
              <w:jc w:val="center"/>
            </w:pPr>
            <w:r>
              <w:t>–</w:t>
            </w:r>
          </w:p>
        </w:tc>
        <w:tc>
          <w:tcPr>
            <w:tcW w:w="1805" w:type="dxa"/>
            <w:vAlign w:val="center"/>
          </w:tcPr>
          <w:p>
            <w:pPr>
              <w:widowControl w:val="0"/>
              <w:jc w:val="center"/>
            </w:pPr>
            <w:r>
              <w:t>–</w:t>
            </w:r>
          </w:p>
        </w:tc>
      </w:tr>
      <w:tr>
        <w:trPr>
          <w:cantSplit/>
          <w:trHeight w:val="20"/>
        </w:trPr>
        <w:tc>
          <w:tcPr>
            <w:tcW w:w="723" w:type="dxa"/>
            <w:vAlign w:val="center"/>
          </w:tcPr>
          <w:p>
            <w:pPr>
              <w:widowControl w:val="0"/>
              <w:jc w:val="center"/>
            </w:pPr>
            <w:r>
              <w:t>42</w:t>
            </w:r>
          </w:p>
        </w:tc>
        <w:tc>
          <w:tcPr>
            <w:tcW w:w="722" w:type="dxa"/>
            <w:vAlign w:val="center"/>
          </w:tcPr>
          <w:p>
            <w:pPr>
              <w:widowControl w:val="0"/>
              <w:jc w:val="center"/>
            </w:pPr>
            <w:r>
              <w:t>2200</w:t>
            </w:r>
          </w:p>
        </w:tc>
        <w:tc>
          <w:tcPr>
            <w:tcW w:w="903" w:type="dxa"/>
            <w:vAlign w:val="center"/>
          </w:tcPr>
          <w:p>
            <w:pPr>
              <w:widowControl w:val="0"/>
              <w:jc w:val="center"/>
            </w:pPr>
            <w:r>
              <w:t>2430</w:t>
            </w:r>
          </w:p>
        </w:tc>
        <w:tc>
          <w:tcPr>
            <w:tcW w:w="722" w:type="dxa"/>
            <w:vAlign w:val="center"/>
          </w:tcPr>
          <w:p>
            <w:pPr>
              <w:widowControl w:val="0"/>
              <w:jc w:val="center"/>
            </w:pPr>
            <w:r>
              <w:t>1700</w:t>
            </w:r>
          </w:p>
        </w:tc>
        <w:tc>
          <w:tcPr>
            <w:tcW w:w="903" w:type="dxa"/>
            <w:vAlign w:val="center"/>
          </w:tcPr>
          <w:p>
            <w:pPr>
              <w:widowControl w:val="0"/>
              <w:jc w:val="center"/>
            </w:pPr>
            <w:r>
              <w:t>1870</w:t>
            </w:r>
          </w:p>
        </w:tc>
        <w:tc>
          <w:tcPr>
            <w:tcW w:w="1083" w:type="dxa"/>
            <w:vAlign w:val="center"/>
          </w:tcPr>
          <w:p>
            <w:pPr>
              <w:widowControl w:val="0"/>
              <w:jc w:val="center"/>
            </w:pPr>
            <w:r>
              <w:br w:type="column"/>
              <w:t>–</w:t>
            </w:r>
          </w:p>
        </w:tc>
        <w:tc>
          <w:tcPr>
            <w:tcW w:w="1084" w:type="dxa"/>
            <w:vAlign w:val="center"/>
          </w:tcPr>
          <w:p>
            <w:pPr>
              <w:widowControl w:val="0"/>
              <w:jc w:val="center"/>
            </w:pPr>
            <w:r>
              <w:t>–</w:t>
            </w:r>
          </w:p>
        </w:tc>
        <w:tc>
          <w:tcPr>
            <w:tcW w:w="1083" w:type="dxa"/>
            <w:vAlign w:val="center"/>
          </w:tcPr>
          <w:p>
            <w:pPr>
              <w:widowControl w:val="0"/>
              <w:jc w:val="center"/>
            </w:pPr>
            <w:r>
              <w:t>–</w:t>
            </w:r>
          </w:p>
        </w:tc>
        <w:tc>
          <w:tcPr>
            <w:tcW w:w="1805" w:type="dxa"/>
            <w:vAlign w:val="center"/>
          </w:tcPr>
          <w:p>
            <w:pPr>
              <w:widowControl w:val="0"/>
              <w:jc w:val="center"/>
            </w:pPr>
            <w:r>
              <w:t>–</w:t>
            </w:r>
          </w:p>
        </w:tc>
      </w:tr>
      <w:tr>
        <w:trPr>
          <w:cantSplit/>
          <w:trHeight w:val="20"/>
        </w:trPr>
        <w:tc>
          <w:tcPr>
            <w:tcW w:w="723" w:type="dxa"/>
            <w:vAlign w:val="center"/>
          </w:tcPr>
          <w:p>
            <w:pPr>
              <w:widowControl w:val="0"/>
              <w:jc w:val="center"/>
            </w:pPr>
            <w:r>
              <w:t>45</w:t>
            </w:r>
          </w:p>
        </w:tc>
        <w:tc>
          <w:tcPr>
            <w:tcW w:w="722" w:type="dxa"/>
            <w:vAlign w:val="center"/>
          </w:tcPr>
          <w:p>
            <w:pPr>
              <w:widowControl w:val="0"/>
              <w:jc w:val="center"/>
            </w:pPr>
            <w:r>
              <w:t>2380</w:t>
            </w:r>
          </w:p>
        </w:tc>
        <w:tc>
          <w:tcPr>
            <w:tcW w:w="903" w:type="dxa"/>
            <w:vAlign w:val="center"/>
          </w:tcPr>
          <w:p>
            <w:pPr>
              <w:widowControl w:val="0"/>
              <w:jc w:val="center"/>
            </w:pPr>
            <w:r>
              <w:t>2670</w:t>
            </w:r>
          </w:p>
        </w:tc>
        <w:tc>
          <w:tcPr>
            <w:tcW w:w="722" w:type="dxa"/>
            <w:vAlign w:val="center"/>
          </w:tcPr>
          <w:p>
            <w:pPr>
              <w:widowControl w:val="0"/>
              <w:jc w:val="center"/>
            </w:pPr>
            <w:r>
              <w:t>1850</w:t>
            </w:r>
          </w:p>
        </w:tc>
        <w:tc>
          <w:tcPr>
            <w:tcW w:w="903" w:type="dxa"/>
            <w:vAlign w:val="center"/>
          </w:tcPr>
          <w:p>
            <w:pPr>
              <w:widowControl w:val="0"/>
              <w:jc w:val="center"/>
            </w:pPr>
            <w:r>
              <w:t>2060</w:t>
            </w:r>
          </w:p>
        </w:tc>
        <w:tc>
          <w:tcPr>
            <w:tcW w:w="1083" w:type="dxa"/>
            <w:vAlign w:val="center"/>
          </w:tcPr>
          <w:p>
            <w:pPr>
              <w:widowControl w:val="0"/>
              <w:jc w:val="center"/>
            </w:pPr>
            <w:r>
              <w:br w:type="column"/>
              <w:t>–</w:t>
            </w:r>
          </w:p>
        </w:tc>
        <w:tc>
          <w:tcPr>
            <w:tcW w:w="1084" w:type="dxa"/>
            <w:vAlign w:val="center"/>
          </w:tcPr>
          <w:p>
            <w:pPr>
              <w:widowControl w:val="0"/>
              <w:jc w:val="center"/>
            </w:pPr>
            <w:r>
              <w:t>–</w:t>
            </w:r>
          </w:p>
        </w:tc>
        <w:tc>
          <w:tcPr>
            <w:tcW w:w="1083" w:type="dxa"/>
            <w:vAlign w:val="center"/>
          </w:tcPr>
          <w:p>
            <w:pPr>
              <w:widowControl w:val="0"/>
              <w:jc w:val="center"/>
            </w:pPr>
            <w:r>
              <w:t>–</w:t>
            </w:r>
          </w:p>
        </w:tc>
        <w:tc>
          <w:tcPr>
            <w:tcW w:w="1805" w:type="dxa"/>
            <w:vAlign w:val="center"/>
          </w:tcPr>
          <w:p>
            <w:pPr>
              <w:widowControl w:val="0"/>
              <w:jc w:val="center"/>
            </w:pPr>
            <w:r>
              <w:t>–</w:t>
            </w:r>
          </w:p>
        </w:tc>
      </w:tr>
    </w:tbl>
    <w:p>
      <w:pPr>
        <w:widowControl w:val="0"/>
        <w:ind w:firstLine="567"/>
        <w:jc w:val="both"/>
      </w:pPr>
    </w:p>
    <w:p>
      <w:pPr>
        <w:widowControl w:val="0"/>
        <w:ind w:firstLine="567"/>
        <w:jc w:val="both"/>
        <w:rPr>
          <w:b/>
        </w:rPr>
      </w:pPr>
      <w:r>
        <w:rPr>
          <w:b/>
        </w:rPr>
        <w:t>19 lentelė. Apvalių tuščiavidurių plieninių šynų leistinoji ilgalaikė srovė</w:t>
      </w:r>
    </w:p>
    <w:p>
      <w:pPr>
        <w:widowControl w:val="0"/>
        <w:ind w:firstLine="567"/>
        <w:jc w:val="both"/>
      </w:pPr>
    </w:p>
    <w:p>
      <w:pPr>
        <w:widowControl w:val="0"/>
        <w:ind w:firstLine="567"/>
        <w:jc w:val="both"/>
      </w:pPr>
      <w:r>
        <w:t xml:space="preserve">Temperatūra: šynų +70 </w:t>
      </w:r>
      <w:r>
        <w:rPr>
          <w:vertAlign w:val="superscript"/>
        </w:rPr>
        <w:t>o</w:t>
      </w:r>
      <w:r>
        <w:t xml:space="preserve">C, oro +25 </w:t>
      </w:r>
      <w:r>
        <w:rPr>
          <w:vertAlign w:val="superscript"/>
        </w:rPr>
        <w:t>o</w:t>
      </w:r>
      <w:r>
        <w:t>C.</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270"/>
        <w:gridCol w:w="2241"/>
        <w:gridCol w:w="25"/>
        <w:gridCol w:w="2266"/>
      </w:tblGrid>
      <w:tr>
        <w:trPr>
          <w:cantSplit/>
          <w:trHeight w:val="20"/>
        </w:trPr>
        <w:tc>
          <w:tcPr>
            <w:tcW w:w="1631" w:type="dxa"/>
            <w:vMerge w:val="restart"/>
            <w:vAlign w:val="center"/>
          </w:tcPr>
          <w:p>
            <w:pPr>
              <w:widowControl w:val="0"/>
              <w:jc w:val="center"/>
            </w:pPr>
            <w:r>
              <w:t>Šynos išorinis</w:t>
            </w:r>
          </w:p>
          <w:p>
            <w:pPr>
              <w:widowControl w:val="0"/>
              <w:jc w:val="center"/>
            </w:pPr>
            <w:r>
              <w:t>skersmuo, mm</w:t>
            </w:r>
          </w:p>
        </w:tc>
        <w:tc>
          <w:tcPr>
            <w:tcW w:w="1632" w:type="dxa"/>
            <w:vMerge w:val="restart"/>
            <w:vAlign w:val="center"/>
          </w:tcPr>
          <w:p>
            <w:pPr>
              <w:widowControl w:val="0"/>
              <w:jc w:val="center"/>
            </w:pPr>
            <w:r>
              <w:t>Šynos sienelės</w:t>
            </w:r>
          </w:p>
          <w:p>
            <w:pPr>
              <w:widowControl w:val="0"/>
              <w:jc w:val="center"/>
            </w:pPr>
            <w:r>
              <w:t>storis, mm</w:t>
            </w:r>
          </w:p>
        </w:tc>
        <w:tc>
          <w:tcPr>
            <w:tcW w:w="3258" w:type="dxa"/>
            <w:gridSpan w:val="3"/>
            <w:vAlign w:val="center"/>
          </w:tcPr>
          <w:p>
            <w:pPr>
              <w:widowControl w:val="0"/>
              <w:jc w:val="center"/>
            </w:pPr>
            <w:r>
              <w:t>Leistinoji ilgalaikė kintamoji srovė, A</w:t>
            </w:r>
          </w:p>
        </w:tc>
      </w:tr>
      <w:tr>
        <w:trPr>
          <w:cantSplit/>
          <w:trHeight w:val="20"/>
        </w:trPr>
        <w:tc>
          <w:tcPr>
            <w:tcW w:w="1631" w:type="dxa"/>
            <w:vMerge/>
            <w:vAlign w:val="center"/>
          </w:tcPr>
          <w:p>
            <w:pPr>
              <w:widowControl w:val="0"/>
              <w:jc w:val="center"/>
            </w:pPr>
          </w:p>
        </w:tc>
        <w:tc>
          <w:tcPr>
            <w:tcW w:w="1632" w:type="dxa"/>
            <w:vMerge/>
            <w:vAlign w:val="center"/>
          </w:tcPr>
          <w:p>
            <w:pPr>
              <w:widowControl w:val="0"/>
              <w:jc w:val="center"/>
            </w:pPr>
          </w:p>
        </w:tc>
        <w:tc>
          <w:tcPr>
            <w:tcW w:w="1611" w:type="dxa"/>
            <w:vAlign w:val="center"/>
          </w:tcPr>
          <w:p>
            <w:pPr>
              <w:widowControl w:val="0"/>
              <w:jc w:val="center"/>
            </w:pPr>
            <w:r>
              <w:t>besiūlės šynos</w:t>
            </w:r>
          </w:p>
        </w:tc>
        <w:tc>
          <w:tcPr>
            <w:tcW w:w="1647" w:type="dxa"/>
            <w:gridSpan w:val="2"/>
            <w:vAlign w:val="center"/>
          </w:tcPr>
          <w:p>
            <w:pPr>
              <w:widowControl w:val="0"/>
              <w:jc w:val="center"/>
            </w:pPr>
            <w:r>
              <w:t>šynos su siūle</w:t>
            </w:r>
          </w:p>
        </w:tc>
      </w:tr>
      <w:tr>
        <w:trPr>
          <w:cantSplit/>
          <w:trHeight w:val="20"/>
        </w:trPr>
        <w:tc>
          <w:tcPr>
            <w:tcW w:w="1631" w:type="dxa"/>
            <w:vAlign w:val="center"/>
          </w:tcPr>
          <w:p>
            <w:pPr>
              <w:widowControl w:val="0"/>
              <w:jc w:val="center"/>
            </w:pPr>
            <w:r>
              <w:t>13,5</w:t>
            </w:r>
          </w:p>
        </w:tc>
        <w:tc>
          <w:tcPr>
            <w:tcW w:w="1632" w:type="dxa"/>
            <w:vAlign w:val="center"/>
          </w:tcPr>
          <w:p>
            <w:pPr>
              <w:widowControl w:val="0"/>
              <w:jc w:val="center"/>
            </w:pPr>
            <w:r>
              <w:t>2,8</w:t>
            </w:r>
          </w:p>
        </w:tc>
        <w:tc>
          <w:tcPr>
            <w:tcW w:w="1611" w:type="dxa"/>
            <w:vAlign w:val="center"/>
          </w:tcPr>
          <w:p>
            <w:pPr>
              <w:widowControl w:val="0"/>
              <w:jc w:val="center"/>
            </w:pPr>
            <w:r>
              <w:t>75</w:t>
            </w:r>
          </w:p>
        </w:tc>
        <w:tc>
          <w:tcPr>
            <w:tcW w:w="1647" w:type="dxa"/>
            <w:gridSpan w:val="2"/>
            <w:vAlign w:val="center"/>
          </w:tcPr>
          <w:p>
            <w:pPr>
              <w:widowControl w:val="0"/>
              <w:jc w:val="center"/>
            </w:pPr>
            <w:r>
              <w:t>–</w:t>
            </w:r>
          </w:p>
        </w:tc>
      </w:tr>
      <w:tr>
        <w:trPr>
          <w:cantSplit/>
          <w:trHeight w:val="20"/>
        </w:trPr>
        <w:tc>
          <w:tcPr>
            <w:tcW w:w="1631" w:type="dxa"/>
            <w:vAlign w:val="center"/>
          </w:tcPr>
          <w:p>
            <w:pPr>
              <w:widowControl w:val="0"/>
              <w:jc w:val="center"/>
            </w:pPr>
            <w:r>
              <w:t>17,0</w:t>
            </w:r>
          </w:p>
        </w:tc>
        <w:tc>
          <w:tcPr>
            <w:tcW w:w="1632" w:type="dxa"/>
            <w:vAlign w:val="center"/>
          </w:tcPr>
          <w:p>
            <w:pPr>
              <w:widowControl w:val="0"/>
              <w:jc w:val="center"/>
            </w:pPr>
            <w:r>
              <w:t>2,8</w:t>
            </w:r>
          </w:p>
        </w:tc>
        <w:tc>
          <w:tcPr>
            <w:tcW w:w="1611" w:type="dxa"/>
            <w:vAlign w:val="center"/>
          </w:tcPr>
          <w:p>
            <w:pPr>
              <w:widowControl w:val="0"/>
              <w:jc w:val="center"/>
            </w:pPr>
            <w:r>
              <w:t>90</w:t>
            </w:r>
          </w:p>
        </w:tc>
        <w:tc>
          <w:tcPr>
            <w:tcW w:w="1647" w:type="dxa"/>
            <w:gridSpan w:val="2"/>
            <w:vAlign w:val="center"/>
          </w:tcPr>
          <w:p>
            <w:pPr>
              <w:widowControl w:val="0"/>
              <w:jc w:val="center"/>
            </w:pPr>
            <w:r>
              <w:t>–</w:t>
            </w:r>
          </w:p>
        </w:tc>
      </w:tr>
      <w:tr>
        <w:trPr>
          <w:cantSplit/>
          <w:trHeight w:val="20"/>
        </w:trPr>
        <w:tc>
          <w:tcPr>
            <w:tcW w:w="1631" w:type="dxa"/>
            <w:vAlign w:val="center"/>
          </w:tcPr>
          <w:p>
            <w:pPr>
              <w:widowControl w:val="0"/>
              <w:jc w:val="center"/>
            </w:pPr>
            <w:r>
              <w:t>21,3</w:t>
            </w:r>
          </w:p>
        </w:tc>
        <w:tc>
          <w:tcPr>
            <w:tcW w:w="1632" w:type="dxa"/>
            <w:vAlign w:val="center"/>
          </w:tcPr>
          <w:p>
            <w:pPr>
              <w:widowControl w:val="0"/>
              <w:jc w:val="center"/>
            </w:pPr>
            <w:r>
              <w:t>3,2</w:t>
            </w:r>
          </w:p>
        </w:tc>
        <w:tc>
          <w:tcPr>
            <w:tcW w:w="1611" w:type="dxa"/>
            <w:vAlign w:val="center"/>
          </w:tcPr>
          <w:p>
            <w:pPr>
              <w:widowControl w:val="0"/>
              <w:jc w:val="center"/>
            </w:pPr>
            <w:r>
              <w:t>118</w:t>
            </w:r>
          </w:p>
        </w:tc>
        <w:tc>
          <w:tcPr>
            <w:tcW w:w="1647" w:type="dxa"/>
            <w:gridSpan w:val="2"/>
            <w:vAlign w:val="center"/>
          </w:tcPr>
          <w:p>
            <w:pPr>
              <w:widowControl w:val="0"/>
              <w:jc w:val="center"/>
            </w:pPr>
            <w:r>
              <w:t>–</w:t>
            </w:r>
          </w:p>
        </w:tc>
      </w:tr>
      <w:tr>
        <w:trPr>
          <w:cantSplit/>
          <w:trHeight w:val="20"/>
        </w:trPr>
        <w:tc>
          <w:tcPr>
            <w:tcW w:w="1631" w:type="dxa"/>
            <w:vAlign w:val="center"/>
          </w:tcPr>
          <w:p>
            <w:pPr>
              <w:widowControl w:val="0"/>
              <w:jc w:val="center"/>
            </w:pPr>
            <w:r>
              <w:t>26,8</w:t>
            </w:r>
          </w:p>
        </w:tc>
        <w:tc>
          <w:tcPr>
            <w:tcW w:w="1632" w:type="dxa"/>
            <w:vAlign w:val="center"/>
          </w:tcPr>
          <w:p>
            <w:pPr>
              <w:widowControl w:val="0"/>
              <w:jc w:val="center"/>
            </w:pPr>
            <w:r>
              <w:t>3,2</w:t>
            </w:r>
          </w:p>
        </w:tc>
        <w:tc>
          <w:tcPr>
            <w:tcW w:w="1611" w:type="dxa"/>
            <w:vAlign w:val="center"/>
          </w:tcPr>
          <w:p>
            <w:pPr>
              <w:widowControl w:val="0"/>
              <w:jc w:val="center"/>
            </w:pPr>
            <w:r>
              <w:t>145</w:t>
            </w:r>
          </w:p>
        </w:tc>
        <w:tc>
          <w:tcPr>
            <w:tcW w:w="1647" w:type="dxa"/>
            <w:gridSpan w:val="2"/>
            <w:vAlign w:val="center"/>
          </w:tcPr>
          <w:p>
            <w:pPr>
              <w:widowControl w:val="0"/>
              <w:jc w:val="center"/>
            </w:pPr>
            <w:r>
              <w:t>–</w:t>
            </w:r>
          </w:p>
        </w:tc>
      </w:tr>
      <w:tr>
        <w:trPr>
          <w:cantSplit/>
          <w:trHeight w:val="20"/>
        </w:trPr>
        <w:tc>
          <w:tcPr>
            <w:tcW w:w="1631" w:type="dxa"/>
            <w:vAlign w:val="center"/>
          </w:tcPr>
          <w:p>
            <w:pPr>
              <w:widowControl w:val="0"/>
              <w:jc w:val="center"/>
            </w:pPr>
            <w:r>
              <w:t>33,5</w:t>
            </w:r>
          </w:p>
        </w:tc>
        <w:tc>
          <w:tcPr>
            <w:tcW w:w="1632" w:type="dxa"/>
            <w:vAlign w:val="center"/>
          </w:tcPr>
          <w:p>
            <w:pPr>
              <w:widowControl w:val="0"/>
              <w:jc w:val="center"/>
            </w:pPr>
            <w:r>
              <w:t>4,0</w:t>
            </w:r>
          </w:p>
        </w:tc>
        <w:tc>
          <w:tcPr>
            <w:tcW w:w="1629" w:type="dxa"/>
            <w:gridSpan w:val="2"/>
            <w:vAlign w:val="center"/>
          </w:tcPr>
          <w:p>
            <w:pPr>
              <w:widowControl w:val="0"/>
              <w:jc w:val="center"/>
            </w:pPr>
            <w:r>
              <w:t>180</w:t>
            </w:r>
          </w:p>
        </w:tc>
        <w:tc>
          <w:tcPr>
            <w:tcW w:w="1629" w:type="dxa"/>
            <w:vAlign w:val="center"/>
          </w:tcPr>
          <w:p>
            <w:pPr>
              <w:widowControl w:val="0"/>
              <w:jc w:val="center"/>
            </w:pPr>
            <w:r>
              <w:t>–</w:t>
            </w:r>
          </w:p>
        </w:tc>
      </w:tr>
      <w:tr>
        <w:trPr>
          <w:cantSplit/>
          <w:trHeight w:val="20"/>
        </w:trPr>
        <w:tc>
          <w:tcPr>
            <w:tcW w:w="1631" w:type="dxa"/>
            <w:vAlign w:val="center"/>
          </w:tcPr>
          <w:p>
            <w:pPr>
              <w:widowControl w:val="0"/>
              <w:jc w:val="center"/>
            </w:pPr>
            <w:r>
              <w:t>42,3</w:t>
            </w:r>
          </w:p>
        </w:tc>
        <w:tc>
          <w:tcPr>
            <w:tcW w:w="1632" w:type="dxa"/>
            <w:vAlign w:val="center"/>
          </w:tcPr>
          <w:p>
            <w:pPr>
              <w:widowControl w:val="0"/>
              <w:jc w:val="center"/>
            </w:pPr>
            <w:r>
              <w:t>4,0</w:t>
            </w:r>
          </w:p>
        </w:tc>
        <w:tc>
          <w:tcPr>
            <w:tcW w:w="1629" w:type="dxa"/>
            <w:gridSpan w:val="2"/>
            <w:vAlign w:val="center"/>
          </w:tcPr>
          <w:p>
            <w:pPr>
              <w:widowControl w:val="0"/>
              <w:jc w:val="center"/>
            </w:pPr>
            <w:r>
              <w:t>220</w:t>
            </w:r>
          </w:p>
        </w:tc>
        <w:tc>
          <w:tcPr>
            <w:tcW w:w="1629" w:type="dxa"/>
            <w:vAlign w:val="center"/>
          </w:tcPr>
          <w:p>
            <w:pPr>
              <w:widowControl w:val="0"/>
              <w:jc w:val="center"/>
            </w:pPr>
            <w:r>
              <w:t>–</w:t>
            </w:r>
          </w:p>
        </w:tc>
      </w:tr>
      <w:tr>
        <w:trPr>
          <w:cantSplit/>
          <w:trHeight w:val="20"/>
        </w:trPr>
        <w:tc>
          <w:tcPr>
            <w:tcW w:w="1631" w:type="dxa"/>
            <w:vAlign w:val="center"/>
          </w:tcPr>
          <w:p>
            <w:pPr>
              <w:widowControl w:val="0"/>
              <w:jc w:val="center"/>
            </w:pPr>
            <w:r>
              <w:t>48,0</w:t>
            </w:r>
          </w:p>
        </w:tc>
        <w:tc>
          <w:tcPr>
            <w:tcW w:w="1632" w:type="dxa"/>
            <w:vAlign w:val="center"/>
          </w:tcPr>
          <w:p>
            <w:pPr>
              <w:widowControl w:val="0"/>
              <w:jc w:val="center"/>
            </w:pPr>
            <w:r>
              <w:t>4,0</w:t>
            </w:r>
          </w:p>
        </w:tc>
        <w:tc>
          <w:tcPr>
            <w:tcW w:w="1629" w:type="dxa"/>
            <w:gridSpan w:val="2"/>
            <w:vAlign w:val="center"/>
          </w:tcPr>
          <w:p>
            <w:pPr>
              <w:widowControl w:val="0"/>
              <w:jc w:val="center"/>
            </w:pPr>
            <w:r>
              <w:t>255</w:t>
            </w:r>
          </w:p>
        </w:tc>
        <w:tc>
          <w:tcPr>
            <w:tcW w:w="1629" w:type="dxa"/>
            <w:vAlign w:val="center"/>
          </w:tcPr>
          <w:p>
            <w:pPr>
              <w:widowControl w:val="0"/>
              <w:jc w:val="center"/>
            </w:pPr>
            <w:r>
              <w:t>–</w:t>
            </w:r>
          </w:p>
        </w:tc>
      </w:tr>
      <w:tr>
        <w:trPr>
          <w:cantSplit/>
          <w:trHeight w:val="20"/>
        </w:trPr>
        <w:tc>
          <w:tcPr>
            <w:tcW w:w="1631" w:type="dxa"/>
            <w:vAlign w:val="center"/>
          </w:tcPr>
          <w:p>
            <w:pPr>
              <w:widowControl w:val="0"/>
              <w:jc w:val="center"/>
            </w:pPr>
            <w:r>
              <w:t>60,0</w:t>
            </w:r>
          </w:p>
        </w:tc>
        <w:tc>
          <w:tcPr>
            <w:tcW w:w="1632" w:type="dxa"/>
            <w:vAlign w:val="center"/>
          </w:tcPr>
          <w:p>
            <w:pPr>
              <w:widowControl w:val="0"/>
              <w:jc w:val="center"/>
            </w:pPr>
            <w:r>
              <w:t>4,5</w:t>
            </w:r>
          </w:p>
        </w:tc>
        <w:tc>
          <w:tcPr>
            <w:tcW w:w="1629" w:type="dxa"/>
            <w:gridSpan w:val="2"/>
            <w:vAlign w:val="center"/>
          </w:tcPr>
          <w:p>
            <w:pPr>
              <w:widowControl w:val="0"/>
              <w:jc w:val="center"/>
            </w:pPr>
            <w:r>
              <w:t>320</w:t>
            </w:r>
          </w:p>
        </w:tc>
        <w:tc>
          <w:tcPr>
            <w:tcW w:w="1629" w:type="dxa"/>
            <w:vAlign w:val="center"/>
          </w:tcPr>
          <w:p>
            <w:pPr>
              <w:widowControl w:val="0"/>
              <w:jc w:val="center"/>
            </w:pPr>
            <w:r>
              <w:t>–</w:t>
            </w:r>
          </w:p>
        </w:tc>
      </w:tr>
      <w:tr>
        <w:trPr>
          <w:cantSplit/>
          <w:trHeight w:val="20"/>
        </w:trPr>
        <w:tc>
          <w:tcPr>
            <w:tcW w:w="1631" w:type="dxa"/>
            <w:vAlign w:val="center"/>
          </w:tcPr>
          <w:p>
            <w:pPr>
              <w:widowControl w:val="0"/>
              <w:jc w:val="center"/>
            </w:pPr>
            <w:r>
              <w:t>75,5</w:t>
            </w:r>
          </w:p>
        </w:tc>
        <w:tc>
          <w:tcPr>
            <w:tcW w:w="1632" w:type="dxa"/>
            <w:vAlign w:val="center"/>
          </w:tcPr>
          <w:p>
            <w:pPr>
              <w:widowControl w:val="0"/>
              <w:jc w:val="center"/>
            </w:pPr>
            <w:r>
              <w:t>4,5</w:t>
            </w:r>
          </w:p>
        </w:tc>
        <w:tc>
          <w:tcPr>
            <w:tcW w:w="1629" w:type="dxa"/>
            <w:gridSpan w:val="2"/>
            <w:vAlign w:val="center"/>
          </w:tcPr>
          <w:p>
            <w:pPr>
              <w:widowControl w:val="0"/>
              <w:jc w:val="center"/>
            </w:pPr>
            <w:r>
              <w:t>390</w:t>
            </w:r>
          </w:p>
        </w:tc>
        <w:tc>
          <w:tcPr>
            <w:tcW w:w="1629" w:type="dxa"/>
            <w:vAlign w:val="center"/>
          </w:tcPr>
          <w:p>
            <w:pPr>
              <w:widowControl w:val="0"/>
              <w:jc w:val="center"/>
            </w:pPr>
            <w:r>
              <w:t>–</w:t>
            </w:r>
          </w:p>
        </w:tc>
      </w:tr>
      <w:tr>
        <w:trPr>
          <w:cantSplit/>
          <w:trHeight w:val="20"/>
        </w:trPr>
        <w:tc>
          <w:tcPr>
            <w:tcW w:w="1631" w:type="dxa"/>
            <w:vAlign w:val="center"/>
          </w:tcPr>
          <w:p>
            <w:pPr>
              <w:widowControl w:val="0"/>
              <w:jc w:val="center"/>
            </w:pPr>
            <w:r>
              <w:t>88,5</w:t>
            </w:r>
          </w:p>
        </w:tc>
        <w:tc>
          <w:tcPr>
            <w:tcW w:w="1632" w:type="dxa"/>
            <w:vAlign w:val="center"/>
          </w:tcPr>
          <w:p>
            <w:pPr>
              <w:widowControl w:val="0"/>
              <w:jc w:val="center"/>
            </w:pPr>
            <w:r>
              <w:t>4,5</w:t>
            </w:r>
          </w:p>
        </w:tc>
        <w:tc>
          <w:tcPr>
            <w:tcW w:w="1629" w:type="dxa"/>
            <w:gridSpan w:val="2"/>
            <w:vAlign w:val="center"/>
          </w:tcPr>
          <w:p>
            <w:pPr>
              <w:widowControl w:val="0"/>
              <w:jc w:val="center"/>
            </w:pPr>
            <w:r>
              <w:t>455</w:t>
            </w:r>
          </w:p>
        </w:tc>
        <w:tc>
          <w:tcPr>
            <w:tcW w:w="1629" w:type="dxa"/>
            <w:vAlign w:val="center"/>
          </w:tcPr>
          <w:p>
            <w:pPr>
              <w:widowControl w:val="0"/>
              <w:jc w:val="center"/>
            </w:pPr>
            <w:r>
              <w:t>–</w:t>
            </w:r>
          </w:p>
        </w:tc>
      </w:tr>
      <w:tr>
        <w:trPr>
          <w:cantSplit/>
          <w:trHeight w:val="20"/>
        </w:trPr>
        <w:tc>
          <w:tcPr>
            <w:tcW w:w="1631" w:type="dxa"/>
            <w:vAlign w:val="center"/>
          </w:tcPr>
          <w:p>
            <w:pPr>
              <w:widowControl w:val="0"/>
              <w:jc w:val="center"/>
            </w:pPr>
            <w:r>
              <w:t>114</w:t>
            </w:r>
          </w:p>
        </w:tc>
        <w:tc>
          <w:tcPr>
            <w:tcW w:w="1632" w:type="dxa"/>
            <w:vAlign w:val="center"/>
          </w:tcPr>
          <w:p>
            <w:pPr>
              <w:widowControl w:val="0"/>
              <w:jc w:val="center"/>
            </w:pPr>
            <w:r>
              <w:t>5,0</w:t>
            </w:r>
          </w:p>
        </w:tc>
        <w:tc>
          <w:tcPr>
            <w:tcW w:w="1629" w:type="dxa"/>
            <w:gridSpan w:val="2"/>
            <w:vAlign w:val="center"/>
          </w:tcPr>
          <w:p>
            <w:pPr>
              <w:widowControl w:val="0"/>
              <w:jc w:val="center"/>
            </w:pPr>
            <w:r>
              <w:t>670</w:t>
            </w:r>
          </w:p>
        </w:tc>
        <w:tc>
          <w:tcPr>
            <w:tcW w:w="1629" w:type="dxa"/>
            <w:vAlign w:val="center"/>
          </w:tcPr>
          <w:p>
            <w:pPr>
              <w:widowControl w:val="0"/>
              <w:jc w:val="center"/>
            </w:pPr>
            <w:r>
              <w:t>770</w:t>
            </w:r>
          </w:p>
        </w:tc>
      </w:tr>
      <w:tr>
        <w:trPr>
          <w:cantSplit/>
          <w:trHeight w:val="20"/>
        </w:trPr>
        <w:tc>
          <w:tcPr>
            <w:tcW w:w="1631" w:type="dxa"/>
            <w:vAlign w:val="center"/>
          </w:tcPr>
          <w:p>
            <w:pPr>
              <w:widowControl w:val="0"/>
              <w:jc w:val="center"/>
            </w:pPr>
            <w:r>
              <w:t>140</w:t>
            </w:r>
          </w:p>
        </w:tc>
        <w:tc>
          <w:tcPr>
            <w:tcW w:w="1632" w:type="dxa"/>
            <w:vAlign w:val="center"/>
          </w:tcPr>
          <w:p>
            <w:pPr>
              <w:widowControl w:val="0"/>
              <w:jc w:val="center"/>
            </w:pPr>
            <w:r>
              <w:t>5,5</w:t>
            </w:r>
          </w:p>
        </w:tc>
        <w:tc>
          <w:tcPr>
            <w:tcW w:w="1629" w:type="dxa"/>
            <w:gridSpan w:val="2"/>
            <w:vAlign w:val="center"/>
          </w:tcPr>
          <w:p>
            <w:pPr>
              <w:widowControl w:val="0"/>
              <w:jc w:val="center"/>
            </w:pPr>
            <w:r>
              <w:t>800</w:t>
            </w:r>
          </w:p>
        </w:tc>
        <w:tc>
          <w:tcPr>
            <w:tcW w:w="1629" w:type="dxa"/>
            <w:vAlign w:val="center"/>
          </w:tcPr>
          <w:p>
            <w:pPr>
              <w:widowControl w:val="0"/>
              <w:jc w:val="center"/>
            </w:pPr>
            <w:r>
              <w:t>890</w:t>
            </w:r>
          </w:p>
        </w:tc>
      </w:tr>
      <w:tr>
        <w:trPr>
          <w:cantSplit/>
          <w:trHeight w:val="20"/>
        </w:trPr>
        <w:tc>
          <w:tcPr>
            <w:tcW w:w="1631" w:type="dxa"/>
            <w:vAlign w:val="center"/>
          </w:tcPr>
          <w:p>
            <w:pPr>
              <w:widowControl w:val="0"/>
              <w:jc w:val="center"/>
            </w:pPr>
            <w:r>
              <w:t>165</w:t>
            </w:r>
          </w:p>
        </w:tc>
        <w:tc>
          <w:tcPr>
            <w:tcW w:w="1632" w:type="dxa"/>
            <w:vAlign w:val="center"/>
          </w:tcPr>
          <w:p>
            <w:pPr>
              <w:widowControl w:val="0"/>
              <w:jc w:val="center"/>
            </w:pPr>
            <w:r>
              <w:t>5,5</w:t>
            </w:r>
          </w:p>
        </w:tc>
        <w:tc>
          <w:tcPr>
            <w:tcW w:w="1629" w:type="dxa"/>
            <w:gridSpan w:val="2"/>
            <w:vAlign w:val="center"/>
          </w:tcPr>
          <w:p>
            <w:pPr>
              <w:widowControl w:val="0"/>
              <w:jc w:val="center"/>
            </w:pPr>
            <w:r>
              <w:t>900</w:t>
            </w:r>
          </w:p>
        </w:tc>
        <w:tc>
          <w:tcPr>
            <w:tcW w:w="1629" w:type="dxa"/>
            <w:vAlign w:val="center"/>
          </w:tcPr>
          <w:p>
            <w:pPr>
              <w:widowControl w:val="0"/>
              <w:jc w:val="center"/>
            </w:pPr>
            <w:r>
              <w:t>1000</w:t>
            </w:r>
          </w:p>
        </w:tc>
      </w:tr>
    </w:tbl>
    <w:p>
      <w:pPr>
        <w:widowControl w:val="0"/>
        <w:ind w:firstLine="567"/>
        <w:jc w:val="both"/>
      </w:pPr>
    </w:p>
    <w:p>
      <w:pPr>
        <w:widowControl w:val="0"/>
        <w:ind w:firstLine="567"/>
        <w:jc w:val="both"/>
        <w:rPr>
          <w:b/>
        </w:rPr>
      </w:pPr>
      <w:r>
        <w:rPr>
          <w:b/>
        </w:rPr>
        <w:t>20 lentelė. Stačiakampių pilnavidurių varinių šynų leistinoji ilgalaikė srovė</w:t>
      </w:r>
    </w:p>
    <w:p>
      <w:pPr>
        <w:widowControl w:val="0"/>
        <w:ind w:firstLine="567"/>
        <w:jc w:val="both"/>
      </w:pPr>
    </w:p>
    <w:p>
      <w:pPr>
        <w:widowControl w:val="0"/>
        <w:ind w:firstLine="567"/>
        <w:jc w:val="both"/>
      </w:pPr>
      <w:r>
        <w:t xml:space="preserve">Temperatūra: šynų +70 </w:t>
      </w:r>
      <w:r>
        <w:rPr>
          <w:vertAlign w:val="superscript"/>
        </w:rPr>
        <w:t>o</w:t>
      </w:r>
      <w:r>
        <w:t xml:space="preserve">C, oro +25 </w:t>
      </w:r>
      <w:r>
        <w:rPr>
          <w:vertAlign w:val="superscript"/>
        </w:rPr>
        <w:t>o</w:t>
      </w:r>
      <w:r>
        <w:t>C</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1" w:type="dxa"/>
          <w:right w:w="51" w:type="dxa"/>
        </w:tblCellMar>
        <w:tblLook w:val="0000" w:firstRow="0" w:lastRow="0" w:firstColumn="0" w:lastColumn="0" w:noHBand="0" w:noVBand="0"/>
      </w:tblPr>
      <w:tblGrid>
        <w:gridCol w:w="1968"/>
        <w:gridCol w:w="887"/>
        <w:gridCol w:w="887"/>
        <w:gridCol w:w="889"/>
        <w:gridCol w:w="887"/>
        <w:gridCol w:w="887"/>
        <w:gridCol w:w="889"/>
        <w:gridCol w:w="887"/>
        <w:gridCol w:w="889"/>
      </w:tblGrid>
      <w:tr>
        <w:trPr>
          <w:cantSplit/>
          <w:trHeight w:val="20"/>
          <w:tblHeader/>
        </w:trPr>
        <w:tc>
          <w:tcPr>
            <w:tcW w:w="1951" w:type="dxa"/>
            <w:vMerge w:val="restart"/>
            <w:vAlign w:val="center"/>
          </w:tcPr>
          <w:p>
            <w:pPr>
              <w:widowControl w:val="0"/>
              <w:jc w:val="center"/>
            </w:pPr>
            <w:r>
              <w:t>Šynos matmenys,</w:t>
            </w:r>
          </w:p>
          <w:p>
            <w:pPr>
              <w:widowControl w:val="0"/>
              <w:jc w:val="center"/>
            </w:pPr>
            <w:r>
              <w:t>mm</w:t>
            </w:r>
          </w:p>
        </w:tc>
        <w:tc>
          <w:tcPr>
            <w:tcW w:w="7046" w:type="dxa"/>
            <w:gridSpan w:val="8"/>
            <w:vAlign w:val="center"/>
          </w:tcPr>
          <w:p>
            <w:pPr>
              <w:widowControl w:val="0"/>
              <w:jc w:val="center"/>
              <w:rPr>
                <w:spacing w:val="-4"/>
              </w:rPr>
            </w:pPr>
            <w:r>
              <w:rPr>
                <w:spacing w:val="-4"/>
              </w:rPr>
              <w:t>Leistinoji ilgalaikė srovė, A, esant šynų skaičiui poliuje arba fazėje, vnt.</w:t>
            </w:r>
          </w:p>
        </w:tc>
      </w:tr>
      <w:tr>
        <w:trPr>
          <w:cantSplit/>
          <w:trHeight w:val="20"/>
          <w:tblHeader/>
        </w:trPr>
        <w:tc>
          <w:tcPr>
            <w:tcW w:w="1951" w:type="dxa"/>
            <w:vMerge/>
            <w:vAlign w:val="center"/>
          </w:tcPr>
          <w:p>
            <w:pPr>
              <w:widowControl w:val="0"/>
              <w:jc w:val="center"/>
            </w:pPr>
          </w:p>
        </w:tc>
        <w:tc>
          <w:tcPr>
            <w:tcW w:w="1760" w:type="dxa"/>
            <w:gridSpan w:val="2"/>
            <w:vAlign w:val="center"/>
          </w:tcPr>
          <w:p>
            <w:pPr>
              <w:widowControl w:val="0"/>
              <w:jc w:val="center"/>
            </w:pPr>
            <w:r>
              <w:t>1</w:t>
            </w:r>
          </w:p>
        </w:tc>
        <w:tc>
          <w:tcPr>
            <w:tcW w:w="1762" w:type="dxa"/>
            <w:gridSpan w:val="2"/>
            <w:vAlign w:val="center"/>
          </w:tcPr>
          <w:p>
            <w:pPr>
              <w:widowControl w:val="0"/>
              <w:jc w:val="center"/>
            </w:pPr>
            <w:r>
              <w:t>2</w:t>
            </w:r>
          </w:p>
        </w:tc>
        <w:tc>
          <w:tcPr>
            <w:tcW w:w="1762" w:type="dxa"/>
            <w:gridSpan w:val="2"/>
            <w:vAlign w:val="center"/>
          </w:tcPr>
          <w:p>
            <w:pPr>
              <w:widowControl w:val="0"/>
              <w:jc w:val="center"/>
            </w:pPr>
            <w:r>
              <w:t>3</w:t>
            </w:r>
          </w:p>
        </w:tc>
        <w:tc>
          <w:tcPr>
            <w:tcW w:w="1762" w:type="dxa"/>
            <w:gridSpan w:val="2"/>
            <w:vAlign w:val="center"/>
          </w:tcPr>
          <w:p>
            <w:pPr>
              <w:widowControl w:val="0"/>
              <w:jc w:val="center"/>
            </w:pPr>
            <w:r>
              <w:t>4</w:t>
            </w:r>
          </w:p>
        </w:tc>
      </w:tr>
      <w:tr>
        <w:trPr>
          <w:cantSplit/>
          <w:trHeight w:val="20"/>
          <w:tblHeader/>
        </w:trPr>
        <w:tc>
          <w:tcPr>
            <w:tcW w:w="1951" w:type="dxa"/>
            <w:vMerge/>
            <w:vAlign w:val="center"/>
          </w:tcPr>
          <w:p>
            <w:pPr>
              <w:widowControl w:val="0"/>
              <w:jc w:val="center"/>
            </w:pPr>
          </w:p>
        </w:tc>
        <w:tc>
          <w:tcPr>
            <w:tcW w:w="880" w:type="dxa"/>
            <w:vAlign w:val="center"/>
          </w:tcPr>
          <w:p>
            <w:pPr>
              <w:widowControl w:val="0"/>
              <w:jc w:val="center"/>
            </w:pPr>
            <w:r>
              <w:t>kintamoji</w:t>
            </w:r>
          </w:p>
        </w:tc>
        <w:tc>
          <w:tcPr>
            <w:tcW w:w="880" w:type="dxa"/>
            <w:vAlign w:val="center"/>
          </w:tcPr>
          <w:p>
            <w:pPr>
              <w:widowControl w:val="0"/>
              <w:jc w:val="center"/>
            </w:pPr>
            <w:r>
              <w:t>nuolatinė</w:t>
            </w:r>
          </w:p>
        </w:tc>
        <w:tc>
          <w:tcPr>
            <w:tcW w:w="882" w:type="dxa"/>
            <w:vAlign w:val="center"/>
          </w:tcPr>
          <w:p>
            <w:pPr>
              <w:widowControl w:val="0"/>
              <w:jc w:val="center"/>
            </w:pPr>
            <w:r>
              <w:t>kintamoji</w:t>
            </w:r>
          </w:p>
        </w:tc>
        <w:tc>
          <w:tcPr>
            <w:tcW w:w="880" w:type="dxa"/>
            <w:vAlign w:val="center"/>
          </w:tcPr>
          <w:p>
            <w:pPr>
              <w:widowControl w:val="0"/>
              <w:jc w:val="center"/>
            </w:pPr>
            <w:r>
              <w:t>nuolatinė</w:t>
            </w:r>
          </w:p>
        </w:tc>
        <w:tc>
          <w:tcPr>
            <w:tcW w:w="880" w:type="dxa"/>
            <w:vAlign w:val="center"/>
          </w:tcPr>
          <w:p>
            <w:pPr>
              <w:widowControl w:val="0"/>
              <w:jc w:val="center"/>
            </w:pPr>
            <w:r>
              <w:t>kintamoji</w:t>
            </w:r>
          </w:p>
        </w:tc>
        <w:tc>
          <w:tcPr>
            <w:tcW w:w="882" w:type="dxa"/>
            <w:vAlign w:val="center"/>
          </w:tcPr>
          <w:p>
            <w:pPr>
              <w:widowControl w:val="0"/>
              <w:jc w:val="center"/>
            </w:pPr>
            <w:r>
              <w:t>nuolatinė</w:t>
            </w:r>
          </w:p>
        </w:tc>
        <w:tc>
          <w:tcPr>
            <w:tcW w:w="880" w:type="dxa"/>
            <w:vAlign w:val="center"/>
          </w:tcPr>
          <w:p>
            <w:pPr>
              <w:widowControl w:val="0"/>
              <w:jc w:val="center"/>
            </w:pPr>
            <w:r>
              <w:t>kintamoji</w:t>
            </w:r>
          </w:p>
        </w:tc>
        <w:tc>
          <w:tcPr>
            <w:tcW w:w="882" w:type="dxa"/>
            <w:vAlign w:val="center"/>
          </w:tcPr>
          <w:p>
            <w:pPr>
              <w:widowControl w:val="0"/>
              <w:jc w:val="center"/>
            </w:pPr>
            <w:r>
              <w:t>nuolatinė</w:t>
            </w:r>
          </w:p>
        </w:tc>
      </w:tr>
      <w:tr>
        <w:trPr>
          <w:cantSplit/>
          <w:trHeight w:val="20"/>
        </w:trPr>
        <w:tc>
          <w:tcPr>
            <w:tcW w:w="1951" w:type="dxa"/>
            <w:vAlign w:val="center"/>
          </w:tcPr>
          <w:p>
            <w:pPr>
              <w:widowControl w:val="0"/>
              <w:jc w:val="center"/>
            </w:pPr>
            <w:r>
              <w:t>15x3</w:t>
            </w:r>
          </w:p>
        </w:tc>
        <w:tc>
          <w:tcPr>
            <w:tcW w:w="880" w:type="dxa"/>
            <w:vAlign w:val="center"/>
          </w:tcPr>
          <w:p>
            <w:pPr>
              <w:widowControl w:val="0"/>
              <w:jc w:val="center"/>
            </w:pPr>
            <w:r>
              <w:t>210</w:t>
            </w:r>
          </w:p>
        </w:tc>
        <w:tc>
          <w:tcPr>
            <w:tcW w:w="880" w:type="dxa"/>
            <w:vAlign w:val="center"/>
          </w:tcPr>
          <w:p>
            <w:pPr>
              <w:widowControl w:val="0"/>
              <w:jc w:val="center"/>
            </w:pPr>
            <w:r>
              <w:t>–</w:t>
            </w:r>
          </w:p>
        </w:tc>
        <w:tc>
          <w:tcPr>
            <w:tcW w:w="882"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2" w:type="dxa"/>
            <w:vAlign w:val="center"/>
          </w:tcPr>
          <w:p>
            <w:pPr>
              <w:widowControl w:val="0"/>
              <w:jc w:val="center"/>
            </w:pPr>
            <w:r>
              <w:t>–</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20x3</w:t>
            </w:r>
          </w:p>
        </w:tc>
        <w:tc>
          <w:tcPr>
            <w:tcW w:w="880" w:type="dxa"/>
            <w:vAlign w:val="center"/>
          </w:tcPr>
          <w:p>
            <w:pPr>
              <w:widowControl w:val="0"/>
              <w:jc w:val="center"/>
            </w:pPr>
            <w:r>
              <w:t>275</w:t>
            </w:r>
          </w:p>
        </w:tc>
        <w:tc>
          <w:tcPr>
            <w:tcW w:w="880" w:type="dxa"/>
            <w:vAlign w:val="center"/>
          </w:tcPr>
          <w:p>
            <w:pPr>
              <w:widowControl w:val="0"/>
              <w:jc w:val="center"/>
            </w:pPr>
            <w:r>
              <w:t>–</w:t>
            </w:r>
          </w:p>
        </w:tc>
        <w:tc>
          <w:tcPr>
            <w:tcW w:w="882"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2" w:type="dxa"/>
            <w:vAlign w:val="center"/>
          </w:tcPr>
          <w:p>
            <w:pPr>
              <w:widowControl w:val="0"/>
              <w:jc w:val="center"/>
            </w:pPr>
            <w:r>
              <w:t>–</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25x3</w:t>
            </w:r>
          </w:p>
        </w:tc>
        <w:tc>
          <w:tcPr>
            <w:tcW w:w="880" w:type="dxa"/>
            <w:vAlign w:val="center"/>
          </w:tcPr>
          <w:p>
            <w:pPr>
              <w:widowControl w:val="0"/>
              <w:jc w:val="center"/>
            </w:pPr>
            <w:r>
              <w:t>340</w:t>
            </w:r>
          </w:p>
        </w:tc>
        <w:tc>
          <w:tcPr>
            <w:tcW w:w="880" w:type="dxa"/>
            <w:vAlign w:val="center"/>
          </w:tcPr>
          <w:p>
            <w:pPr>
              <w:widowControl w:val="0"/>
              <w:jc w:val="center"/>
            </w:pPr>
            <w:r>
              <w:t>–</w:t>
            </w:r>
          </w:p>
        </w:tc>
        <w:tc>
          <w:tcPr>
            <w:tcW w:w="882"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2" w:type="dxa"/>
            <w:vAlign w:val="center"/>
          </w:tcPr>
          <w:p>
            <w:pPr>
              <w:widowControl w:val="0"/>
              <w:jc w:val="center"/>
            </w:pPr>
            <w:r>
              <w:t>–</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tcBorders>
              <w:bottom w:val="nil"/>
            </w:tcBorders>
            <w:vAlign w:val="center"/>
          </w:tcPr>
          <w:p>
            <w:pPr>
              <w:widowControl w:val="0"/>
              <w:jc w:val="center"/>
            </w:pPr>
            <w:r>
              <w:t>30x4</w:t>
            </w:r>
          </w:p>
        </w:tc>
        <w:tc>
          <w:tcPr>
            <w:tcW w:w="880" w:type="dxa"/>
            <w:tcBorders>
              <w:bottom w:val="nil"/>
            </w:tcBorders>
            <w:vAlign w:val="center"/>
          </w:tcPr>
          <w:p>
            <w:pPr>
              <w:widowControl w:val="0"/>
              <w:jc w:val="center"/>
            </w:pPr>
            <w:r>
              <w:t>475</w:t>
            </w:r>
          </w:p>
        </w:tc>
        <w:tc>
          <w:tcPr>
            <w:tcW w:w="880" w:type="dxa"/>
            <w:tcBorders>
              <w:bottom w:val="nil"/>
            </w:tcBorders>
            <w:vAlign w:val="center"/>
          </w:tcPr>
          <w:p>
            <w:pPr>
              <w:widowControl w:val="0"/>
              <w:jc w:val="center"/>
            </w:pPr>
            <w:r>
              <w:t>–</w:t>
            </w:r>
          </w:p>
        </w:tc>
        <w:tc>
          <w:tcPr>
            <w:tcW w:w="882" w:type="dxa"/>
            <w:tcBorders>
              <w:bottom w:val="nil"/>
            </w:tcBorders>
            <w:vAlign w:val="center"/>
          </w:tcPr>
          <w:p>
            <w:pPr>
              <w:widowControl w:val="0"/>
              <w:jc w:val="center"/>
            </w:pPr>
            <w:r>
              <w:t>–</w:t>
            </w:r>
          </w:p>
        </w:tc>
        <w:tc>
          <w:tcPr>
            <w:tcW w:w="880" w:type="dxa"/>
            <w:tcBorders>
              <w:bottom w:val="nil"/>
            </w:tcBorders>
            <w:vAlign w:val="center"/>
          </w:tcPr>
          <w:p>
            <w:pPr>
              <w:widowControl w:val="0"/>
              <w:jc w:val="center"/>
            </w:pPr>
            <w:r>
              <w:t>–</w:t>
            </w:r>
          </w:p>
        </w:tc>
        <w:tc>
          <w:tcPr>
            <w:tcW w:w="880" w:type="dxa"/>
            <w:tcBorders>
              <w:bottom w:val="nil"/>
            </w:tcBorders>
            <w:vAlign w:val="center"/>
          </w:tcPr>
          <w:p>
            <w:pPr>
              <w:widowControl w:val="0"/>
              <w:jc w:val="center"/>
            </w:pPr>
            <w:r>
              <w:t>–</w:t>
            </w:r>
          </w:p>
        </w:tc>
        <w:tc>
          <w:tcPr>
            <w:tcW w:w="882" w:type="dxa"/>
            <w:tcBorders>
              <w:bottom w:val="nil"/>
            </w:tcBorders>
            <w:vAlign w:val="center"/>
          </w:tcPr>
          <w:p>
            <w:pPr>
              <w:widowControl w:val="0"/>
              <w:jc w:val="center"/>
            </w:pPr>
            <w:r>
              <w:t>–</w:t>
            </w:r>
          </w:p>
        </w:tc>
        <w:tc>
          <w:tcPr>
            <w:tcW w:w="880" w:type="dxa"/>
            <w:tcBorders>
              <w:bottom w:val="nil"/>
            </w:tcBorders>
            <w:vAlign w:val="center"/>
          </w:tcPr>
          <w:p>
            <w:pPr>
              <w:widowControl w:val="0"/>
              <w:jc w:val="center"/>
            </w:pPr>
            <w:r>
              <w:t>–</w:t>
            </w:r>
          </w:p>
        </w:tc>
        <w:tc>
          <w:tcPr>
            <w:tcW w:w="882" w:type="dxa"/>
            <w:tcBorders>
              <w:bottom w:val="nil"/>
            </w:tcBorders>
            <w:vAlign w:val="center"/>
          </w:tcPr>
          <w:p>
            <w:pPr>
              <w:widowControl w:val="0"/>
              <w:jc w:val="center"/>
            </w:pPr>
            <w:r>
              <w:t>–</w:t>
            </w:r>
          </w:p>
        </w:tc>
      </w:tr>
      <w:tr>
        <w:trPr>
          <w:cantSplit/>
          <w:trHeight w:val="20"/>
        </w:trPr>
        <w:tc>
          <w:tcPr>
            <w:tcW w:w="1951" w:type="dxa"/>
            <w:tcBorders>
              <w:bottom w:val="single" w:sz="4" w:space="0" w:color="auto"/>
            </w:tcBorders>
            <w:vAlign w:val="center"/>
          </w:tcPr>
          <w:p>
            <w:pPr>
              <w:widowControl w:val="0"/>
              <w:jc w:val="center"/>
            </w:pPr>
            <w:r>
              <w:t>40x4</w:t>
            </w:r>
          </w:p>
        </w:tc>
        <w:tc>
          <w:tcPr>
            <w:tcW w:w="880" w:type="dxa"/>
            <w:tcBorders>
              <w:bottom w:val="single" w:sz="4" w:space="0" w:color="auto"/>
            </w:tcBorders>
            <w:vAlign w:val="center"/>
          </w:tcPr>
          <w:p>
            <w:pPr>
              <w:widowControl w:val="0"/>
              <w:jc w:val="center"/>
            </w:pPr>
            <w:r>
              <w:t>625</w:t>
            </w:r>
          </w:p>
        </w:tc>
        <w:tc>
          <w:tcPr>
            <w:tcW w:w="880" w:type="dxa"/>
            <w:tcBorders>
              <w:bottom w:val="single" w:sz="4" w:space="0" w:color="auto"/>
            </w:tcBorders>
            <w:vAlign w:val="center"/>
          </w:tcPr>
          <w:p>
            <w:pPr>
              <w:widowControl w:val="0"/>
              <w:jc w:val="center"/>
            </w:pPr>
            <w:r>
              <w:t>–</w:t>
            </w:r>
          </w:p>
        </w:tc>
        <w:tc>
          <w:tcPr>
            <w:tcW w:w="882" w:type="dxa"/>
            <w:tcBorders>
              <w:bottom w:val="single" w:sz="4" w:space="0" w:color="auto"/>
            </w:tcBorders>
            <w:vAlign w:val="center"/>
          </w:tcPr>
          <w:p>
            <w:pPr>
              <w:widowControl w:val="0"/>
              <w:jc w:val="center"/>
            </w:pPr>
            <w:r>
              <w:t>–</w:t>
            </w:r>
          </w:p>
        </w:tc>
        <w:tc>
          <w:tcPr>
            <w:tcW w:w="880" w:type="dxa"/>
            <w:tcBorders>
              <w:bottom w:val="single" w:sz="4" w:space="0" w:color="auto"/>
            </w:tcBorders>
            <w:vAlign w:val="center"/>
          </w:tcPr>
          <w:p>
            <w:pPr>
              <w:widowControl w:val="0"/>
              <w:jc w:val="center"/>
            </w:pPr>
            <w:r>
              <w:t>1090</w:t>
            </w:r>
          </w:p>
        </w:tc>
        <w:tc>
          <w:tcPr>
            <w:tcW w:w="880" w:type="dxa"/>
            <w:tcBorders>
              <w:bottom w:val="single" w:sz="4" w:space="0" w:color="auto"/>
            </w:tcBorders>
            <w:vAlign w:val="center"/>
          </w:tcPr>
          <w:p>
            <w:pPr>
              <w:widowControl w:val="0"/>
              <w:jc w:val="center"/>
            </w:pPr>
            <w:r>
              <w:t>–</w:t>
            </w:r>
          </w:p>
        </w:tc>
        <w:tc>
          <w:tcPr>
            <w:tcW w:w="882" w:type="dxa"/>
            <w:tcBorders>
              <w:bottom w:val="single" w:sz="4" w:space="0" w:color="auto"/>
            </w:tcBorders>
            <w:vAlign w:val="center"/>
          </w:tcPr>
          <w:p>
            <w:pPr>
              <w:widowControl w:val="0"/>
              <w:jc w:val="center"/>
            </w:pPr>
            <w:r>
              <w:t>–</w:t>
            </w:r>
          </w:p>
        </w:tc>
        <w:tc>
          <w:tcPr>
            <w:tcW w:w="880" w:type="dxa"/>
            <w:tcBorders>
              <w:bottom w:val="single" w:sz="4" w:space="0" w:color="auto"/>
            </w:tcBorders>
            <w:vAlign w:val="center"/>
          </w:tcPr>
          <w:p>
            <w:pPr>
              <w:widowControl w:val="0"/>
              <w:jc w:val="center"/>
            </w:pPr>
            <w:r>
              <w:t>–</w:t>
            </w:r>
          </w:p>
        </w:tc>
        <w:tc>
          <w:tcPr>
            <w:tcW w:w="882" w:type="dxa"/>
            <w:tcBorders>
              <w:bottom w:val="single" w:sz="4" w:space="0" w:color="auto"/>
            </w:tcBorders>
            <w:vAlign w:val="center"/>
          </w:tcPr>
          <w:p>
            <w:pPr>
              <w:widowControl w:val="0"/>
              <w:jc w:val="center"/>
            </w:pPr>
            <w:r>
              <w:t>–</w:t>
            </w:r>
          </w:p>
        </w:tc>
      </w:tr>
      <w:tr>
        <w:trPr>
          <w:cantSplit/>
          <w:trHeight w:val="20"/>
        </w:trPr>
        <w:tc>
          <w:tcPr>
            <w:tcW w:w="1951" w:type="dxa"/>
            <w:vAlign w:val="center"/>
          </w:tcPr>
          <w:p>
            <w:pPr>
              <w:widowControl w:val="0"/>
              <w:jc w:val="center"/>
            </w:pPr>
            <w:r>
              <w:t>40x5</w:t>
            </w:r>
          </w:p>
        </w:tc>
        <w:tc>
          <w:tcPr>
            <w:tcW w:w="880" w:type="dxa"/>
            <w:vAlign w:val="center"/>
          </w:tcPr>
          <w:p>
            <w:pPr>
              <w:widowControl w:val="0"/>
              <w:jc w:val="center"/>
            </w:pPr>
            <w:r>
              <w:t>700</w:t>
            </w:r>
          </w:p>
        </w:tc>
        <w:tc>
          <w:tcPr>
            <w:tcW w:w="880" w:type="dxa"/>
            <w:vAlign w:val="center"/>
          </w:tcPr>
          <w:p>
            <w:pPr>
              <w:widowControl w:val="0"/>
              <w:jc w:val="center"/>
            </w:pPr>
            <w:r>
              <w:t>705</w:t>
            </w:r>
          </w:p>
        </w:tc>
        <w:tc>
          <w:tcPr>
            <w:tcW w:w="882" w:type="dxa"/>
            <w:vAlign w:val="center"/>
          </w:tcPr>
          <w:p>
            <w:pPr>
              <w:widowControl w:val="0"/>
              <w:jc w:val="center"/>
            </w:pPr>
            <w:r>
              <w:t>–</w:t>
            </w:r>
          </w:p>
        </w:tc>
        <w:tc>
          <w:tcPr>
            <w:tcW w:w="880" w:type="dxa"/>
            <w:vAlign w:val="center"/>
          </w:tcPr>
          <w:p>
            <w:pPr>
              <w:widowControl w:val="0"/>
              <w:jc w:val="center"/>
            </w:pPr>
            <w:r>
              <w:t>1250</w:t>
            </w:r>
          </w:p>
        </w:tc>
        <w:tc>
          <w:tcPr>
            <w:tcW w:w="880" w:type="dxa"/>
            <w:vAlign w:val="center"/>
          </w:tcPr>
          <w:p>
            <w:pPr>
              <w:widowControl w:val="0"/>
              <w:jc w:val="center"/>
            </w:pPr>
            <w:r>
              <w:t>–</w:t>
            </w:r>
          </w:p>
        </w:tc>
        <w:tc>
          <w:tcPr>
            <w:tcW w:w="882" w:type="dxa"/>
            <w:vAlign w:val="center"/>
          </w:tcPr>
          <w:p>
            <w:pPr>
              <w:widowControl w:val="0"/>
              <w:jc w:val="center"/>
            </w:pPr>
            <w:r>
              <w:t>–</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50x5</w:t>
            </w:r>
          </w:p>
        </w:tc>
        <w:tc>
          <w:tcPr>
            <w:tcW w:w="880" w:type="dxa"/>
            <w:vAlign w:val="center"/>
          </w:tcPr>
          <w:p>
            <w:pPr>
              <w:widowControl w:val="0"/>
              <w:jc w:val="center"/>
            </w:pPr>
            <w:r>
              <w:t>860</w:t>
            </w:r>
          </w:p>
        </w:tc>
        <w:tc>
          <w:tcPr>
            <w:tcW w:w="880" w:type="dxa"/>
            <w:vAlign w:val="center"/>
          </w:tcPr>
          <w:p>
            <w:pPr>
              <w:widowControl w:val="0"/>
              <w:jc w:val="center"/>
            </w:pPr>
            <w:r>
              <w:t>870</w:t>
            </w:r>
          </w:p>
        </w:tc>
        <w:tc>
          <w:tcPr>
            <w:tcW w:w="882" w:type="dxa"/>
            <w:vAlign w:val="center"/>
          </w:tcPr>
          <w:p>
            <w:pPr>
              <w:widowControl w:val="0"/>
              <w:jc w:val="center"/>
            </w:pPr>
            <w:r>
              <w:t>–</w:t>
            </w:r>
          </w:p>
        </w:tc>
        <w:tc>
          <w:tcPr>
            <w:tcW w:w="880" w:type="dxa"/>
            <w:vAlign w:val="center"/>
          </w:tcPr>
          <w:p>
            <w:pPr>
              <w:widowControl w:val="0"/>
              <w:jc w:val="center"/>
            </w:pPr>
            <w:r>
              <w:t>1525</w:t>
            </w:r>
          </w:p>
        </w:tc>
        <w:tc>
          <w:tcPr>
            <w:tcW w:w="880" w:type="dxa"/>
            <w:vAlign w:val="center"/>
          </w:tcPr>
          <w:p>
            <w:pPr>
              <w:widowControl w:val="0"/>
              <w:jc w:val="center"/>
            </w:pPr>
            <w:r>
              <w:t>–</w:t>
            </w:r>
          </w:p>
        </w:tc>
        <w:tc>
          <w:tcPr>
            <w:tcW w:w="882" w:type="dxa"/>
            <w:vAlign w:val="center"/>
          </w:tcPr>
          <w:p>
            <w:pPr>
              <w:widowControl w:val="0"/>
              <w:jc w:val="center"/>
            </w:pPr>
            <w:r>
              <w:t>1895</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50x6</w:t>
            </w:r>
          </w:p>
        </w:tc>
        <w:tc>
          <w:tcPr>
            <w:tcW w:w="880" w:type="dxa"/>
            <w:vAlign w:val="center"/>
          </w:tcPr>
          <w:p>
            <w:pPr>
              <w:widowControl w:val="0"/>
              <w:jc w:val="center"/>
            </w:pPr>
            <w:r>
              <w:t>955</w:t>
            </w:r>
          </w:p>
        </w:tc>
        <w:tc>
          <w:tcPr>
            <w:tcW w:w="880" w:type="dxa"/>
            <w:vAlign w:val="center"/>
          </w:tcPr>
          <w:p>
            <w:pPr>
              <w:widowControl w:val="0"/>
              <w:jc w:val="center"/>
            </w:pPr>
            <w:r>
              <w:t>960</w:t>
            </w:r>
          </w:p>
        </w:tc>
        <w:tc>
          <w:tcPr>
            <w:tcW w:w="882" w:type="dxa"/>
            <w:vAlign w:val="center"/>
          </w:tcPr>
          <w:p>
            <w:pPr>
              <w:widowControl w:val="0"/>
              <w:jc w:val="center"/>
            </w:pPr>
            <w:r>
              <w:t>–</w:t>
            </w:r>
          </w:p>
        </w:tc>
        <w:tc>
          <w:tcPr>
            <w:tcW w:w="880" w:type="dxa"/>
            <w:vAlign w:val="center"/>
          </w:tcPr>
          <w:p>
            <w:pPr>
              <w:widowControl w:val="0"/>
              <w:jc w:val="center"/>
            </w:pPr>
            <w:r>
              <w:t>1700</w:t>
            </w:r>
          </w:p>
        </w:tc>
        <w:tc>
          <w:tcPr>
            <w:tcW w:w="880" w:type="dxa"/>
            <w:vAlign w:val="center"/>
          </w:tcPr>
          <w:p>
            <w:pPr>
              <w:widowControl w:val="0"/>
              <w:jc w:val="center"/>
            </w:pPr>
            <w:r>
              <w:t>–</w:t>
            </w:r>
          </w:p>
        </w:tc>
        <w:tc>
          <w:tcPr>
            <w:tcW w:w="882" w:type="dxa"/>
            <w:vAlign w:val="center"/>
          </w:tcPr>
          <w:p>
            <w:pPr>
              <w:widowControl w:val="0"/>
              <w:jc w:val="center"/>
            </w:pPr>
            <w:r>
              <w:t>2145</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60x6</w:t>
            </w:r>
          </w:p>
        </w:tc>
        <w:tc>
          <w:tcPr>
            <w:tcW w:w="880" w:type="dxa"/>
            <w:vAlign w:val="center"/>
          </w:tcPr>
          <w:p>
            <w:pPr>
              <w:widowControl w:val="0"/>
              <w:jc w:val="center"/>
            </w:pPr>
            <w:r>
              <w:t>1125</w:t>
            </w:r>
          </w:p>
        </w:tc>
        <w:tc>
          <w:tcPr>
            <w:tcW w:w="880" w:type="dxa"/>
            <w:vAlign w:val="center"/>
          </w:tcPr>
          <w:p>
            <w:pPr>
              <w:widowControl w:val="0"/>
              <w:jc w:val="center"/>
            </w:pPr>
            <w:r>
              <w:t>1145</w:t>
            </w:r>
          </w:p>
        </w:tc>
        <w:tc>
          <w:tcPr>
            <w:tcW w:w="882" w:type="dxa"/>
            <w:vAlign w:val="center"/>
          </w:tcPr>
          <w:p>
            <w:pPr>
              <w:widowControl w:val="0"/>
              <w:jc w:val="center"/>
            </w:pPr>
            <w:r>
              <w:t>1740</w:t>
            </w:r>
          </w:p>
        </w:tc>
        <w:tc>
          <w:tcPr>
            <w:tcW w:w="880" w:type="dxa"/>
            <w:vAlign w:val="center"/>
          </w:tcPr>
          <w:p>
            <w:pPr>
              <w:widowControl w:val="0"/>
              <w:jc w:val="center"/>
            </w:pPr>
            <w:r>
              <w:t>1990</w:t>
            </w:r>
          </w:p>
        </w:tc>
        <w:tc>
          <w:tcPr>
            <w:tcW w:w="880" w:type="dxa"/>
            <w:vAlign w:val="center"/>
          </w:tcPr>
          <w:p>
            <w:pPr>
              <w:widowControl w:val="0"/>
              <w:jc w:val="center"/>
            </w:pPr>
            <w:r>
              <w:t>2240</w:t>
            </w:r>
          </w:p>
        </w:tc>
        <w:tc>
          <w:tcPr>
            <w:tcW w:w="882" w:type="dxa"/>
            <w:vAlign w:val="center"/>
          </w:tcPr>
          <w:p>
            <w:pPr>
              <w:widowControl w:val="0"/>
              <w:jc w:val="center"/>
            </w:pPr>
            <w:r>
              <w:t>2495</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80x6</w:t>
            </w:r>
          </w:p>
        </w:tc>
        <w:tc>
          <w:tcPr>
            <w:tcW w:w="880" w:type="dxa"/>
            <w:vAlign w:val="center"/>
          </w:tcPr>
          <w:p>
            <w:pPr>
              <w:widowControl w:val="0"/>
              <w:jc w:val="center"/>
            </w:pPr>
            <w:r>
              <w:t>1480</w:t>
            </w:r>
          </w:p>
        </w:tc>
        <w:tc>
          <w:tcPr>
            <w:tcW w:w="880" w:type="dxa"/>
            <w:vAlign w:val="center"/>
          </w:tcPr>
          <w:p>
            <w:pPr>
              <w:widowControl w:val="0"/>
              <w:jc w:val="center"/>
            </w:pPr>
            <w:r>
              <w:t>1510</w:t>
            </w:r>
          </w:p>
        </w:tc>
        <w:tc>
          <w:tcPr>
            <w:tcW w:w="882" w:type="dxa"/>
            <w:vAlign w:val="center"/>
          </w:tcPr>
          <w:p>
            <w:pPr>
              <w:widowControl w:val="0"/>
              <w:jc w:val="center"/>
            </w:pPr>
            <w:r>
              <w:t>2110</w:t>
            </w:r>
          </w:p>
        </w:tc>
        <w:tc>
          <w:tcPr>
            <w:tcW w:w="880" w:type="dxa"/>
            <w:vAlign w:val="center"/>
          </w:tcPr>
          <w:p>
            <w:pPr>
              <w:widowControl w:val="0"/>
              <w:jc w:val="center"/>
            </w:pPr>
            <w:r>
              <w:t>2630</w:t>
            </w:r>
          </w:p>
        </w:tc>
        <w:tc>
          <w:tcPr>
            <w:tcW w:w="880" w:type="dxa"/>
            <w:vAlign w:val="center"/>
          </w:tcPr>
          <w:p>
            <w:pPr>
              <w:widowControl w:val="0"/>
              <w:jc w:val="center"/>
            </w:pPr>
            <w:r>
              <w:t>2720</w:t>
            </w:r>
          </w:p>
        </w:tc>
        <w:tc>
          <w:tcPr>
            <w:tcW w:w="882" w:type="dxa"/>
            <w:vAlign w:val="center"/>
          </w:tcPr>
          <w:p>
            <w:pPr>
              <w:widowControl w:val="0"/>
              <w:jc w:val="center"/>
            </w:pPr>
            <w:r>
              <w:t>3220</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100x6</w:t>
            </w:r>
          </w:p>
        </w:tc>
        <w:tc>
          <w:tcPr>
            <w:tcW w:w="880" w:type="dxa"/>
            <w:vAlign w:val="center"/>
          </w:tcPr>
          <w:p>
            <w:pPr>
              <w:widowControl w:val="0"/>
              <w:jc w:val="center"/>
            </w:pPr>
            <w:r>
              <w:t>1810</w:t>
            </w:r>
          </w:p>
        </w:tc>
        <w:tc>
          <w:tcPr>
            <w:tcW w:w="880" w:type="dxa"/>
            <w:vAlign w:val="center"/>
          </w:tcPr>
          <w:p>
            <w:pPr>
              <w:widowControl w:val="0"/>
              <w:jc w:val="center"/>
            </w:pPr>
            <w:r>
              <w:t>1875</w:t>
            </w:r>
          </w:p>
        </w:tc>
        <w:tc>
          <w:tcPr>
            <w:tcW w:w="882" w:type="dxa"/>
            <w:vAlign w:val="center"/>
          </w:tcPr>
          <w:p>
            <w:pPr>
              <w:widowControl w:val="0"/>
              <w:jc w:val="center"/>
            </w:pPr>
            <w:r>
              <w:t>2470</w:t>
            </w:r>
          </w:p>
        </w:tc>
        <w:tc>
          <w:tcPr>
            <w:tcW w:w="880" w:type="dxa"/>
            <w:vAlign w:val="center"/>
          </w:tcPr>
          <w:p>
            <w:pPr>
              <w:widowControl w:val="0"/>
              <w:jc w:val="center"/>
            </w:pPr>
            <w:r>
              <w:t>3245</w:t>
            </w:r>
          </w:p>
        </w:tc>
        <w:tc>
          <w:tcPr>
            <w:tcW w:w="880" w:type="dxa"/>
            <w:vAlign w:val="center"/>
          </w:tcPr>
          <w:p>
            <w:pPr>
              <w:widowControl w:val="0"/>
              <w:jc w:val="center"/>
            </w:pPr>
            <w:r>
              <w:t>3170</w:t>
            </w:r>
          </w:p>
        </w:tc>
        <w:tc>
          <w:tcPr>
            <w:tcW w:w="882" w:type="dxa"/>
            <w:vAlign w:val="center"/>
          </w:tcPr>
          <w:p>
            <w:pPr>
              <w:widowControl w:val="0"/>
              <w:jc w:val="center"/>
            </w:pPr>
            <w:r>
              <w:t>3940</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60x8</w:t>
            </w:r>
          </w:p>
        </w:tc>
        <w:tc>
          <w:tcPr>
            <w:tcW w:w="880" w:type="dxa"/>
            <w:vAlign w:val="center"/>
          </w:tcPr>
          <w:p>
            <w:pPr>
              <w:widowControl w:val="0"/>
              <w:jc w:val="center"/>
            </w:pPr>
            <w:r>
              <w:t>1320</w:t>
            </w:r>
          </w:p>
        </w:tc>
        <w:tc>
          <w:tcPr>
            <w:tcW w:w="880" w:type="dxa"/>
            <w:vAlign w:val="center"/>
          </w:tcPr>
          <w:p>
            <w:pPr>
              <w:widowControl w:val="0"/>
              <w:jc w:val="center"/>
            </w:pPr>
            <w:r>
              <w:t>1345</w:t>
            </w:r>
          </w:p>
        </w:tc>
        <w:tc>
          <w:tcPr>
            <w:tcW w:w="882" w:type="dxa"/>
            <w:vAlign w:val="center"/>
          </w:tcPr>
          <w:p>
            <w:pPr>
              <w:widowControl w:val="0"/>
              <w:jc w:val="center"/>
            </w:pPr>
            <w:r>
              <w:t>2160</w:t>
            </w:r>
          </w:p>
        </w:tc>
        <w:tc>
          <w:tcPr>
            <w:tcW w:w="880" w:type="dxa"/>
            <w:vAlign w:val="center"/>
          </w:tcPr>
          <w:p>
            <w:pPr>
              <w:widowControl w:val="0"/>
              <w:jc w:val="center"/>
            </w:pPr>
            <w:r>
              <w:t>2485</w:t>
            </w:r>
          </w:p>
        </w:tc>
        <w:tc>
          <w:tcPr>
            <w:tcW w:w="880" w:type="dxa"/>
            <w:vAlign w:val="center"/>
          </w:tcPr>
          <w:p>
            <w:pPr>
              <w:widowControl w:val="0"/>
              <w:jc w:val="center"/>
            </w:pPr>
            <w:r>
              <w:t>2790</w:t>
            </w:r>
          </w:p>
        </w:tc>
        <w:tc>
          <w:tcPr>
            <w:tcW w:w="882" w:type="dxa"/>
            <w:vAlign w:val="center"/>
          </w:tcPr>
          <w:p>
            <w:pPr>
              <w:widowControl w:val="0"/>
              <w:jc w:val="center"/>
            </w:pPr>
            <w:r>
              <w:t>3020</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80x8</w:t>
            </w:r>
          </w:p>
        </w:tc>
        <w:tc>
          <w:tcPr>
            <w:tcW w:w="880" w:type="dxa"/>
            <w:vAlign w:val="center"/>
          </w:tcPr>
          <w:p>
            <w:pPr>
              <w:widowControl w:val="0"/>
              <w:jc w:val="center"/>
            </w:pPr>
            <w:r>
              <w:t>1690</w:t>
            </w:r>
          </w:p>
        </w:tc>
        <w:tc>
          <w:tcPr>
            <w:tcW w:w="880" w:type="dxa"/>
            <w:vAlign w:val="center"/>
          </w:tcPr>
          <w:p>
            <w:pPr>
              <w:widowControl w:val="0"/>
              <w:jc w:val="center"/>
            </w:pPr>
            <w:r>
              <w:t>1755</w:t>
            </w:r>
          </w:p>
        </w:tc>
        <w:tc>
          <w:tcPr>
            <w:tcW w:w="882" w:type="dxa"/>
            <w:vAlign w:val="center"/>
          </w:tcPr>
          <w:p>
            <w:pPr>
              <w:widowControl w:val="0"/>
              <w:jc w:val="center"/>
            </w:pPr>
            <w:r>
              <w:t>2620</w:t>
            </w:r>
          </w:p>
        </w:tc>
        <w:tc>
          <w:tcPr>
            <w:tcW w:w="880" w:type="dxa"/>
            <w:vAlign w:val="center"/>
          </w:tcPr>
          <w:p>
            <w:pPr>
              <w:widowControl w:val="0"/>
              <w:jc w:val="center"/>
            </w:pPr>
            <w:r>
              <w:t>3095</w:t>
            </w:r>
          </w:p>
        </w:tc>
        <w:tc>
          <w:tcPr>
            <w:tcW w:w="880" w:type="dxa"/>
            <w:vAlign w:val="center"/>
          </w:tcPr>
          <w:p>
            <w:pPr>
              <w:widowControl w:val="0"/>
              <w:jc w:val="center"/>
            </w:pPr>
            <w:r>
              <w:t>3370</w:t>
            </w:r>
          </w:p>
        </w:tc>
        <w:tc>
          <w:tcPr>
            <w:tcW w:w="882" w:type="dxa"/>
            <w:vAlign w:val="center"/>
          </w:tcPr>
          <w:p>
            <w:pPr>
              <w:widowControl w:val="0"/>
              <w:jc w:val="center"/>
            </w:pPr>
            <w:r>
              <w:t>3850</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100x8</w:t>
            </w:r>
          </w:p>
        </w:tc>
        <w:tc>
          <w:tcPr>
            <w:tcW w:w="880" w:type="dxa"/>
            <w:vAlign w:val="center"/>
          </w:tcPr>
          <w:p>
            <w:pPr>
              <w:widowControl w:val="0"/>
              <w:jc w:val="center"/>
            </w:pPr>
            <w:r>
              <w:t>2080</w:t>
            </w:r>
          </w:p>
        </w:tc>
        <w:tc>
          <w:tcPr>
            <w:tcW w:w="880" w:type="dxa"/>
            <w:vAlign w:val="center"/>
          </w:tcPr>
          <w:p>
            <w:pPr>
              <w:widowControl w:val="0"/>
              <w:jc w:val="center"/>
            </w:pPr>
            <w:r>
              <w:t>2180</w:t>
            </w:r>
          </w:p>
        </w:tc>
        <w:tc>
          <w:tcPr>
            <w:tcW w:w="882" w:type="dxa"/>
            <w:vAlign w:val="center"/>
          </w:tcPr>
          <w:p>
            <w:pPr>
              <w:widowControl w:val="0"/>
              <w:jc w:val="center"/>
            </w:pPr>
            <w:r>
              <w:t>3060</w:t>
            </w:r>
          </w:p>
        </w:tc>
        <w:tc>
          <w:tcPr>
            <w:tcW w:w="880" w:type="dxa"/>
            <w:vAlign w:val="center"/>
          </w:tcPr>
          <w:p>
            <w:pPr>
              <w:widowControl w:val="0"/>
              <w:jc w:val="center"/>
            </w:pPr>
            <w:r>
              <w:t>3810</w:t>
            </w:r>
          </w:p>
        </w:tc>
        <w:tc>
          <w:tcPr>
            <w:tcW w:w="880" w:type="dxa"/>
            <w:vAlign w:val="center"/>
          </w:tcPr>
          <w:p>
            <w:pPr>
              <w:widowControl w:val="0"/>
              <w:jc w:val="center"/>
            </w:pPr>
            <w:r>
              <w:t>3930</w:t>
            </w:r>
          </w:p>
        </w:tc>
        <w:tc>
          <w:tcPr>
            <w:tcW w:w="882" w:type="dxa"/>
            <w:vAlign w:val="center"/>
          </w:tcPr>
          <w:p>
            <w:pPr>
              <w:widowControl w:val="0"/>
              <w:jc w:val="center"/>
            </w:pPr>
            <w:r>
              <w:t>4690</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120x8</w:t>
            </w:r>
          </w:p>
        </w:tc>
        <w:tc>
          <w:tcPr>
            <w:tcW w:w="880" w:type="dxa"/>
            <w:vAlign w:val="center"/>
          </w:tcPr>
          <w:p>
            <w:pPr>
              <w:widowControl w:val="0"/>
              <w:jc w:val="center"/>
            </w:pPr>
            <w:r>
              <w:t>2400</w:t>
            </w:r>
          </w:p>
        </w:tc>
        <w:tc>
          <w:tcPr>
            <w:tcW w:w="880" w:type="dxa"/>
            <w:vAlign w:val="center"/>
          </w:tcPr>
          <w:p>
            <w:pPr>
              <w:widowControl w:val="0"/>
              <w:jc w:val="center"/>
            </w:pPr>
            <w:r>
              <w:t>2600</w:t>
            </w:r>
          </w:p>
        </w:tc>
        <w:tc>
          <w:tcPr>
            <w:tcW w:w="882" w:type="dxa"/>
            <w:vAlign w:val="center"/>
          </w:tcPr>
          <w:p>
            <w:pPr>
              <w:widowControl w:val="0"/>
              <w:jc w:val="center"/>
            </w:pPr>
            <w:r>
              <w:t>3400</w:t>
            </w:r>
          </w:p>
        </w:tc>
        <w:tc>
          <w:tcPr>
            <w:tcW w:w="880" w:type="dxa"/>
            <w:vAlign w:val="center"/>
          </w:tcPr>
          <w:p>
            <w:pPr>
              <w:widowControl w:val="0"/>
              <w:jc w:val="center"/>
            </w:pPr>
            <w:r>
              <w:t>4400</w:t>
            </w:r>
          </w:p>
        </w:tc>
        <w:tc>
          <w:tcPr>
            <w:tcW w:w="880" w:type="dxa"/>
            <w:vAlign w:val="center"/>
          </w:tcPr>
          <w:p>
            <w:pPr>
              <w:widowControl w:val="0"/>
              <w:jc w:val="center"/>
            </w:pPr>
            <w:r>
              <w:t>4340</w:t>
            </w:r>
          </w:p>
        </w:tc>
        <w:tc>
          <w:tcPr>
            <w:tcW w:w="882" w:type="dxa"/>
            <w:vAlign w:val="center"/>
          </w:tcPr>
          <w:p>
            <w:pPr>
              <w:widowControl w:val="0"/>
              <w:jc w:val="center"/>
            </w:pPr>
            <w:r>
              <w:t>5600</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60x10</w:t>
            </w:r>
          </w:p>
        </w:tc>
        <w:tc>
          <w:tcPr>
            <w:tcW w:w="880" w:type="dxa"/>
            <w:vAlign w:val="center"/>
          </w:tcPr>
          <w:p>
            <w:pPr>
              <w:widowControl w:val="0"/>
              <w:jc w:val="center"/>
            </w:pPr>
            <w:r>
              <w:t>1475</w:t>
            </w:r>
          </w:p>
        </w:tc>
        <w:tc>
          <w:tcPr>
            <w:tcW w:w="880" w:type="dxa"/>
            <w:vAlign w:val="center"/>
          </w:tcPr>
          <w:p>
            <w:pPr>
              <w:widowControl w:val="0"/>
              <w:jc w:val="center"/>
            </w:pPr>
            <w:r>
              <w:t>1525</w:t>
            </w:r>
          </w:p>
        </w:tc>
        <w:tc>
          <w:tcPr>
            <w:tcW w:w="882" w:type="dxa"/>
            <w:vAlign w:val="center"/>
          </w:tcPr>
          <w:p>
            <w:pPr>
              <w:widowControl w:val="0"/>
              <w:jc w:val="center"/>
            </w:pPr>
            <w:r>
              <w:t>2560</w:t>
            </w:r>
          </w:p>
        </w:tc>
        <w:tc>
          <w:tcPr>
            <w:tcW w:w="880" w:type="dxa"/>
            <w:vAlign w:val="center"/>
          </w:tcPr>
          <w:p>
            <w:pPr>
              <w:widowControl w:val="0"/>
              <w:jc w:val="center"/>
            </w:pPr>
            <w:r>
              <w:t>2725</w:t>
            </w:r>
          </w:p>
        </w:tc>
        <w:tc>
          <w:tcPr>
            <w:tcW w:w="880" w:type="dxa"/>
            <w:vAlign w:val="center"/>
          </w:tcPr>
          <w:p>
            <w:pPr>
              <w:widowControl w:val="0"/>
              <w:jc w:val="center"/>
            </w:pPr>
            <w:r>
              <w:t>3300</w:t>
            </w:r>
          </w:p>
        </w:tc>
        <w:tc>
          <w:tcPr>
            <w:tcW w:w="882" w:type="dxa"/>
            <w:vAlign w:val="center"/>
          </w:tcPr>
          <w:p>
            <w:pPr>
              <w:widowControl w:val="0"/>
              <w:jc w:val="center"/>
            </w:pPr>
            <w:r>
              <w:t>3530</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80x10</w:t>
            </w:r>
          </w:p>
        </w:tc>
        <w:tc>
          <w:tcPr>
            <w:tcW w:w="880" w:type="dxa"/>
            <w:vAlign w:val="center"/>
          </w:tcPr>
          <w:p>
            <w:pPr>
              <w:widowControl w:val="0"/>
              <w:jc w:val="center"/>
            </w:pPr>
            <w:r>
              <w:t>1900</w:t>
            </w:r>
          </w:p>
        </w:tc>
        <w:tc>
          <w:tcPr>
            <w:tcW w:w="880" w:type="dxa"/>
            <w:vAlign w:val="center"/>
          </w:tcPr>
          <w:p>
            <w:pPr>
              <w:widowControl w:val="0"/>
              <w:jc w:val="center"/>
            </w:pPr>
            <w:r>
              <w:t>1990</w:t>
            </w:r>
          </w:p>
        </w:tc>
        <w:tc>
          <w:tcPr>
            <w:tcW w:w="882" w:type="dxa"/>
            <w:vAlign w:val="center"/>
          </w:tcPr>
          <w:p>
            <w:pPr>
              <w:widowControl w:val="0"/>
              <w:jc w:val="center"/>
            </w:pPr>
            <w:r>
              <w:t>3100</w:t>
            </w:r>
          </w:p>
        </w:tc>
        <w:tc>
          <w:tcPr>
            <w:tcW w:w="880" w:type="dxa"/>
            <w:vAlign w:val="center"/>
          </w:tcPr>
          <w:p>
            <w:pPr>
              <w:widowControl w:val="0"/>
              <w:jc w:val="center"/>
            </w:pPr>
            <w:r>
              <w:t>3510</w:t>
            </w:r>
          </w:p>
        </w:tc>
        <w:tc>
          <w:tcPr>
            <w:tcW w:w="880" w:type="dxa"/>
            <w:vAlign w:val="center"/>
          </w:tcPr>
          <w:p>
            <w:pPr>
              <w:widowControl w:val="0"/>
              <w:jc w:val="center"/>
            </w:pPr>
            <w:r>
              <w:t>3990</w:t>
            </w:r>
          </w:p>
        </w:tc>
        <w:tc>
          <w:tcPr>
            <w:tcW w:w="882" w:type="dxa"/>
            <w:vAlign w:val="center"/>
          </w:tcPr>
          <w:p>
            <w:pPr>
              <w:widowControl w:val="0"/>
              <w:jc w:val="center"/>
            </w:pPr>
            <w:r>
              <w:t>4450</w:t>
            </w:r>
          </w:p>
        </w:tc>
        <w:tc>
          <w:tcPr>
            <w:tcW w:w="880" w:type="dxa"/>
            <w:vAlign w:val="center"/>
          </w:tcPr>
          <w:p>
            <w:pPr>
              <w:widowControl w:val="0"/>
              <w:jc w:val="center"/>
            </w:pPr>
            <w:r>
              <w:t>–</w:t>
            </w:r>
          </w:p>
        </w:tc>
        <w:tc>
          <w:tcPr>
            <w:tcW w:w="882" w:type="dxa"/>
            <w:vAlign w:val="center"/>
          </w:tcPr>
          <w:p>
            <w:pPr>
              <w:widowControl w:val="0"/>
              <w:jc w:val="center"/>
            </w:pPr>
            <w:r>
              <w:t>–</w:t>
            </w:r>
          </w:p>
        </w:tc>
      </w:tr>
      <w:tr>
        <w:trPr>
          <w:cantSplit/>
          <w:trHeight w:val="20"/>
        </w:trPr>
        <w:tc>
          <w:tcPr>
            <w:tcW w:w="1951" w:type="dxa"/>
            <w:vAlign w:val="center"/>
          </w:tcPr>
          <w:p>
            <w:pPr>
              <w:widowControl w:val="0"/>
              <w:jc w:val="center"/>
            </w:pPr>
            <w:r>
              <w:t>100x10</w:t>
            </w:r>
          </w:p>
        </w:tc>
        <w:tc>
          <w:tcPr>
            <w:tcW w:w="880" w:type="dxa"/>
            <w:vAlign w:val="center"/>
          </w:tcPr>
          <w:p>
            <w:pPr>
              <w:widowControl w:val="0"/>
              <w:jc w:val="center"/>
            </w:pPr>
            <w:r>
              <w:t>2310</w:t>
            </w:r>
          </w:p>
        </w:tc>
        <w:tc>
          <w:tcPr>
            <w:tcW w:w="880" w:type="dxa"/>
            <w:vAlign w:val="center"/>
          </w:tcPr>
          <w:p>
            <w:pPr>
              <w:widowControl w:val="0"/>
              <w:jc w:val="center"/>
            </w:pPr>
            <w:r>
              <w:t>2470</w:t>
            </w:r>
          </w:p>
        </w:tc>
        <w:tc>
          <w:tcPr>
            <w:tcW w:w="882" w:type="dxa"/>
            <w:vAlign w:val="center"/>
          </w:tcPr>
          <w:p>
            <w:pPr>
              <w:widowControl w:val="0"/>
              <w:jc w:val="center"/>
            </w:pPr>
            <w:r>
              <w:t>3610</w:t>
            </w:r>
          </w:p>
        </w:tc>
        <w:tc>
          <w:tcPr>
            <w:tcW w:w="880" w:type="dxa"/>
            <w:vAlign w:val="center"/>
          </w:tcPr>
          <w:p>
            <w:pPr>
              <w:widowControl w:val="0"/>
              <w:jc w:val="center"/>
            </w:pPr>
            <w:r>
              <w:t>4325</w:t>
            </w:r>
          </w:p>
        </w:tc>
        <w:tc>
          <w:tcPr>
            <w:tcW w:w="880" w:type="dxa"/>
            <w:vAlign w:val="center"/>
          </w:tcPr>
          <w:p>
            <w:pPr>
              <w:widowControl w:val="0"/>
              <w:jc w:val="center"/>
            </w:pPr>
            <w:r>
              <w:t>4650</w:t>
            </w:r>
          </w:p>
        </w:tc>
        <w:tc>
          <w:tcPr>
            <w:tcW w:w="882" w:type="dxa"/>
            <w:vAlign w:val="center"/>
          </w:tcPr>
          <w:p>
            <w:pPr>
              <w:widowControl w:val="0"/>
              <w:jc w:val="center"/>
            </w:pPr>
            <w:r>
              <w:t>5385</w:t>
            </w:r>
          </w:p>
        </w:tc>
        <w:tc>
          <w:tcPr>
            <w:tcW w:w="880" w:type="dxa"/>
            <w:vAlign w:val="center"/>
          </w:tcPr>
          <w:p>
            <w:pPr>
              <w:widowControl w:val="0"/>
              <w:jc w:val="center"/>
            </w:pPr>
            <w:r>
              <w:t>5300</w:t>
            </w:r>
          </w:p>
        </w:tc>
        <w:tc>
          <w:tcPr>
            <w:tcW w:w="882" w:type="dxa"/>
            <w:vAlign w:val="center"/>
          </w:tcPr>
          <w:p>
            <w:pPr>
              <w:widowControl w:val="0"/>
              <w:jc w:val="center"/>
            </w:pPr>
            <w:r>
              <w:t>6060</w:t>
            </w:r>
          </w:p>
        </w:tc>
      </w:tr>
      <w:tr>
        <w:trPr>
          <w:cantSplit/>
          <w:trHeight w:val="20"/>
        </w:trPr>
        <w:tc>
          <w:tcPr>
            <w:tcW w:w="1951" w:type="dxa"/>
            <w:vAlign w:val="center"/>
          </w:tcPr>
          <w:p>
            <w:pPr>
              <w:widowControl w:val="0"/>
              <w:jc w:val="center"/>
            </w:pPr>
            <w:r>
              <w:t>120x10</w:t>
            </w:r>
          </w:p>
        </w:tc>
        <w:tc>
          <w:tcPr>
            <w:tcW w:w="880" w:type="dxa"/>
            <w:vAlign w:val="center"/>
          </w:tcPr>
          <w:p>
            <w:pPr>
              <w:widowControl w:val="0"/>
              <w:jc w:val="center"/>
            </w:pPr>
            <w:r>
              <w:t>2650</w:t>
            </w:r>
          </w:p>
        </w:tc>
        <w:tc>
          <w:tcPr>
            <w:tcW w:w="880" w:type="dxa"/>
            <w:vAlign w:val="center"/>
          </w:tcPr>
          <w:p>
            <w:pPr>
              <w:widowControl w:val="0"/>
              <w:jc w:val="center"/>
            </w:pPr>
            <w:r>
              <w:t>2950</w:t>
            </w:r>
          </w:p>
        </w:tc>
        <w:tc>
          <w:tcPr>
            <w:tcW w:w="882" w:type="dxa"/>
            <w:vAlign w:val="center"/>
          </w:tcPr>
          <w:p>
            <w:pPr>
              <w:widowControl w:val="0"/>
              <w:jc w:val="center"/>
            </w:pPr>
            <w:r>
              <w:t>4100</w:t>
            </w:r>
          </w:p>
        </w:tc>
        <w:tc>
          <w:tcPr>
            <w:tcW w:w="880" w:type="dxa"/>
            <w:vAlign w:val="center"/>
          </w:tcPr>
          <w:p>
            <w:pPr>
              <w:widowControl w:val="0"/>
              <w:jc w:val="center"/>
            </w:pPr>
            <w:r>
              <w:t>5000</w:t>
            </w:r>
          </w:p>
        </w:tc>
        <w:tc>
          <w:tcPr>
            <w:tcW w:w="880" w:type="dxa"/>
            <w:vAlign w:val="center"/>
          </w:tcPr>
          <w:p>
            <w:pPr>
              <w:widowControl w:val="0"/>
              <w:jc w:val="center"/>
            </w:pPr>
            <w:r>
              <w:t>5200</w:t>
            </w:r>
          </w:p>
        </w:tc>
        <w:tc>
          <w:tcPr>
            <w:tcW w:w="882" w:type="dxa"/>
            <w:vAlign w:val="center"/>
          </w:tcPr>
          <w:p>
            <w:pPr>
              <w:widowControl w:val="0"/>
              <w:jc w:val="center"/>
            </w:pPr>
            <w:r>
              <w:t>6250</w:t>
            </w:r>
          </w:p>
        </w:tc>
        <w:tc>
          <w:tcPr>
            <w:tcW w:w="880" w:type="dxa"/>
            <w:vAlign w:val="center"/>
          </w:tcPr>
          <w:p>
            <w:pPr>
              <w:widowControl w:val="0"/>
              <w:jc w:val="center"/>
            </w:pPr>
            <w:r>
              <w:t>5900</w:t>
            </w:r>
          </w:p>
        </w:tc>
        <w:tc>
          <w:tcPr>
            <w:tcW w:w="882" w:type="dxa"/>
            <w:vAlign w:val="center"/>
          </w:tcPr>
          <w:p>
            <w:pPr>
              <w:widowControl w:val="0"/>
              <w:jc w:val="center"/>
            </w:pPr>
            <w:r>
              <w:t>6800</w:t>
            </w:r>
          </w:p>
        </w:tc>
      </w:tr>
    </w:tbl>
    <w:p>
      <w:pPr>
        <w:widowControl w:val="0"/>
        <w:ind w:firstLine="284"/>
        <w:jc w:val="both"/>
        <w:rPr>
          <w:b/>
        </w:rPr>
      </w:pPr>
    </w:p>
    <w:p>
      <w:pPr>
        <w:widowControl w:val="0"/>
        <w:ind w:firstLine="284"/>
        <w:jc w:val="both"/>
        <w:rPr>
          <w:b/>
        </w:rPr>
      </w:pPr>
      <w:r>
        <w:rPr>
          <w:b/>
        </w:rPr>
        <w:t>21 lentelė. Stačiakampių pilnavidurių aliumininių šynų leistinoji ilgalaikė srovė</w:t>
      </w:r>
    </w:p>
    <w:p>
      <w:pPr>
        <w:widowControl w:val="0"/>
        <w:ind w:firstLine="284"/>
        <w:jc w:val="both"/>
        <w:rPr>
          <w:b/>
        </w:rPr>
      </w:pPr>
    </w:p>
    <w:p>
      <w:pPr>
        <w:widowControl w:val="0"/>
        <w:ind w:firstLine="284"/>
        <w:jc w:val="both"/>
      </w:pPr>
      <w:r>
        <w:t xml:space="preserve">Temperatūra: šynų +70 </w:t>
      </w:r>
      <w:r>
        <w:rPr>
          <w:vertAlign w:val="superscript"/>
        </w:rPr>
        <w:t>o</w:t>
      </w:r>
      <w:r>
        <w:t xml:space="preserve">C, oro +25 </w:t>
      </w:r>
      <w:r>
        <w:rPr>
          <w:vertAlign w:val="superscript"/>
        </w:rPr>
        <w:t>o</w:t>
      </w:r>
      <w:r>
        <w:t>C.</w:t>
      </w:r>
    </w:p>
    <w:p>
      <w:pPr>
        <w:widowControl w:val="0"/>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1" w:type="dxa"/>
          <w:right w:w="51" w:type="dxa"/>
        </w:tblCellMar>
        <w:tblLook w:val="0000" w:firstRow="0" w:lastRow="0" w:firstColumn="0" w:lastColumn="0" w:noHBand="0" w:noVBand="0"/>
      </w:tblPr>
      <w:tblGrid>
        <w:gridCol w:w="1967"/>
        <w:gridCol w:w="888"/>
        <w:gridCol w:w="887"/>
        <w:gridCol w:w="888"/>
        <w:gridCol w:w="888"/>
        <w:gridCol w:w="888"/>
        <w:gridCol w:w="888"/>
        <w:gridCol w:w="888"/>
        <w:gridCol w:w="888"/>
      </w:tblGrid>
      <w:tr>
        <w:trPr>
          <w:cantSplit/>
          <w:trHeight w:val="200"/>
          <w:tblHeader/>
        </w:trPr>
        <w:tc>
          <w:tcPr>
            <w:tcW w:w="1951" w:type="dxa"/>
            <w:vMerge w:val="restart"/>
            <w:vAlign w:val="center"/>
          </w:tcPr>
          <w:p>
            <w:pPr>
              <w:widowControl w:val="0"/>
              <w:jc w:val="center"/>
            </w:pPr>
            <w:r>
              <w:t>Šynos matmenys,</w:t>
            </w:r>
          </w:p>
          <w:p>
            <w:pPr>
              <w:widowControl w:val="0"/>
              <w:jc w:val="center"/>
            </w:pPr>
            <w:r>
              <w:t>mm</w:t>
            </w:r>
          </w:p>
        </w:tc>
        <w:tc>
          <w:tcPr>
            <w:tcW w:w="7041" w:type="dxa"/>
            <w:gridSpan w:val="8"/>
            <w:vAlign w:val="center"/>
          </w:tcPr>
          <w:p>
            <w:pPr>
              <w:widowControl w:val="0"/>
              <w:jc w:val="center"/>
              <w:rPr>
                <w:spacing w:val="-4"/>
              </w:rPr>
            </w:pPr>
            <w:r>
              <w:rPr>
                <w:spacing w:val="-4"/>
              </w:rPr>
              <w:t>Leistinoji ilgalaikė srovė, A, esant šynų skaičiui poliuje arba fazėje, vnt.</w:t>
            </w:r>
          </w:p>
        </w:tc>
      </w:tr>
      <w:tr>
        <w:trPr>
          <w:cantSplit/>
          <w:trHeight w:val="200"/>
          <w:tblHeader/>
        </w:trPr>
        <w:tc>
          <w:tcPr>
            <w:tcW w:w="1951" w:type="dxa"/>
            <w:vMerge/>
            <w:vAlign w:val="center"/>
          </w:tcPr>
          <w:p>
            <w:pPr>
              <w:widowControl w:val="0"/>
              <w:jc w:val="center"/>
            </w:pPr>
          </w:p>
        </w:tc>
        <w:tc>
          <w:tcPr>
            <w:tcW w:w="1761" w:type="dxa"/>
            <w:gridSpan w:val="2"/>
            <w:vAlign w:val="center"/>
          </w:tcPr>
          <w:p>
            <w:pPr>
              <w:widowControl w:val="0"/>
              <w:jc w:val="center"/>
            </w:pPr>
            <w:r>
              <w:t>1</w:t>
            </w:r>
          </w:p>
        </w:tc>
        <w:tc>
          <w:tcPr>
            <w:tcW w:w="1760" w:type="dxa"/>
            <w:gridSpan w:val="2"/>
            <w:vAlign w:val="center"/>
          </w:tcPr>
          <w:p>
            <w:pPr>
              <w:widowControl w:val="0"/>
              <w:jc w:val="center"/>
            </w:pPr>
            <w:r>
              <w:t>2</w:t>
            </w:r>
          </w:p>
        </w:tc>
        <w:tc>
          <w:tcPr>
            <w:tcW w:w="1760" w:type="dxa"/>
            <w:gridSpan w:val="2"/>
            <w:vAlign w:val="center"/>
          </w:tcPr>
          <w:p>
            <w:pPr>
              <w:widowControl w:val="0"/>
              <w:jc w:val="center"/>
            </w:pPr>
            <w:r>
              <w:t>3</w:t>
            </w:r>
          </w:p>
        </w:tc>
        <w:tc>
          <w:tcPr>
            <w:tcW w:w="1760" w:type="dxa"/>
            <w:gridSpan w:val="2"/>
            <w:vAlign w:val="center"/>
          </w:tcPr>
          <w:p>
            <w:pPr>
              <w:widowControl w:val="0"/>
              <w:jc w:val="center"/>
            </w:pPr>
            <w:r>
              <w:t>4</w:t>
            </w:r>
          </w:p>
        </w:tc>
      </w:tr>
      <w:tr>
        <w:trPr>
          <w:cantSplit/>
          <w:trHeight w:val="200"/>
          <w:tblHeader/>
        </w:trPr>
        <w:tc>
          <w:tcPr>
            <w:tcW w:w="1951" w:type="dxa"/>
            <w:vMerge/>
            <w:vAlign w:val="center"/>
          </w:tcPr>
          <w:p>
            <w:pPr>
              <w:widowControl w:val="0"/>
              <w:jc w:val="center"/>
            </w:pPr>
          </w:p>
        </w:tc>
        <w:tc>
          <w:tcPr>
            <w:tcW w:w="881" w:type="dxa"/>
            <w:vAlign w:val="center"/>
          </w:tcPr>
          <w:p>
            <w:pPr>
              <w:widowControl w:val="0"/>
              <w:jc w:val="center"/>
            </w:pPr>
            <w:r>
              <w:t>kintamoji</w:t>
            </w:r>
          </w:p>
        </w:tc>
        <w:tc>
          <w:tcPr>
            <w:tcW w:w="880" w:type="dxa"/>
            <w:vAlign w:val="center"/>
          </w:tcPr>
          <w:p>
            <w:pPr>
              <w:widowControl w:val="0"/>
              <w:jc w:val="center"/>
            </w:pPr>
            <w:r>
              <w:t>nuolatinė</w:t>
            </w:r>
          </w:p>
        </w:tc>
        <w:tc>
          <w:tcPr>
            <w:tcW w:w="880" w:type="dxa"/>
            <w:vAlign w:val="center"/>
          </w:tcPr>
          <w:p>
            <w:pPr>
              <w:widowControl w:val="0"/>
              <w:jc w:val="center"/>
            </w:pPr>
            <w:r>
              <w:t>kintamoji</w:t>
            </w:r>
          </w:p>
        </w:tc>
        <w:tc>
          <w:tcPr>
            <w:tcW w:w="880" w:type="dxa"/>
            <w:vAlign w:val="center"/>
          </w:tcPr>
          <w:p>
            <w:pPr>
              <w:widowControl w:val="0"/>
              <w:jc w:val="center"/>
            </w:pPr>
            <w:r>
              <w:t>nuolatinė</w:t>
            </w:r>
          </w:p>
        </w:tc>
        <w:tc>
          <w:tcPr>
            <w:tcW w:w="880" w:type="dxa"/>
            <w:vAlign w:val="center"/>
          </w:tcPr>
          <w:p>
            <w:pPr>
              <w:widowControl w:val="0"/>
              <w:jc w:val="center"/>
            </w:pPr>
            <w:r>
              <w:t>kintamoji</w:t>
            </w:r>
          </w:p>
        </w:tc>
        <w:tc>
          <w:tcPr>
            <w:tcW w:w="880" w:type="dxa"/>
            <w:vAlign w:val="center"/>
          </w:tcPr>
          <w:p>
            <w:pPr>
              <w:widowControl w:val="0"/>
              <w:jc w:val="center"/>
            </w:pPr>
            <w:r>
              <w:t>nuolatinė</w:t>
            </w:r>
          </w:p>
        </w:tc>
        <w:tc>
          <w:tcPr>
            <w:tcW w:w="880" w:type="dxa"/>
            <w:vAlign w:val="center"/>
          </w:tcPr>
          <w:p>
            <w:pPr>
              <w:widowControl w:val="0"/>
              <w:jc w:val="center"/>
            </w:pPr>
            <w:r>
              <w:t>kintamoji</w:t>
            </w:r>
          </w:p>
        </w:tc>
        <w:tc>
          <w:tcPr>
            <w:tcW w:w="880" w:type="dxa"/>
            <w:vAlign w:val="center"/>
          </w:tcPr>
          <w:p>
            <w:pPr>
              <w:widowControl w:val="0"/>
              <w:jc w:val="center"/>
            </w:pPr>
            <w:r>
              <w:t>nuolatinė</w:t>
            </w:r>
          </w:p>
        </w:tc>
      </w:tr>
      <w:tr>
        <w:trPr>
          <w:cantSplit/>
          <w:trHeight w:val="225"/>
        </w:trPr>
        <w:tc>
          <w:tcPr>
            <w:tcW w:w="1951" w:type="dxa"/>
            <w:vAlign w:val="center"/>
          </w:tcPr>
          <w:p>
            <w:pPr>
              <w:widowControl w:val="0"/>
              <w:jc w:val="center"/>
            </w:pPr>
            <w:r>
              <w:t>15x3</w:t>
            </w:r>
          </w:p>
        </w:tc>
        <w:tc>
          <w:tcPr>
            <w:tcW w:w="881" w:type="dxa"/>
            <w:vAlign w:val="center"/>
          </w:tcPr>
          <w:p>
            <w:pPr>
              <w:widowControl w:val="0"/>
              <w:jc w:val="center"/>
            </w:pPr>
            <w:r>
              <w:t>165</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20x3</w:t>
            </w:r>
          </w:p>
        </w:tc>
        <w:tc>
          <w:tcPr>
            <w:tcW w:w="881" w:type="dxa"/>
            <w:vAlign w:val="center"/>
          </w:tcPr>
          <w:p>
            <w:pPr>
              <w:widowControl w:val="0"/>
              <w:jc w:val="center"/>
            </w:pPr>
            <w:r>
              <w:t>215</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25x3</w:t>
            </w:r>
          </w:p>
        </w:tc>
        <w:tc>
          <w:tcPr>
            <w:tcW w:w="881" w:type="dxa"/>
            <w:vAlign w:val="center"/>
          </w:tcPr>
          <w:p>
            <w:pPr>
              <w:widowControl w:val="0"/>
              <w:jc w:val="center"/>
            </w:pPr>
            <w:r>
              <w:t>265</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30x4</w:t>
            </w:r>
          </w:p>
        </w:tc>
        <w:tc>
          <w:tcPr>
            <w:tcW w:w="881" w:type="dxa"/>
            <w:vAlign w:val="center"/>
          </w:tcPr>
          <w:p>
            <w:pPr>
              <w:widowControl w:val="0"/>
              <w:jc w:val="center"/>
            </w:pPr>
            <w:r>
              <w:t>365</w:t>
            </w:r>
          </w:p>
        </w:tc>
        <w:tc>
          <w:tcPr>
            <w:tcW w:w="880" w:type="dxa"/>
            <w:vAlign w:val="center"/>
          </w:tcPr>
          <w:p>
            <w:pPr>
              <w:widowControl w:val="0"/>
              <w:jc w:val="center"/>
            </w:pPr>
            <w:r>
              <w:t>370</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40x4</w:t>
            </w:r>
          </w:p>
        </w:tc>
        <w:tc>
          <w:tcPr>
            <w:tcW w:w="881" w:type="dxa"/>
            <w:vAlign w:val="center"/>
          </w:tcPr>
          <w:p>
            <w:pPr>
              <w:widowControl w:val="0"/>
              <w:jc w:val="center"/>
            </w:pPr>
            <w:r>
              <w:t>480</w:t>
            </w:r>
          </w:p>
        </w:tc>
        <w:tc>
          <w:tcPr>
            <w:tcW w:w="880" w:type="dxa"/>
            <w:vAlign w:val="center"/>
          </w:tcPr>
          <w:p>
            <w:pPr>
              <w:widowControl w:val="0"/>
              <w:jc w:val="center"/>
            </w:pPr>
            <w:r>
              <w:t>480</w:t>
            </w:r>
          </w:p>
        </w:tc>
        <w:tc>
          <w:tcPr>
            <w:tcW w:w="880" w:type="dxa"/>
            <w:vAlign w:val="center"/>
          </w:tcPr>
          <w:p>
            <w:pPr>
              <w:widowControl w:val="0"/>
              <w:jc w:val="center"/>
            </w:pPr>
            <w:r>
              <w:t>–</w:t>
            </w:r>
          </w:p>
        </w:tc>
        <w:tc>
          <w:tcPr>
            <w:tcW w:w="880" w:type="dxa"/>
            <w:vAlign w:val="center"/>
          </w:tcPr>
          <w:p>
            <w:pPr>
              <w:widowControl w:val="0"/>
              <w:jc w:val="center"/>
            </w:pPr>
            <w:r>
              <w:t>855</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40x5</w:t>
            </w:r>
          </w:p>
        </w:tc>
        <w:tc>
          <w:tcPr>
            <w:tcW w:w="881" w:type="dxa"/>
            <w:vAlign w:val="center"/>
          </w:tcPr>
          <w:p>
            <w:pPr>
              <w:widowControl w:val="0"/>
              <w:jc w:val="center"/>
            </w:pPr>
            <w:r>
              <w:t>540</w:t>
            </w:r>
          </w:p>
        </w:tc>
        <w:tc>
          <w:tcPr>
            <w:tcW w:w="880" w:type="dxa"/>
            <w:vAlign w:val="center"/>
          </w:tcPr>
          <w:p>
            <w:pPr>
              <w:widowControl w:val="0"/>
              <w:jc w:val="center"/>
            </w:pPr>
            <w:r>
              <w:t>545</w:t>
            </w:r>
          </w:p>
        </w:tc>
        <w:tc>
          <w:tcPr>
            <w:tcW w:w="880" w:type="dxa"/>
            <w:vAlign w:val="center"/>
          </w:tcPr>
          <w:p>
            <w:pPr>
              <w:widowControl w:val="0"/>
              <w:jc w:val="center"/>
            </w:pPr>
            <w:r>
              <w:t>–</w:t>
            </w:r>
          </w:p>
        </w:tc>
        <w:tc>
          <w:tcPr>
            <w:tcW w:w="880" w:type="dxa"/>
            <w:vAlign w:val="center"/>
          </w:tcPr>
          <w:p>
            <w:pPr>
              <w:widowControl w:val="0"/>
              <w:jc w:val="center"/>
            </w:pPr>
            <w:r>
              <w:t>965</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50x5</w:t>
            </w:r>
          </w:p>
        </w:tc>
        <w:tc>
          <w:tcPr>
            <w:tcW w:w="881" w:type="dxa"/>
            <w:vAlign w:val="center"/>
          </w:tcPr>
          <w:p>
            <w:pPr>
              <w:widowControl w:val="0"/>
              <w:jc w:val="center"/>
            </w:pPr>
            <w:r>
              <w:t>665</w:t>
            </w:r>
          </w:p>
        </w:tc>
        <w:tc>
          <w:tcPr>
            <w:tcW w:w="880" w:type="dxa"/>
            <w:vAlign w:val="center"/>
          </w:tcPr>
          <w:p>
            <w:pPr>
              <w:widowControl w:val="0"/>
              <w:jc w:val="center"/>
            </w:pPr>
            <w:r>
              <w:t>670</w:t>
            </w:r>
          </w:p>
        </w:tc>
        <w:tc>
          <w:tcPr>
            <w:tcW w:w="880" w:type="dxa"/>
            <w:vAlign w:val="center"/>
          </w:tcPr>
          <w:p>
            <w:pPr>
              <w:widowControl w:val="0"/>
              <w:jc w:val="center"/>
            </w:pPr>
            <w:r>
              <w:t>–</w:t>
            </w:r>
          </w:p>
        </w:tc>
        <w:tc>
          <w:tcPr>
            <w:tcW w:w="880" w:type="dxa"/>
            <w:vAlign w:val="center"/>
          </w:tcPr>
          <w:p>
            <w:pPr>
              <w:widowControl w:val="0"/>
              <w:jc w:val="center"/>
            </w:pPr>
            <w:r>
              <w:t>1180</w:t>
            </w:r>
          </w:p>
        </w:tc>
        <w:tc>
          <w:tcPr>
            <w:tcW w:w="880" w:type="dxa"/>
            <w:vAlign w:val="center"/>
          </w:tcPr>
          <w:p>
            <w:pPr>
              <w:widowControl w:val="0"/>
              <w:jc w:val="center"/>
            </w:pPr>
            <w:r>
              <w:t>–</w:t>
            </w:r>
          </w:p>
        </w:tc>
        <w:tc>
          <w:tcPr>
            <w:tcW w:w="880" w:type="dxa"/>
            <w:vAlign w:val="center"/>
          </w:tcPr>
          <w:p>
            <w:pPr>
              <w:widowControl w:val="0"/>
              <w:jc w:val="center"/>
            </w:pPr>
            <w:r>
              <w:t>1470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50x6</w:t>
            </w:r>
          </w:p>
        </w:tc>
        <w:tc>
          <w:tcPr>
            <w:tcW w:w="881" w:type="dxa"/>
            <w:vAlign w:val="center"/>
          </w:tcPr>
          <w:p>
            <w:pPr>
              <w:widowControl w:val="0"/>
              <w:jc w:val="center"/>
            </w:pPr>
            <w:r>
              <w:t>740</w:t>
            </w:r>
          </w:p>
        </w:tc>
        <w:tc>
          <w:tcPr>
            <w:tcW w:w="880" w:type="dxa"/>
            <w:vAlign w:val="center"/>
          </w:tcPr>
          <w:p>
            <w:pPr>
              <w:widowControl w:val="0"/>
              <w:jc w:val="center"/>
            </w:pPr>
            <w:r>
              <w:t>745</w:t>
            </w:r>
          </w:p>
        </w:tc>
        <w:tc>
          <w:tcPr>
            <w:tcW w:w="880" w:type="dxa"/>
            <w:vAlign w:val="center"/>
          </w:tcPr>
          <w:p>
            <w:pPr>
              <w:widowControl w:val="0"/>
              <w:jc w:val="center"/>
            </w:pPr>
            <w:r>
              <w:t>–</w:t>
            </w:r>
          </w:p>
        </w:tc>
        <w:tc>
          <w:tcPr>
            <w:tcW w:w="880" w:type="dxa"/>
            <w:vAlign w:val="center"/>
          </w:tcPr>
          <w:p>
            <w:pPr>
              <w:widowControl w:val="0"/>
              <w:jc w:val="center"/>
            </w:pPr>
            <w:r>
              <w:t>1315</w:t>
            </w:r>
          </w:p>
        </w:tc>
        <w:tc>
          <w:tcPr>
            <w:tcW w:w="880" w:type="dxa"/>
            <w:vAlign w:val="center"/>
          </w:tcPr>
          <w:p>
            <w:pPr>
              <w:widowControl w:val="0"/>
              <w:jc w:val="center"/>
            </w:pPr>
            <w:r>
              <w:t>–</w:t>
            </w:r>
          </w:p>
        </w:tc>
        <w:tc>
          <w:tcPr>
            <w:tcW w:w="880" w:type="dxa"/>
            <w:vAlign w:val="center"/>
          </w:tcPr>
          <w:p>
            <w:pPr>
              <w:widowControl w:val="0"/>
              <w:jc w:val="center"/>
            </w:pPr>
            <w:r>
              <w:t>1655</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60x6</w:t>
            </w:r>
          </w:p>
        </w:tc>
        <w:tc>
          <w:tcPr>
            <w:tcW w:w="881" w:type="dxa"/>
            <w:vAlign w:val="center"/>
          </w:tcPr>
          <w:p>
            <w:pPr>
              <w:widowControl w:val="0"/>
              <w:jc w:val="center"/>
            </w:pPr>
            <w:r>
              <w:t>870</w:t>
            </w:r>
          </w:p>
        </w:tc>
        <w:tc>
          <w:tcPr>
            <w:tcW w:w="880" w:type="dxa"/>
            <w:vAlign w:val="center"/>
          </w:tcPr>
          <w:p>
            <w:pPr>
              <w:widowControl w:val="0"/>
              <w:jc w:val="center"/>
            </w:pPr>
            <w:r>
              <w:t>880</w:t>
            </w:r>
          </w:p>
        </w:tc>
        <w:tc>
          <w:tcPr>
            <w:tcW w:w="880" w:type="dxa"/>
            <w:vAlign w:val="center"/>
          </w:tcPr>
          <w:p>
            <w:pPr>
              <w:widowControl w:val="0"/>
              <w:jc w:val="center"/>
            </w:pPr>
            <w:r>
              <w:t>1350</w:t>
            </w:r>
          </w:p>
        </w:tc>
        <w:tc>
          <w:tcPr>
            <w:tcW w:w="880" w:type="dxa"/>
            <w:vAlign w:val="center"/>
          </w:tcPr>
          <w:p>
            <w:pPr>
              <w:widowControl w:val="0"/>
              <w:jc w:val="center"/>
            </w:pPr>
            <w:r>
              <w:t>1555</w:t>
            </w:r>
          </w:p>
        </w:tc>
        <w:tc>
          <w:tcPr>
            <w:tcW w:w="880" w:type="dxa"/>
            <w:vAlign w:val="center"/>
          </w:tcPr>
          <w:p>
            <w:pPr>
              <w:widowControl w:val="0"/>
              <w:jc w:val="center"/>
            </w:pPr>
            <w:r>
              <w:t>1720</w:t>
            </w:r>
          </w:p>
        </w:tc>
        <w:tc>
          <w:tcPr>
            <w:tcW w:w="880" w:type="dxa"/>
            <w:vAlign w:val="center"/>
          </w:tcPr>
          <w:p>
            <w:pPr>
              <w:widowControl w:val="0"/>
              <w:jc w:val="center"/>
            </w:pPr>
            <w:r>
              <w:t>1940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80x6</w:t>
            </w:r>
          </w:p>
        </w:tc>
        <w:tc>
          <w:tcPr>
            <w:tcW w:w="881" w:type="dxa"/>
            <w:vAlign w:val="center"/>
          </w:tcPr>
          <w:p>
            <w:pPr>
              <w:widowControl w:val="0"/>
              <w:jc w:val="center"/>
            </w:pPr>
            <w:r>
              <w:t>1150</w:t>
            </w:r>
          </w:p>
        </w:tc>
        <w:tc>
          <w:tcPr>
            <w:tcW w:w="880" w:type="dxa"/>
            <w:vAlign w:val="center"/>
          </w:tcPr>
          <w:p>
            <w:pPr>
              <w:widowControl w:val="0"/>
              <w:jc w:val="center"/>
            </w:pPr>
            <w:r>
              <w:t>1170</w:t>
            </w:r>
          </w:p>
        </w:tc>
        <w:tc>
          <w:tcPr>
            <w:tcW w:w="880" w:type="dxa"/>
            <w:vAlign w:val="center"/>
          </w:tcPr>
          <w:p>
            <w:pPr>
              <w:widowControl w:val="0"/>
              <w:jc w:val="center"/>
            </w:pPr>
            <w:r>
              <w:t>1630</w:t>
            </w:r>
          </w:p>
        </w:tc>
        <w:tc>
          <w:tcPr>
            <w:tcW w:w="880" w:type="dxa"/>
            <w:vAlign w:val="center"/>
          </w:tcPr>
          <w:p>
            <w:pPr>
              <w:widowControl w:val="0"/>
              <w:jc w:val="center"/>
            </w:pPr>
            <w:r>
              <w:t>2055</w:t>
            </w:r>
          </w:p>
        </w:tc>
        <w:tc>
          <w:tcPr>
            <w:tcW w:w="880" w:type="dxa"/>
            <w:vAlign w:val="center"/>
          </w:tcPr>
          <w:p>
            <w:pPr>
              <w:widowControl w:val="0"/>
              <w:jc w:val="center"/>
            </w:pPr>
            <w:r>
              <w:t>2100</w:t>
            </w:r>
          </w:p>
        </w:tc>
        <w:tc>
          <w:tcPr>
            <w:tcW w:w="880" w:type="dxa"/>
            <w:vAlign w:val="center"/>
          </w:tcPr>
          <w:p>
            <w:pPr>
              <w:widowControl w:val="0"/>
              <w:jc w:val="center"/>
            </w:pPr>
            <w:r>
              <w:t>2460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100x6</w:t>
            </w:r>
          </w:p>
        </w:tc>
        <w:tc>
          <w:tcPr>
            <w:tcW w:w="881" w:type="dxa"/>
            <w:vAlign w:val="center"/>
          </w:tcPr>
          <w:p>
            <w:pPr>
              <w:widowControl w:val="0"/>
              <w:jc w:val="center"/>
            </w:pPr>
            <w:r>
              <w:t>1425</w:t>
            </w:r>
          </w:p>
        </w:tc>
        <w:tc>
          <w:tcPr>
            <w:tcW w:w="880" w:type="dxa"/>
            <w:vAlign w:val="center"/>
          </w:tcPr>
          <w:p>
            <w:pPr>
              <w:widowControl w:val="0"/>
              <w:jc w:val="center"/>
            </w:pPr>
            <w:r>
              <w:t>1455</w:t>
            </w:r>
          </w:p>
        </w:tc>
        <w:tc>
          <w:tcPr>
            <w:tcW w:w="880" w:type="dxa"/>
            <w:vAlign w:val="center"/>
          </w:tcPr>
          <w:p>
            <w:pPr>
              <w:widowControl w:val="0"/>
              <w:jc w:val="center"/>
            </w:pPr>
            <w:r>
              <w:t>1935</w:t>
            </w:r>
          </w:p>
        </w:tc>
        <w:tc>
          <w:tcPr>
            <w:tcW w:w="880" w:type="dxa"/>
            <w:vAlign w:val="center"/>
          </w:tcPr>
          <w:p>
            <w:pPr>
              <w:widowControl w:val="0"/>
              <w:jc w:val="center"/>
            </w:pPr>
            <w:r>
              <w:t>2515</w:t>
            </w:r>
          </w:p>
        </w:tc>
        <w:tc>
          <w:tcPr>
            <w:tcW w:w="880" w:type="dxa"/>
            <w:vAlign w:val="center"/>
          </w:tcPr>
          <w:p>
            <w:pPr>
              <w:widowControl w:val="0"/>
              <w:jc w:val="center"/>
            </w:pPr>
            <w:r>
              <w:t>2500</w:t>
            </w:r>
          </w:p>
        </w:tc>
        <w:tc>
          <w:tcPr>
            <w:tcW w:w="880" w:type="dxa"/>
            <w:vAlign w:val="center"/>
          </w:tcPr>
          <w:p>
            <w:pPr>
              <w:widowControl w:val="0"/>
              <w:jc w:val="center"/>
            </w:pPr>
            <w:r>
              <w:t>3040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60x8</w:t>
            </w:r>
          </w:p>
        </w:tc>
        <w:tc>
          <w:tcPr>
            <w:tcW w:w="881" w:type="dxa"/>
            <w:vAlign w:val="center"/>
          </w:tcPr>
          <w:p>
            <w:pPr>
              <w:widowControl w:val="0"/>
              <w:jc w:val="center"/>
            </w:pPr>
            <w:r>
              <w:t>1025</w:t>
            </w:r>
          </w:p>
        </w:tc>
        <w:tc>
          <w:tcPr>
            <w:tcW w:w="880" w:type="dxa"/>
            <w:vAlign w:val="center"/>
          </w:tcPr>
          <w:p>
            <w:pPr>
              <w:widowControl w:val="0"/>
              <w:jc w:val="center"/>
            </w:pPr>
            <w:r>
              <w:t>1040</w:t>
            </w:r>
          </w:p>
        </w:tc>
        <w:tc>
          <w:tcPr>
            <w:tcW w:w="880" w:type="dxa"/>
            <w:vAlign w:val="center"/>
          </w:tcPr>
          <w:p>
            <w:pPr>
              <w:widowControl w:val="0"/>
              <w:jc w:val="center"/>
            </w:pPr>
            <w:r>
              <w:t>1680</w:t>
            </w:r>
          </w:p>
        </w:tc>
        <w:tc>
          <w:tcPr>
            <w:tcW w:w="880" w:type="dxa"/>
            <w:vAlign w:val="center"/>
          </w:tcPr>
          <w:p>
            <w:pPr>
              <w:widowControl w:val="0"/>
              <w:jc w:val="center"/>
            </w:pPr>
            <w:r>
              <w:t>1840</w:t>
            </w:r>
          </w:p>
        </w:tc>
        <w:tc>
          <w:tcPr>
            <w:tcW w:w="880" w:type="dxa"/>
            <w:vAlign w:val="center"/>
          </w:tcPr>
          <w:p>
            <w:pPr>
              <w:widowControl w:val="0"/>
              <w:jc w:val="center"/>
            </w:pPr>
            <w:r>
              <w:t>2180</w:t>
            </w:r>
          </w:p>
        </w:tc>
        <w:tc>
          <w:tcPr>
            <w:tcW w:w="880" w:type="dxa"/>
            <w:vAlign w:val="center"/>
          </w:tcPr>
          <w:p>
            <w:pPr>
              <w:widowControl w:val="0"/>
              <w:jc w:val="center"/>
            </w:pPr>
            <w:r>
              <w:t>2330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80x8</w:t>
            </w:r>
          </w:p>
        </w:tc>
        <w:tc>
          <w:tcPr>
            <w:tcW w:w="881" w:type="dxa"/>
            <w:vAlign w:val="center"/>
          </w:tcPr>
          <w:p>
            <w:pPr>
              <w:widowControl w:val="0"/>
              <w:jc w:val="center"/>
            </w:pPr>
            <w:r>
              <w:t>1320</w:t>
            </w:r>
          </w:p>
        </w:tc>
        <w:tc>
          <w:tcPr>
            <w:tcW w:w="880" w:type="dxa"/>
            <w:vAlign w:val="center"/>
          </w:tcPr>
          <w:p>
            <w:pPr>
              <w:widowControl w:val="0"/>
              <w:jc w:val="center"/>
            </w:pPr>
            <w:r>
              <w:t>1355</w:t>
            </w:r>
          </w:p>
        </w:tc>
        <w:tc>
          <w:tcPr>
            <w:tcW w:w="880" w:type="dxa"/>
            <w:vAlign w:val="center"/>
          </w:tcPr>
          <w:p>
            <w:pPr>
              <w:widowControl w:val="0"/>
              <w:jc w:val="center"/>
            </w:pPr>
            <w:r>
              <w:t>2040</w:t>
            </w:r>
          </w:p>
        </w:tc>
        <w:tc>
          <w:tcPr>
            <w:tcW w:w="880" w:type="dxa"/>
            <w:vAlign w:val="center"/>
          </w:tcPr>
          <w:p>
            <w:pPr>
              <w:widowControl w:val="0"/>
              <w:jc w:val="center"/>
            </w:pPr>
            <w:r>
              <w:t>2400</w:t>
            </w:r>
          </w:p>
        </w:tc>
        <w:tc>
          <w:tcPr>
            <w:tcW w:w="880" w:type="dxa"/>
            <w:vAlign w:val="center"/>
          </w:tcPr>
          <w:p>
            <w:pPr>
              <w:widowControl w:val="0"/>
              <w:jc w:val="center"/>
            </w:pPr>
            <w:r>
              <w:t>2620</w:t>
            </w:r>
          </w:p>
        </w:tc>
        <w:tc>
          <w:tcPr>
            <w:tcW w:w="880" w:type="dxa"/>
            <w:vAlign w:val="center"/>
          </w:tcPr>
          <w:p>
            <w:pPr>
              <w:widowControl w:val="0"/>
              <w:jc w:val="center"/>
            </w:pPr>
            <w:r>
              <w:t>2975</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100x8</w:t>
            </w:r>
          </w:p>
        </w:tc>
        <w:tc>
          <w:tcPr>
            <w:tcW w:w="881" w:type="dxa"/>
            <w:vAlign w:val="center"/>
          </w:tcPr>
          <w:p>
            <w:pPr>
              <w:widowControl w:val="0"/>
              <w:jc w:val="center"/>
            </w:pPr>
            <w:r>
              <w:t>1625</w:t>
            </w:r>
          </w:p>
        </w:tc>
        <w:tc>
          <w:tcPr>
            <w:tcW w:w="880" w:type="dxa"/>
            <w:vAlign w:val="center"/>
          </w:tcPr>
          <w:p>
            <w:pPr>
              <w:widowControl w:val="0"/>
              <w:jc w:val="center"/>
            </w:pPr>
            <w:r>
              <w:t>1690</w:t>
            </w:r>
          </w:p>
        </w:tc>
        <w:tc>
          <w:tcPr>
            <w:tcW w:w="880" w:type="dxa"/>
            <w:vAlign w:val="center"/>
          </w:tcPr>
          <w:p>
            <w:pPr>
              <w:widowControl w:val="0"/>
              <w:jc w:val="center"/>
            </w:pPr>
            <w:r>
              <w:t>2390</w:t>
            </w:r>
          </w:p>
        </w:tc>
        <w:tc>
          <w:tcPr>
            <w:tcW w:w="880" w:type="dxa"/>
            <w:vAlign w:val="center"/>
          </w:tcPr>
          <w:p>
            <w:pPr>
              <w:widowControl w:val="0"/>
              <w:jc w:val="center"/>
            </w:pPr>
            <w:r>
              <w:t>2945</w:t>
            </w:r>
          </w:p>
        </w:tc>
        <w:tc>
          <w:tcPr>
            <w:tcW w:w="880" w:type="dxa"/>
            <w:vAlign w:val="center"/>
          </w:tcPr>
          <w:p>
            <w:pPr>
              <w:widowControl w:val="0"/>
              <w:jc w:val="center"/>
            </w:pPr>
            <w:r>
              <w:t>3050</w:t>
            </w:r>
          </w:p>
        </w:tc>
        <w:tc>
          <w:tcPr>
            <w:tcW w:w="880" w:type="dxa"/>
            <w:vAlign w:val="center"/>
          </w:tcPr>
          <w:p>
            <w:pPr>
              <w:widowControl w:val="0"/>
              <w:jc w:val="center"/>
            </w:pPr>
            <w:r>
              <w:t>3620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120x8</w:t>
            </w:r>
          </w:p>
        </w:tc>
        <w:tc>
          <w:tcPr>
            <w:tcW w:w="881" w:type="dxa"/>
            <w:vAlign w:val="center"/>
          </w:tcPr>
          <w:p>
            <w:pPr>
              <w:widowControl w:val="0"/>
              <w:jc w:val="center"/>
            </w:pPr>
            <w:r>
              <w:t>1900</w:t>
            </w:r>
          </w:p>
        </w:tc>
        <w:tc>
          <w:tcPr>
            <w:tcW w:w="880" w:type="dxa"/>
            <w:vAlign w:val="center"/>
          </w:tcPr>
          <w:p>
            <w:pPr>
              <w:widowControl w:val="0"/>
              <w:jc w:val="center"/>
            </w:pPr>
            <w:r>
              <w:t>2040</w:t>
            </w:r>
          </w:p>
        </w:tc>
        <w:tc>
          <w:tcPr>
            <w:tcW w:w="880" w:type="dxa"/>
            <w:vAlign w:val="center"/>
          </w:tcPr>
          <w:p>
            <w:pPr>
              <w:widowControl w:val="0"/>
              <w:jc w:val="center"/>
            </w:pPr>
            <w:r>
              <w:t>2650</w:t>
            </w:r>
          </w:p>
        </w:tc>
        <w:tc>
          <w:tcPr>
            <w:tcW w:w="880" w:type="dxa"/>
            <w:vAlign w:val="center"/>
          </w:tcPr>
          <w:p>
            <w:pPr>
              <w:widowControl w:val="0"/>
              <w:jc w:val="center"/>
            </w:pPr>
            <w:r>
              <w:t>3350</w:t>
            </w:r>
          </w:p>
        </w:tc>
        <w:tc>
          <w:tcPr>
            <w:tcW w:w="880" w:type="dxa"/>
            <w:vAlign w:val="center"/>
          </w:tcPr>
          <w:p>
            <w:pPr>
              <w:widowControl w:val="0"/>
              <w:jc w:val="center"/>
            </w:pPr>
            <w:r>
              <w:t>3380</w:t>
            </w:r>
          </w:p>
        </w:tc>
        <w:tc>
          <w:tcPr>
            <w:tcW w:w="880" w:type="dxa"/>
            <w:vAlign w:val="center"/>
          </w:tcPr>
          <w:p>
            <w:pPr>
              <w:widowControl w:val="0"/>
              <w:jc w:val="center"/>
            </w:pPr>
            <w:r>
              <w:t>4250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60x10</w:t>
            </w:r>
          </w:p>
        </w:tc>
        <w:tc>
          <w:tcPr>
            <w:tcW w:w="881" w:type="dxa"/>
            <w:vAlign w:val="center"/>
          </w:tcPr>
          <w:p>
            <w:pPr>
              <w:widowControl w:val="0"/>
              <w:jc w:val="center"/>
            </w:pPr>
            <w:r>
              <w:t>1155</w:t>
            </w:r>
          </w:p>
        </w:tc>
        <w:tc>
          <w:tcPr>
            <w:tcW w:w="880" w:type="dxa"/>
            <w:vAlign w:val="center"/>
          </w:tcPr>
          <w:p>
            <w:pPr>
              <w:widowControl w:val="0"/>
              <w:jc w:val="center"/>
            </w:pPr>
            <w:r>
              <w:t>1180</w:t>
            </w:r>
          </w:p>
        </w:tc>
        <w:tc>
          <w:tcPr>
            <w:tcW w:w="880" w:type="dxa"/>
            <w:vAlign w:val="center"/>
          </w:tcPr>
          <w:p>
            <w:pPr>
              <w:widowControl w:val="0"/>
              <w:jc w:val="center"/>
            </w:pPr>
            <w:r>
              <w:t>2010</w:t>
            </w:r>
          </w:p>
        </w:tc>
        <w:tc>
          <w:tcPr>
            <w:tcW w:w="880" w:type="dxa"/>
            <w:vAlign w:val="center"/>
          </w:tcPr>
          <w:p>
            <w:pPr>
              <w:widowControl w:val="0"/>
              <w:jc w:val="center"/>
            </w:pPr>
            <w:r>
              <w:t>2110</w:t>
            </w:r>
          </w:p>
        </w:tc>
        <w:tc>
          <w:tcPr>
            <w:tcW w:w="880" w:type="dxa"/>
            <w:vAlign w:val="center"/>
          </w:tcPr>
          <w:p>
            <w:pPr>
              <w:widowControl w:val="0"/>
              <w:jc w:val="center"/>
            </w:pPr>
            <w:r>
              <w:t>2650</w:t>
            </w:r>
          </w:p>
        </w:tc>
        <w:tc>
          <w:tcPr>
            <w:tcW w:w="880" w:type="dxa"/>
            <w:vAlign w:val="center"/>
          </w:tcPr>
          <w:p>
            <w:pPr>
              <w:widowControl w:val="0"/>
              <w:jc w:val="center"/>
            </w:pPr>
            <w:r>
              <w:t>2720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80x10</w:t>
            </w:r>
          </w:p>
        </w:tc>
        <w:tc>
          <w:tcPr>
            <w:tcW w:w="881" w:type="dxa"/>
            <w:vAlign w:val="center"/>
          </w:tcPr>
          <w:p>
            <w:pPr>
              <w:widowControl w:val="0"/>
              <w:jc w:val="center"/>
            </w:pPr>
            <w:r>
              <w:t>1480</w:t>
            </w:r>
          </w:p>
        </w:tc>
        <w:tc>
          <w:tcPr>
            <w:tcW w:w="880" w:type="dxa"/>
            <w:vAlign w:val="center"/>
          </w:tcPr>
          <w:p>
            <w:pPr>
              <w:widowControl w:val="0"/>
              <w:jc w:val="center"/>
            </w:pPr>
            <w:r>
              <w:t>1540</w:t>
            </w:r>
          </w:p>
        </w:tc>
        <w:tc>
          <w:tcPr>
            <w:tcW w:w="880" w:type="dxa"/>
            <w:vAlign w:val="center"/>
          </w:tcPr>
          <w:p>
            <w:pPr>
              <w:widowControl w:val="0"/>
              <w:jc w:val="center"/>
            </w:pPr>
            <w:r>
              <w:t>2410</w:t>
            </w:r>
          </w:p>
        </w:tc>
        <w:tc>
          <w:tcPr>
            <w:tcW w:w="880" w:type="dxa"/>
            <w:vAlign w:val="center"/>
          </w:tcPr>
          <w:p>
            <w:pPr>
              <w:widowControl w:val="0"/>
              <w:jc w:val="center"/>
            </w:pPr>
            <w:r>
              <w:t>2735</w:t>
            </w:r>
          </w:p>
        </w:tc>
        <w:tc>
          <w:tcPr>
            <w:tcW w:w="880" w:type="dxa"/>
            <w:vAlign w:val="center"/>
          </w:tcPr>
          <w:p>
            <w:pPr>
              <w:widowControl w:val="0"/>
              <w:jc w:val="center"/>
            </w:pPr>
            <w:r>
              <w:t>3100</w:t>
            </w:r>
          </w:p>
        </w:tc>
        <w:tc>
          <w:tcPr>
            <w:tcW w:w="880" w:type="dxa"/>
            <w:vAlign w:val="center"/>
          </w:tcPr>
          <w:p>
            <w:pPr>
              <w:widowControl w:val="0"/>
              <w:jc w:val="center"/>
            </w:pPr>
            <w:r>
              <w:t>3440</w:t>
            </w:r>
          </w:p>
        </w:tc>
        <w:tc>
          <w:tcPr>
            <w:tcW w:w="880" w:type="dxa"/>
            <w:vAlign w:val="center"/>
          </w:tcPr>
          <w:p>
            <w:pPr>
              <w:widowControl w:val="0"/>
              <w:jc w:val="center"/>
            </w:pPr>
            <w:r>
              <w:t>–</w:t>
            </w:r>
          </w:p>
        </w:tc>
        <w:tc>
          <w:tcPr>
            <w:tcW w:w="880" w:type="dxa"/>
            <w:vAlign w:val="center"/>
          </w:tcPr>
          <w:p>
            <w:pPr>
              <w:widowControl w:val="0"/>
              <w:jc w:val="center"/>
            </w:pPr>
            <w:r>
              <w:t>–</w:t>
            </w:r>
          </w:p>
        </w:tc>
      </w:tr>
      <w:tr>
        <w:trPr>
          <w:cantSplit/>
          <w:trHeight w:val="225"/>
        </w:trPr>
        <w:tc>
          <w:tcPr>
            <w:tcW w:w="1951" w:type="dxa"/>
            <w:vAlign w:val="center"/>
          </w:tcPr>
          <w:p>
            <w:pPr>
              <w:widowControl w:val="0"/>
              <w:jc w:val="center"/>
            </w:pPr>
            <w:r>
              <w:t>100x10</w:t>
            </w:r>
          </w:p>
        </w:tc>
        <w:tc>
          <w:tcPr>
            <w:tcW w:w="881" w:type="dxa"/>
            <w:vAlign w:val="center"/>
          </w:tcPr>
          <w:p>
            <w:pPr>
              <w:widowControl w:val="0"/>
              <w:jc w:val="center"/>
            </w:pPr>
            <w:r>
              <w:t>1820</w:t>
            </w:r>
          </w:p>
        </w:tc>
        <w:tc>
          <w:tcPr>
            <w:tcW w:w="880" w:type="dxa"/>
            <w:vAlign w:val="center"/>
          </w:tcPr>
          <w:p>
            <w:pPr>
              <w:widowControl w:val="0"/>
              <w:jc w:val="center"/>
            </w:pPr>
            <w:r>
              <w:t>1910</w:t>
            </w:r>
          </w:p>
        </w:tc>
        <w:tc>
          <w:tcPr>
            <w:tcW w:w="880" w:type="dxa"/>
            <w:vAlign w:val="center"/>
          </w:tcPr>
          <w:p>
            <w:pPr>
              <w:widowControl w:val="0"/>
              <w:jc w:val="center"/>
            </w:pPr>
            <w:r>
              <w:t>2860</w:t>
            </w:r>
          </w:p>
        </w:tc>
        <w:tc>
          <w:tcPr>
            <w:tcW w:w="880" w:type="dxa"/>
            <w:vAlign w:val="center"/>
          </w:tcPr>
          <w:p>
            <w:pPr>
              <w:widowControl w:val="0"/>
              <w:jc w:val="center"/>
            </w:pPr>
            <w:r>
              <w:t>3350</w:t>
            </w:r>
          </w:p>
        </w:tc>
        <w:tc>
          <w:tcPr>
            <w:tcW w:w="880" w:type="dxa"/>
            <w:vAlign w:val="center"/>
          </w:tcPr>
          <w:p>
            <w:pPr>
              <w:widowControl w:val="0"/>
              <w:jc w:val="center"/>
            </w:pPr>
            <w:r>
              <w:t>3650</w:t>
            </w:r>
          </w:p>
        </w:tc>
        <w:tc>
          <w:tcPr>
            <w:tcW w:w="880" w:type="dxa"/>
            <w:vAlign w:val="center"/>
          </w:tcPr>
          <w:p>
            <w:pPr>
              <w:widowControl w:val="0"/>
              <w:jc w:val="center"/>
            </w:pPr>
            <w:r>
              <w:t>4160</w:t>
            </w:r>
          </w:p>
        </w:tc>
        <w:tc>
          <w:tcPr>
            <w:tcW w:w="880" w:type="dxa"/>
            <w:vAlign w:val="center"/>
          </w:tcPr>
          <w:p>
            <w:pPr>
              <w:widowControl w:val="0"/>
              <w:jc w:val="center"/>
            </w:pPr>
            <w:r>
              <w:t>4150</w:t>
            </w:r>
          </w:p>
        </w:tc>
        <w:tc>
          <w:tcPr>
            <w:tcW w:w="880" w:type="dxa"/>
            <w:vAlign w:val="center"/>
          </w:tcPr>
          <w:p>
            <w:pPr>
              <w:widowControl w:val="0"/>
              <w:jc w:val="center"/>
            </w:pPr>
            <w:r>
              <w:t>4400</w:t>
            </w:r>
          </w:p>
        </w:tc>
      </w:tr>
      <w:tr>
        <w:trPr>
          <w:cantSplit/>
          <w:trHeight w:val="225"/>
        </w:trPr>
        <w:tc>
          <w:tcPr>
            <w:tcW w:w="1951" w:type="dxa"/>
            <w:vAlign w:val="center"/>
          </w:tcPr>
          <w:p>
            <w:pPr>
              <w:widowControl w:val="0"/>
              <w:jc w:val="center"/>
            </w:pPr>
            <w:r>
              <w:t>120x10</w:t>
            </w:r>
          </w:p>
        </w:tc>
        <w:tc>
          <w:tcPr>
            <w:tcW w:w="881" w:type="dxa"/>
            <w:vAlign w:val="center"/>
          </w:tcPr>
          <w:p>
            <w:pPr>
              <w:widowControl w:val="0"/>
              <w:jc w:val="center"/>
            </w:pPr>
            <w:r>
              <w:t>2070</w:t>
            </w:r>
          </w:p>
        </w:tc>
        <w:tc>
          <w:tcPr>
            <w:tcW w:w="880" w:type="dxa"/>
            <w:vAlign w:val="center"/>
          </w:tcPr>
          <w:p>
            <w:pPr>
              <w:widowControl w:val="0"/>
              <w:jc w:val="center"/>
            </w:pPr>
            <w:r>
              <w:t>2300</w:t>
            </w:r>
          </w:p>
        </w:tc>
        <w:tc>
          <w:tcPr>
            <w:tcW w:w="880" w:type="dxa"/>
            <w:vAlign w:val="center"/>
          </w:tcPr>
          <w:p>
            <w:pPr>
              <w:widowControl w:val="0"/>
              <w:jc w:val="center"/>
            </w:pPr>
            <w:r>
              <w:t>3200</w:t>
            </w:r>
          </w:p>
        </w:tc>
        <w:tc>
          <w:tcPr>
            <w:tcW w:w="880" w:type="dxa"/>
            <w:vAlign w:val="center"/>
          </w:tcPr>
          <w:p>
            <w:pPr>
              <w:widowControl w:val="0"/>
              <w:jc w:val="center"/>
            </w:pPr>
            <w:r>
              <w:t>3900</w:t>
            </w:r>
          </w:p>
        </w:tc>
        <w:tc>
          <w:tcPr>
            <w:tcW w:w="880" w:type="dxa"/>
            <w:vAlign w:val="center"/>
          </w:tcPr>
          <w:p>
            <w:pPr>
              <w:widowControl w:val="0"/>
              <w:jc w:val="center"/>
            </w:pPr>
            <w:r>
              <w:t>4100</w:t>
            </w:r>
          </w:p>
        </w:tc>
        <w:tc>
          <w:tcPr>
            <w:tcW w:w="880" w:type="dxa"/>
            <w:vAlign w:val="center"/>
          </w:tcPr>
          <w:p>
            <w:pPr>
              <w:widowControl w:val="0"/>
              <w:jc w:val="center"/>
            </w:pPr>
            <w:r>
              <w:t>4860</w:t>
            </w:r>
          </w:p>
        </w:tc>
        <w:tc>
          <w:tcPr>
            <w:tcW w:w="880" w:type="dxa"/>
            <w:vAlign w:val="center"/>
          </w:tcPr>
          <w:p>
            <w:pPr>
              <w:widowControl w:val="0"/>
              <w:jc w:val="center"/>
            </w:pPr>
            <w:r>
              <w:t>4650</w:t>
            </w:r>
          </w:p>
        </w:tc>
        <w:tc>
          <w:tcPr>
            <w:tcW w:w="880" w:type="dxa"/>
            <w:vAlign w:val="center"/>
          </w:tcPr>
          <w:p>
            <w:pPr>
              <w:widowControl w:val="0"/>
              <w:jc w:val="center"/>
            </w:pPr>
            <w:r>
              <w:t>5200</w:t>
            </w:r>
          </w:p>
        </w:tc>
      </w:tr>
    </w:tbl>
    <w:p>
      <w:pPr>
        <w:widowControl w:val="0"/>
        <w:ind w:firstLine="567"/>
        <w:jc w:val="both"/>
        <w:rPr>
          <w:i/>
        </w:rPr>
      </w:pPr>
    </w:p>
    <w:p>
      <w:pPr>
        <w:widowControl w:val="0"/>
        <w:ind w:firstLine="567"/>
        <w:jc w:val="both"/>
        <w:rPr>
          <w:b/>
        </w:rPr>
      </w:pPr>
      <w:r>
        <w:rPr>
          <w:b/>
        </w:rPr>
        <w:t>22 lentelė. Stačiakampių plieninių šynų leistinoji ilgalaikė srovė</w:t>
      </w:r>
    </w:p>
    <w:p>
      <w:pPr>
        <w:widowControl w:val="0"/>
        <w:ind w:firstLine="567"/>
        <w:jc w:val="both"/>
        <w:rPr>
          <w:b/>
          <w:bCs/>
        </w:rPr>
      </w:pPr>
    </w:p>
    <w:p>
      <w:pPr>
        <w:widowControl w:val="0"/>
        <w:ind w:firstLine="567"/>
        <w:jc w:val="both"/>
      </w:pPr>
      <w:r>
        <w:t xml:space="preserve">Temperatūra: šynų +70 </w:t>
      </w:r>
      <w:r>
        <w:rPr>
          <w:vertAlign w:val="superscript"/>
        </w:rPr>
        <w:t>o</w:t>
      </w:r>
      <w:r>
        <w:t xml:space="preserve">C, oro +25 </w:t>
      </w:r>
      <w:r>
        <w:rPr>
          <w:vertAlign w:val="superscript"/>
        </w:rPr>
        <w:t>o</w:t>
      </w:r>
      <w:r>
        <w:t>C.</w:t>
      </w:r>
    </w:p>
    <w:p>
      <w:pPr>
        <w:widowControl w:val="0"/>
        <w:ind w:firstLine="567"/>
        <w:jc w:val="both"/>
        <w:rPr>
          <w:b/>
          <w:bCs/>
        </w:rPr>
      </w:pPr>
    </w:p>
    <w:tbl>
      <w:tblPr>
        <w:tblW w:w="90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89"/>
        <w:gridCol w:w="2710"/>
        <w:gridCol w:w="3409"/>
      </w:tblGrid>
      <w:tr>
        <w:trPr>
          <w:cantSplit/>
          <w:trHeight w:val="20"/>
        </w:trPr>
        <w:tc>
          <w:tcPr>
            <w:tcW w:w="2889" w:type="dxa"/>
            <w:vMerge w:val="restart"/>
            <w:vAlign w:val="center"/>
          </w:tcPr>
          <w:p>
            <w:pPr>
              <w:widowControl w:val="0"/>
              <w:jc w:val="center"/>
            </w:pPr>
            <w:r>
              <w:t>Šynos matmenys, mm</w:t>
            </w:r>
          </w:p>
        </w:tc>
        <w:tc>
          <w:tcPr>
            <w:tcW w:w="6119" w:type="dxa"/>
            <w:gridSpan w:val="2"/>
            <w:vAlign w:val="center"/>
          </w:tcPr>
          <w:p>
            <w:pPr>
              <w:widowControl w:val="0"/>
              <w:jc w:val="center"/>
            </w:pPr>
            <w:r>
              <w:t>Leistinoji ilgalaikė srovė, A</w:t>
            </w:r>
          </w:p>
        </w:tc>
      </w:tr>
      <w:tr>
        <w:trPr>
          <w:cantSplit/>
          <w:trHeight w:val="20"/>
        </w:trPr>
        <w:tc>
          <w:tcPr>
            <w:tcW w:w="2889" w:type="dxa"/>
            <w:vMerge/>
            <w:vAlign w:val="center"/>
          </w:tcPr>
          <w:p>
            <w:pPr>
              <w:widowControl w:val="0"/>
              <w:jc w:val="center"/>
            </w:pPr>
          </w:p>
        </w:tc>
        <w:tc>
          <w:tcPr>
            <w:tcW w:w="2710" w:type="dxa"/>
            <w:vAlign w:val="center"/>
          </w:tcPr>
          <w:p>
            <w:pPr>
              <w:widowControl w:val="0"/>
              <w:jc w:val="center"/>
            </w:pPr>
            <w:r>
              <w:t>kintamoji</w:t>
            </w:r>
          </w:p>
        </w:tc>
        <w:tc>
          <w:tcPr>
            <w:tcW w:w="3409" w:type="dxa"/>
            <w:vAlign w:val="center"/>
          </w:tcPr>
          <w:p>
            <w:pPr>
              <w:widowControl w:val="0"/>
              <w:jc w:val="center"/>
            </w:pPr>
            <w:r>
              <w:t>nuolatinė</w:t>
            </w:r>
          </w:p>
        </w:tc>
      </w:tr>
      <w:tr>
        <w:trPr>
          <w:cantSplit/>
          <w:trHeight w:val="20"/>
        </w:trPr>
        <w:tc>
          <w:tcPr>
            <w:tcW w:w="2889" w:type="dxa"/>
            <w:vAlign w:val="center"/>
          </w:tcPr>
          <w:p>
            <w:pPr>
              <w:widowControl w:val="0"/>
              <w:jc w:val="center"/>
            </w:pPr>
            <w:r>
              <w:t>16x2,5</w:t>
            </w:r>
          </w:p>
        </w:tc>
        <w:tc>
          <w:tcPr>
            <w:tcW w:w="2710" w:type="dxa"/>
            <w:vAlign w:val="center"/>
          </w:tcPr>
          <w:p>
            <w:pPr>
              <w:widowControl w:val="0"/>
              <w:jc w:val="center"/>
            </w:pPr>
            <w:r>
              <w:t>55</w:t>
            </w:r>
          </w:p>
        </w:tc>
        <w:tc>
          <w:tcPr>
            <w:tcW w:w="3409" w:type="dxa"/>
            <w:vAlign w:val="center"/>
          </w:tcPr>
          <w:p>
            <w:pPr>
              <w:widowControl w:val="0"/>
              <w:jc w:val="center"/>
            </w:pPr>
            <w:r>
              <w:t>70</w:t>
            </w:r>
          </w:p>
        </w:tc>
      </w:tr>
      <w:tr>
        <w:trPr>
          <w:cantSplit/>
          <w:trHeight w:val="20"/>
        </w:trPr>
        <w:tc>
          <w:tcPr>
            <w:tcW w:w="2889" w:type="dxa"/>
            <w:vAlign w:val="center"/>
          </w:tcPr>
          <w:p>
            <w:pPr>
              <w:widowControl w:val="0"/>
              <w:jc w:val="center"/>
            </w:pPr>
            <w:r>
              <w:t>20x2,5</w:t>
            </w:r>
          </w:p>
        </w:tc>
        <w:tc>
          <w:tcPr>
            <w:tcW w:w="2710" w:type="dxa"/>
            <w:vAlign w:val="center"/>
          </w:tcPr>
          <w:p>
            <w:pPr>
              <w:widowControl w:val="0"/>
              <w:jc w:val="center"/>
            </w:pPr>
            <w:r>
              <w:t>60</w:t>
            </w:r>
          </w:p>
        </w:tc>
        <w:tc>
          <w:tcPr>
            <w:tcW w:w="3409" w:type="dxa"/>
            <w:vAlign w:val="center"/>
          </w:tcPr>
          <w:p>
            <w:pPr>
              <w:widowControl w:val="0"/>
              <w:jc w:val="center"/>
            </w:pPr>
            <w:r>
              <w:t>90</w:t>
            </w:r>
          </w:p>
        </w:tc>
      </w:tr>
      <w:tr>
        <w:trPr>
          <w:cantSplit/>
          <w:trHeight w:val="20"/>
        </w:trPr>
        <w:tc>
          <w:tcPr>
            <w:tcW w:w="2889" w:type="dxa"/>
            <w:vAlign w:val="center"/>
          </w:tcPr>
          <w:p>
            <w:pPr>
              <w:widowControl w:val="0"/>
              <w:jc w:val="center"/>
            </w:pPr>
            <w:r>
              <w:t>25x2,5</w:t>
            </w:r>
          </w:p>
        </w:tc>
        <w:tc>
          <w:tcPr>
            <w:tcW w:w="2710" w:type="dxa"/>
            <w:vAlign w:val="center"/>
          </w:tcPr>
          <w:p>
            <w:pPr>
              <w:widowControl w:val="0"/>
              <w:jc w:val="center"/>
            </w:pPr>
            <w:r>
              <w:t>75</w:t>
            </w:r>
          </w:p>
        </w:tc>
        <w:tc>
          <w:tcPr>
            <w:tcW w:w="3409" w:type="dxa"/>
            <w:vAlign w:val="center"/>
          </w:tcPr>
          <w:p>
            <w:pPr>
              <w:widowControl w:val="0"/>
              <w:jc w:val="center"/>
            </w:pPr>
            <w:r>
              <w:t>110</w:t>
            </w:r>
          </w:p>
        </w:tc>
      </w:tr>
      <w:tr>
        <w:trPr>
          <w:cantSplit/>
          <w:trHeight w:val="20"/>
        </w:trPr>
        <w:tc>
          <w:tcPr>
            <w:tcW w:w="2889" w:type="dxa"/>
            <w:tcBorders>
              <w:bottom w:val="single" w:sz="2" w:space="0" w:color="auto"/>
            </w:tcBorders>
            <w:vAlign w:val="center"/>
          </w:tcPr>
          <w:p>
            <w:pPr>
              <w:widowControl w:val="0"/>
              <w:jc w:val="center"/>
            </w:pPr>
            <w:r>
              <w:t>20x3</w:t>
            </w:r>
          </w:p>
        </w:tc>
        <w:tc>
          <w:tcPr>
            <w:tcW w:w="2710" w:type="dxa"/>
            <w:tcBorders>
              <w:bottom w:val="single" w:sz="2" w:space="0" w:color="auto"/>
            </w:tcBorders>
            <w:vAlign w:val="center"/>
          </w:tcPr>
          <w:p>
            <w:pPr>
              <w:widowControl w:val="0"/>
              <w:jc w:val="center"/>
            </w:pPr>
            <w:r>
              <w:t>65</w:t>
            </w:r>
          </w:p>
        </w:tc>
        <w:tc>
          <w:tcPr>
            <w:tcW w:w="3409" w:type="dxa"/>
            <w:tcBorders>
              <w:bottom w:val="single" w:sz="2" w:space="0" w:color="auto"/>
            </w:tcBorders>
            <w:vAlign w:val="center"/>
          </w:tcPr>
          <w:p>
            <w:pPr>
              <w:widowControl w:val="0"/>
              <w:jc w:val="center"/>
            </w:pPr>
            <w:r>
              <w:t>100</w:t>
            </w:r>
          </w:p>
        </w:tc>
      </w:tr>
      <w:tr>
        <w:trPr>
          <w:cantSplit/>
          <w:trHeight w:val="20"/>
        </w:trPr>
        <w:tc>
          <w:tcPr>
            <w:tcW w:w="2889" w:type="dxa"/>
            <w:tcBorders>
              <w:bottom w:val="single" w:sz="2" w:space="0" w:color="auto"/>
            </w:tcBorders>
            <w:vAlign w:val="center"/>
          </w:tcPr>
          <w:p>
            <w:pPr>
              <w:widowControl w:val="0"/>
              <w:jc w:val="center"/>
            </w:pPr>
            <w:r>
              <w:t>25x3</w:t>
            </w:r>
          </w:p>
        </w:tc>
        <w:tc>
          <w:tcPr>
            <w:tcW w:w="2710" w:type="dxa"/>
            <w:tcBorders>
              <w:bottom w:val="single" w:sz="2" w:space="0" w:color="auto"/>
            </w:tcBorders>
            <w:vAlign w:val="center"/>
          </w:tcPr>
          <w:p>
            <w:pPr>
              <w:widowControl w:val="0"/>
              <w:jc w:val="center"/>
            </w:pPr>
            <w:r>
              <w:t>80</w:t>
            </w:r>
          </w:p>
        </w:tc>
        <w:tc>
          <w:tcPr>
            <w:tcW w:w="3409" w:type="dxa"/>
            <w:tcBorders>
              <w:bottom w:val="single" w:sz="2" w:space="0" w:color="auto"/>
            </w:tcBorders>
            <w:vAlign w:val="center"/>
          </w:tcPr>
          <w:p>
            <w:pPr>
              <w:widowControl w:val="0"/>
              <w:jc w:val="center"/>
            </w:pPr>
            <w:r>
              <w:t>120</w:t>
            </w:r>
          </w:p>
        </w:tc>
      </w:tr>
      <w:tr>
        <w:trPr>
          <w:cantSplit/>
          <w:trHeight w:val="20"/>
        </w:trPr>
        <w:tc>
          <w:tcPr>
            <w:tcW w:w="2889" w:type="dxa"/>
            <w:tcBorders>
              <w:top w:val="single" w:sz="2" w:space="0" w:color="auto"/>
            </w:tcBorders>
            <w:vAlign w:val="center"/>
          </w:tcPr>
          <w:p>
            <w:pPr>
              <w:widowControl w:val="0"/>
              <w:jc w:val="center"/>
            </w:pPr>
            <w:r>
              <w:t>30x3</w:t>
            </w:r>
          </w:p>
        </w:tc>
        <w:tc>
          <w:tcPr>
            <w:tcW w:w="2710" w:type="dxa"/>
            <w:tcBorders>
              <w:top w:val="single" w:sz="2" w:space="0" w:color="auto"/>
            </w:tcBorders>
            <w:vAlign w:val="center"/>
          </w:tcPr>
          <w:p>
            <w:pPr>
              <w:widowControl w:val="0"/>
              <w:jc w:val="center"/>
            </w:pPr>
            <w:r>
              <w:t>95</w:t>
            </w:r>
          </w:p>
        </w:tc>
        <w:tc>
          <w:tcPr>
            <w:tcW w:w="3409" w:type="dxa"/>
            <w:tcBorders>
              <w:top w:val="single" w:sz="2" w:space="0" w:color="auto"/>
            </w:tcBorders>
            <w:vAlign w:val="center"/>
          </w:tcPr>
          <w:p>
            <w:pPr>
              <w:widowControl w:val="0"/>
              <w:jc w:val="center"/>
            </w:pPr>
            <w:r>
              <w:t>140</w:t>
            </w:r>
          </w:p>
        </w:tc>
      </w:tr>
      <w:tr>
        <w:trPr>
          <w:cantSplit/>
          <w:trHeight w:val="20"/>
        </w:trPr>
        <w:tc>
          <w:tcPr>
            <w:tcW w:w="2889" w:type="dxa"/>
            <w:vAlign w:val="center"/>
          </w:tcPr>
          <w:p>
            <w:pPr>
              <w:widowControl w:val="0"/>
              <w:jc w:val="center"/>
            </w:pPr>
            <w:r>
              <w:t>40x3</w:t>
            </w:r>
          </w:p>
        </w:tc>
        <w:tc>
          <w:tcPr>
            <w:tcW w:w="2710" w:type="dxa"/>
            <w:vAlign w:val="center"/>
          </w:tcPr>
          <w:p>
            <w:pPr>
              <w:widowControl w:val="0"/>
              <w:jc w:val="center"/>
            </w:pPr>
            <w:r>
              <w:t>125</w:t>
            </w:r>
          </w:p>
        </w:tc>
        <w:tc>
          <w:tcPr>
            <w:tcW w:w="3409" w:type="dxa"/>
            <w:vAlign w:val="center"/>
          </w:tcPr>
          <w:p>
            <w:pPr>
              <w:widowControl w:val="0"/>
              <w:jc w:val="center"/>
            </w:pPr>
            <w:r>
              <w:t>190</w:t>
            </w:r>
          </w:p>
        </w:tc>
      </w:tr>
      <w:tr>
        <w:trPr>
          <w:cantSplit/>
          <w:trHeight w:val="20"/>
        </w:trPr>
        <w:tc>
          <w:tcPr>
            <w:tcW w:w="2889" w:type="dxa"/>
            <w:vAlign w:val="center"/>
          </w:tcPr>
          <w:p>
            <w:pPr>
              <w:widowControl w:val="0"/>
              <w:jc w:val="center"/>
            </w:pPr>
            <w:r>
              <w:t>50x3</w:t>
            </w:r>
          </w:p>
        </w:tc>
        <w:tc>
          <w:tcPr>
            <w:tcW w:w="2710" w:type="dxa"/>
            <w:vAlign w:val="center"/>
          </w:tcPr>
          <w:p>
            <w:pPr>
              <w:widowControl w:val="0"/>
              <w:jc w:val="center"/>
            </w:pPr>
            <w:r>
              <w:t>155</w:t>
            </w:r>
          </w:p>
        </w:tc>
        <w:tc>
          <w:tcPr>
            <w:tcW w:w="3409" w:type="dxa"/>
            <w:vAlign w:val="center"/>
          </w:tcPr>
          <w:p>
            <w:pPr>
              <w:widowControl w:val="0"/>
              <w:jc w:val="center"/>
            </w:pPr>
            <w:r>
              <w:t>230</w:t>
            </w:r>
          </w:p>
        </w:tc>
      </w:tr>
      <w:tr>
        <w:trPr>
          <w:cantSplit/>
          <w:trHeight w:val="20"/>
        </w:trPr>
        <w:tc>
          <w:tcPr>
            <w:tcW w:w="2889" w:type="dxa"/>
            <w:vAlign w:val="center"/>
          </w:tcPr>
          <w:p>
            <w:pPr>
              <w:widowControl w:val="0"/>
              <w:jc w:val="center"/>
            </w:pPr>
            <w:r>
              <w:t>60x3</w:t>
            </w:r>
          </w:p>
        </w:tc>
        <w:tc>
          <w:tcPr>
            <w:tcW w:w="2710" w:type="dxa"/>
            <w:vAlign w:val="center"/>
          </w:tcPr>
          <w:p>
            <w:pPr>
              <w:widowControl w:val="0"/>
              <w:jc w:val="center"/>
            </w:pPr>
            <w:r>
              <w:t>185</w:t>
            </w:r>
          </w:p>
        </w:tc>
        <w:tc>
          <w:tcPr>
            <w:tcW w:w="3409" w:type="dxa"/>
            <w:vAlign w:val="center"/>
          </w:tcPr>
          <w:p>
            <w:pPr>
              <w:widowControl w:val="0"/>
              <w:jc w:val="center"/>
            </w:pPr>
            <w:r>
              <w:t>280</w:t>
            </w:r>
          </w:p>
        </w:tc>
      </w:tr>
      <w:tr>
        <w:trPr>
          <w:cantSplit/>
          <w:trHeight w:val="20"/>
        </w:trPr>
        <w:tc>
          <w:tcPr>
            <w:tcW w:w="2889" w:type="dxa"/>
            <w:vAlign w:val="center"/>
          </w:tcPr>
          <w:p>
            <w:pPr>
              <w:widowControl w:val="0"/>
              <w:jc w:val="center"/>
            </w:pPr>
            <w:r>
              <w:t>70x3</w:t>
            </w:r>
          </w:p>
        </w:tc>
        <w:tc>
          <w:tcPr>
            <w:tcW w:w="2710" w:type="dxa"/>
            <w:vAlign w:val="center"/>
          </w:tcPr>
          <w:p>
            <w:pPr>
              <w:widowControl w:val="0"/>
              <w:jc w:val="center"/>
            </w:pPr>
            <w:r>
              <w:t>215</w:t>
            </w:r>
          </w:p>
        </w:tc>
        <w:tc>
          <w:tcPr>
            <w:tcW w:w="3409" w:type="dxa"/>
            <w:vAlign w:val="center"/>
          </w:tcPr>
          <w:p>
            <w:pPr>
              <w:widowControl w:val="0"/>
              <w:jc w:val="center"/>
            </w:pPr>
            <w:r>
              <w:t>320</w:t>
            </w:r>
          </w:p>
        </w:tc>
      </w:tr>
      <w:tr>
        <w:trPr>
          <w:cantSplit/>
          <w:trHeight w:val="20"/>
        </w:trPr>
        <w:tc>
          <w:tcPr>
            <w:tcW w:w="2889" w:type="dxa"/>
            <w:vAlign w:val="center"/>
          </w:tcPr>
          <w:p>
            <w:pPr>
              <w:widowControl w:val="0"/>
              <w:jc w:val="center"/>
            </w:pPr>
            <w:r>
              <w:t>75x3</w:t>
            </w:r>
          </w:p>
        </w:tc>
        <w:tc>
          <w:tcPr>
            <w:tcW w:w="2710" w:type="dxa"/>
            <w:vAlign w:val="center"/>
          </w:tcPr>
          <w:p>
            <w:pPr>
              <w:widowControl w:val="0"/>
              <w:jc w:val="center"/>
            </w:pPr>
            <w:r>
              <w:t>230</w:t>
            </w:r>
          </w:p>
        </w:tc>
        <w:tc>
          <w:tcPr>
            <w:tcW w:w="3409" w:type="dxa"/>
            <w:vAlign w:val="center"/>
          </w:tcPr>
          <w:p>
            <w:pPr>
              <w:widowControl w:val="0"/>
              <w:jc w:val="center"/>
            </w:pPr>
            <w:r>
              <w:t>145</w:t>
            </w:r>
          </w:p>
        </w:tc>
      </w:tr>
      <w:tr>
        <w:trPr>
          <w:cantSplit/>
          <w:trHeight w:val="20"/>
        </w:trPr>
        <w:tc>
          <w:tcPr>
            <w:tcW w:w="2889" w:type="dxa"/>
            <w:vAlign w:val="center"/>
          </w:tcPr>
          <w:p>
            <w:pPr>
              <w:widowControl w:val="0"/>
              <w:jc w:val="center"/>
            </w:pPr>
            <w:r>
              <w:t>80x3</w:t>
            </w:r>
          </w:p>
        </w:tc>
        <w:tc>
          <w:tcPr>
            <w:tcW w:w="2710" w:type="dxa"/>
            <w:vAlign w:val="center"/>
          </w:tcPr>
          <w:p>
            <w:pPr>
              <w:widowControl w:val="0"/>
              <w:jc w:val="center"/>
            </w:pPr>
            <w:r>
              <w:t>245</w:t>
            </w:r>
          </w:p>
        </w:tc>
        <w:tc>
          <w:tcPr>
            <w:tcW w:w="3409" w:type="dxa"/>
            <w:vAlign w:val="center"/>
          </w:tcPr>
          <w:p>
            <w:pPr>
              <w:widowControl w:val="0"/>
              <w:jc w:val="center"/>
            </w:pPr>
            <w:r>
              <w:t>365</w:t>
            </w:r>
          </w:p>
        </w:tc>
      </w:tr>
      <w:tr>
        <w:trPr>
          <w:cantSplit/>
          <w:trHeight w:val="20"/>
        </w:trPr>
        <w:tc>
          <w:tcPr>
            <w:tcW w:w="2889" w:type="dxa"/>
            <w:vAlign w:val="center"/>
          </w:tcPr>
          <w:p>
            <w:pPr>
              <w:widowControl w:val="0"/>
              <w:jc w:val="center"/>
            </w:pPr>
            <w:r>
              <w:t>90x3</w:t>
            </w:r>
          </w:p>
        </w:tc>
        <w:tc>
          <w:tcPr>
            <w:tcW w:w="2710" w:type="dxa"/>
            <w:vAlign w:val="center"/>
          </w:tcPr>
          <w:p>
            <w:pPr>
              <w:widowControl w:val="0"/>
              <w:jc w:val="center"/>
            </w:pPr>
            <w:r>
              <w:t>275</w:t>
            </w:r>
          </w:p>
        </w:tc>
        <w:tc>
          <w:tcPr>
            <w:tcW w:w="3409" w:type="dxa"/>
            <w:vAlign w:val="center"/>
          </w:tcPr>
          <w:p>
            <w:pPr>
              <w:widowControl w:val="0"/>
              <w:jc w:val="center"/>
            </w:pPr>
            <w:r>
              <w:t>410</w:t>
            </w:r>
          </w:p>
        </w:tc>
      </w:tr>
      <w:tr>
        <w:trPr>
          <w:cantSplit/>
          <w:trHeight w:val="20"/>
        </w:trPr>
        <w:tc>
          <w:tcPr>
            <w:tcW w:w="2889" w:type="dxa"/>
            <w:vAlign w:val="center"/>
          </w:tcPr>
          <w:p>
            <w:pPr>
              <w:widowControl w:val="0"/>
              <w:jc w:val="center"/>
            </w:pPr>
            <w:r>
              <w:t>100x3</w:t>
            </w:r>
          </w:p>
        </w:tc>
        <w:tc>
          <w:tcPr>
            <w:tcW w:w="2710" w:type="dxa"/>
            <w:vAlign w:val="center"/>
          </w:tcPr>
          <w:p>
            <w:pPr>
              <w:widowControl w:val="0"/>
              <w:jc w:val="center"/>
            </w:pPr>
            <w:r>
              <w:t>305</w:t>
            </w:r>
          </w:p>
        </w:tc>
        <w:tc>
          <w:tcPr>
            <w:tcW w:w="3409" w:type="dxa"/>
            <w:vAlign w:val="center"/>
          </w:tcPr>
          <w:p>
            <w:pPr>
              <w:widowControl w:val="0"/>
              <w:jc w:val="center"/>
            </w:pPr>
            <w:r>
              <w:t>460</w:t>
            </w:r>
          </w:p>
        </w:tc>
      </w:tr>
      <w:tr>
        <w:trPr>
          <w:cantSplit/>
          <w:trHeight w:val="20"/>
        </w:trPr>
        <w:tc>
          <w:tcPr>
            <w:tcW w:w="2889" w:type="dxa"/>
            <w:vAlign w:val="center"/>
          </w:tcPr>
          <w:p>
            <w:pPr>
              <w:widowControl w:val="0"/>
              <w:jc w:val="center"/>
            </w:pPr>
            <w:r>
              <w:t>20x4</w:t>
            </w:r>
          </w:p>
        </w:tc>
        <w:tc>
          <w:tcPr>
            <w:tcW w:w="2710" w:type="dxa"/>
            <w:vAlign w:val="center"/>
          </w:tcPr>
          <w:p>
            <w:pPr>
              <w:widowControl w:val="0"/>
              <w:jc w:val="center"/>
            </w:pPr>
            <w:r>
              <w:t>70</w:t>
            </w:r>
          </w:p>
        </w:tc>
        <w:tc>
          <w:tcPr>
            <w:tcW w:w="3409" w:type="dxa"/>
            <w:vAlign w:val="center"/>
          </w:tcPr>
          <w:p>
            <w:pPr>
              <w:widowControl w:val="0"/>
              <w:jc w:val="center"/>
            </w:pPr>
            <w:r>
              <w:t>115</w:t>
            </w:r>
          </w:p>
        </w:tc>
      </w:tr>
      <w:tr>
        <w:trPr>
          <w:cantSplit/>
          <w:trHeight w:val="20"/>
        </w:trPr>
        <w:tc>
          <w:tcPr>
            <w:tcW w:w="2889" w:type="dxa"/>
            <w:vAlign w:val="center"/>
          </w:tcPr>
          <w:p>
            <w:pPr>
              <w:widowControl w:val="0"/>
              <w:jc w:val="center"/>
            </w:pPr>
            <w:r>
              <w:t>22x4</w:t>
            </w:r>
          </w:p>
        </w:tc>
        <w:tc>
          <w:tcPr>
            <w:tcW w:w="2710" w:type="dxa"/>
            <w:vAlign w:val="center"/>
          </w:tcPr>
          <w:p>
            <w:pPr>
              <w:widowControl w:val="0"/>
              <w:jc w:val="center"/>
            </w:pPr>
            <w:r>
              <w:t>75</w:t>
            </w:r>
          </w:p>
        </w:tc>
        <w:tc>
          <w:tcPr>
            <w:tcW w:w="3409" w:type="dxa"/>
            <w:vAlign w:val="center"/>
          </w:tcPr>
          <w:p>
            <w:pPr>
              <w:widowControl w:val="0"/>
              <w:jc w:val="center"/>
            </w:pPr>
            <w:r>
              <w:t>125</w:t>
            </w:r>
          </w:p>
        </w:tc>
      </w:tr>
      <w:tr>
        <w:trPr>
          <w:cantSplit/>
          <w:trHeight w:val="20"/>
        </w:trPr>
        <w:tc>
          <w:tcPr>
            <w:tcW w:w="2889" w:type="dxa"/>
            <w:vAlign w:val="center"/>
          </w:tcPr>
          <w:p>
            <w:pPr>
              <w:widowControl w:val="0"/>
              <w:jc w:val="center"/>
            </w:pPr>
            <w:r>
              <w:t>25x4</w:t>
            </w:r>
          </w:p>
        </w:tc>
        <w:tc>
          <w:tcPr>
            <w:tcW w:w="2710" w:type="dxa"/>
            <w:vAlign w:val="center"/>
          </w:tcPr>
          <w:p>
            <w:pPr>
              <w:widowControl w:val="0"/>
              <w:jc w:val="center"/>
            </w:pPr>
            <w:r>
              <w:t>85</w:t>
            </w:r>
          </w:p>
        </w:tc>
        <w:tc>
          <w:tcPr>
            <w:tcW w:w="3409" w:type="dxa"/>
            <w:vAlign w:val="center"/>
          </w:tcPr>
          <w:p>
            <w:pPr>
              <w:widowControl w:val="0"/>
              <w:jc w:val="center"/>
            </w:pPr>
            <w:r>
              <w:t>140</w:t>
            </w:r>
          </w:p>
        </w:tc>
      </w:tr>
      <w:tr>
        <w:trPr>
          <w:cantSplit/>
          <w:trHeight w:val="20"/>
        </w:trPr>
        <w:tc>
          <w:tcPr>
            <w:tcW w:w="2889" w:type="dxa"/>
            <w:vAlign w:val="center"/>
          </w:tcPr>
          <w:p>
            <w:pPr>
              <w:widowControl w:val="0"/>
              <w:jc w:val="center"/>
            </w:pPr>
            <w:r>
              <w:t>30x4</w:t>
            </w:r>
          </w:p>
        </w:tc>
        <w:tc>
          <w:tcPr>
            <w:tcW w:w="2710" w:type="dxa"/>
            <w:vAlign w:val="center"/>
          </w:tcPr>
          <w:p>
            <w:pPr>
              <w:widowControl w:val="0"/>
              <w:jc w:val="center"/>
            </w:pPr>
            <w:r>
              <w:t>100</w:t>
            </w:r>
          </w:p>
        </w:tc>
        <w:tc>
          <w:tcPr>
            <w:tcW w:w="3409" w:type="dxa"/>
            <w:vAlign w:val="center"/>
          </w:tcPr>
          <w:p>
            <w:pPr>
              <w:widowControl w:val="0"/>
              <w:jc w:val="center"/>
            </w:pPr>
            <w:r>
              <w:t>165</w:t>
            </w:r>
          </w:p>
        </w:tc>
      </w:tr>
      <w:tr>
        <w:trPr>
          <w:cantSplit/>
          <w:trHeight w:val="20"/>
        </w:trPr>
        <w:tc>
          <w:tcPr>
            <w:tcW w:w="2889" w:type="dxa"/>
            <w:vAlign w:val="center"/>
          </w:tcPr>
          <w:p>
            <w:pPr>
              <w:widowControl w:val="0"/>
              <w:jc w:val="center"/>
            </w:pPr>
            <w:r>
              <w:t>40x4</w:t>
            </w:r>
          </w:p>
        </w:tc>
        <w:tc>
          <w:tcPr>
            <w:tcW w:w="2710" w:type="dxa"/>
            <w:vAlign w:val="center"/>
          </w:tcPr>
          <w:p>
            <w:pPr>
              <w:widowControl w:val="0"/>
              <w:jc w:val="center"/>
            </w:pPr>
            <w:r>
              <w:t>130</w:t>
            </w:r>
          </w:p>
        </w:tc>
        <w:tc>
          <w:tcPr>
            <w:tcW w:w="3409" w:type="dxa"/>
            <w:vAlign w:val="center"/>
          </w:tcPr>
          <w:p>
            <w:pPr>
              <w:widowControl w:val="0"/>
              <w:jc w:val="center"/>
            </w:pPr>
            <w:r>
              <w:t>220</w:t>
            </w:r>
          </w:p>
        </w:tc>
      </w:tr>
      <w:tr>
        <w:trPr>
          <w:cantSplit/>
          <w:trHeight w:val="20"/>
        </w:trPr>
        <w:tc>
          <w:tcPr>
            <w:tcW w:w="2889" w:type="dxa"/>
            <w:vAlign w:val="center"/>
          </w:tcPr>
          <w:p>
            <w:pPr>
              <w:widowControl w:val="0"/>
              <w:jc w:val="center"/>
            </w:pPr>
            <w:r>
              <w:t>50x4</w:t>
            </w:r>
          </w:p>
        </w:tc>
        <w:tc>
          <w:tcPr>
            <w:tcW w:w="2710" w:type="dxa"/>
            <w:vAlign w:val="center"/>
          </w:tcPr>
          <w:p>
            <w:pPr>
              <w:widowControl w:val="0"/>
              <w:jc w:val="center"/>
            </w:pPr>
            <w:r>
              <w:t>165</w:t>
            </w:r>
          </w:p>
        </w:tc>
        <w:tc>
          <w:tcPr>
            <w:tcW w:w="3409" w:type="dxa"/>
            <w:vAlign w:val="center"/>
          </w:tcPr>
          <w:p>
            <w:pPr>
              <w:widowControl w:val="0"/>
              <w:jc w:val="center"/>
            </w:pPr>
            <w:r>
              <w:t>270</w:t>
            </w:r>
          </w:p>
        </w:tc>
      </w:tr>
      <w:tr>
        <w:trPr>
          <w:cantSplit/>
          <w:trHeight w:val="20"/>
        </w:trPr>
        <w:tc>
          <w:tcPr>
            <w:tcW w:w="2889" w:type="dxa"/>
            <w:vAlign w:val="center"/>
          </w:tcPr>
          <w:p>
            <w:pPr>
              <w:widowControl w:val="0"/>
              <w:jc w:val="center"/>
            </w:pPr>
            <w:r>
              <w:t>60x4</w:t>
            </w:r>
          </w:p>
        </w:tc>
        <w:tc>
          <w:tcPr>
            <w:tcW w:w="2710" w:type="dxa"/>
            <w:vAlign w:val="center"/>
          </w:tcPr>
          <w:p>
            <w:pPr>
              <w:widowControl w:val="0"/>
              <w:jc w:val="center"/>
            </w:pPr>
            <w:r>
              <w:t>195</w:t>
            </w:r>
          </w:p>
        </w:tc>
        <w:tc>
          <w:tcPr>
            <w:tcW w:w="3409" w:type="dxa"/>
            <w:vAlign w:val="center"/>
          </w:tcPr>
          <w:p>
            <w:pPr>
              <w:widowControl w:val="0"/>
              <w:jc w:val="center"/>
            </w:pPr>
            <w:r>
              <w:t>325</w:t>
            </w:r>
          </w:p>
        </w:tc>
      </w:tr>
      <w:tr>
        <w:trPr>
          <w:cantSplit/>
          <w:trHeight w:val="20"/>
        </w:trPr>
        <w:tc>
          <w:tcPr>
            <w:tcW w:w="2889" w:type="dxa"/>
            <w:vAlign w:val="center"/>
          </w:tcPr>
          <w:p>
            <w:pPr>
              <w:widowControl w:val="0"/>
              <w:jc w:val="center"/>
            </w:pPr>
            <w:r>
              <w:t>70x4</w:t>
            </w:r>
          </w:p>
        </w:tc>
        <w:tc>
          <w:tcPr>
            <w:tcW w:w="2710" w:type="dxa"/>
            <w:vAlign w:val="center"/>
          </w:tcPr>
          <w:p>
            <w:pPr>
              <w:widowControl w:val="0"/>
              <w:jc w:val="center"/>
            </w:pPr>
            <w:r>
              <w:t>225</w:t>
            </w:r>
          </w:p>
        </w:tc>
        <w:tc>
          <w:tcPr>
            <w:tcW w:w="3409" w:type="dxa"/>
            <w:vAlign w:val="center"/>
          </w:tcPr>
          <w:p>
            <w:pPr>
              <w:widowControl w:val="0"/>
              <w:jc w:val="center"/>
            </w:pPr>
            <w:r>
              <w:t>375</w:t>
            </w:r>
          </w:p>
        </w:tc>
      </w:tr>
      <w:tr>
        <w:trPr>
          <w:cantSplit/>
          <w:trHeight w:val="20"/>
        </w:trPr>
        <w:tc>
          <w:tcPr>
            <w:tcW w:w="2889" w:type="dxa"/>
            <w:vAlign w:val="center"/>
          </w:tcPr>
          <w:p>
            <w:pPr>
              <w:widowControl w:val="0"/>
              <w:jc w:val="center"/>
            </w:pPr>
            <w:r>
              <w:t>80x4</w:t>
            </w:r>
          </w:p>
        </w:tc>
        <w:tc>
          <w:tcPr>
            <w:tcW w:w="2710" w:type="dxa"/>
            <w:vAlign w:val="center"/>
          </w:tcPr>
          <w:p>
            <w:pPr>
              <w:widowControl w:val="0"/>
              <w:jc w:val="center"/>
            </w:pPr>
            <w:r>
              <w:t>260</w:t>
            </w:r>
          </w:p>
        </w:tc>
        <w:tc>
          <w:tcPr>
            <w:tcW w:w="3409" w:type="dxa"/>
            <w:vAlign w:val="center"/>
          </w:tcPr>
          <w:p>
            <w:pPr>
              <w:widowControl w:val="0"/>
              <w:jc w:val="center"/>
            </w:pPr>
            <w:r>
              <w:t>430</w:t>
            </w:r>
          </w:p>
        </w:tc>
      </w:tr>
      <w:tr>
        <w:trPr>
          <w:cantSplit/>
          <w:trHeight w:val="20"/>
        </w:trPr>
        <w:tc>
          <w:tcPr>
            <w:tcW w:w="2889" w:type="dxa"/>
            <w:vAlign w:val="center"/>
          </w:tcPr>
          <w:p>
            <w:pPr>
              <w:widowControl w:val="0"/>
              <w:jc w:val="center"/>
            </w:pPr>
            <w:r>
              <w:t>90x4</w:t>
            </w:r>
          </w:p>
        </w:tc>
        <w:tc>
          <w:tcPr>
            <w:tcW w:w="2710" w:type="dxa"/>
            <w:vAlign w:val="center"/>
          </w:tcPr>
          <w:p>
            <w:pPr>
              <w:widowControl w:val="0"/>
              <w:jc w:val="center"/>
            </w:pPr>
            <w:r>
              <w:t>290</w:t>
            </w:r>
          </w:p>
        </w:tc>
        <w:tc>
          <w:tcPr>
            <w:tcW w:w="3409" w:type="dxa"/>
            <w:vAlign w:val="center"/>
          </w:tcPr>
          <w:p>
            <w:pPr>
              <w:widowControl w:val="0"/>
              <w:jc w:val="center"/>
            </w:pPr>
            <w:r>
              <w:t>480</w:t>
            </w:r>
          </w:p>
        </w:tc>
      </w:tr>
      <w:tr>
        <w:trPr>
          <w:cantSplit/>
          <w:trHeight w:val="20"/>
        </w:trPr>
        <w:tc>
          <w:tcPr>
            <w:tcW w:w="2889" w:type="dxa"/>
            <w:vAlign w:val="center"/>
          </w:tcPr>
          <w:p>
            <w:pPr>
              <w:widowControl w:val="0"/>
              <w:jc w:val="center"/>
            </w:pPr>
            <w:r>
              <w:t>100x4</w:t>
            </w:r>
          </w:p>
        </w:tc>
        <w:tc>
          <w:tcPr>
            <w:tcW w:w="2710" w:type="dxa"/>
            <w:vAlign w:val="center"/>
          </w:tcPr>
          <w:p>
            <w:pPr>
              <w:widowControl w:val="0"/>
              <w:jc w:val="center"/>
            </w:pPr>
            <w:r>
              <w:t>325</w:t>
            </w:r>
          </w:p>
        </w:tc>
        <w:tc>
          <w:tcPr>
            <w:tcW w:w="3409" w:type="dxa"/>
            <w:vAlign w:val="center"/>
          </w:tcPr>
          <w:p>
            <w:pPr>
              <w:widowControl w:val="0"/>
              <w:jc w:val="center"/>
            </w:pPr>
            <w:r>
              <w:t>535</w:t>
            </w:r>
          </w:p>
        </w:tc>
      </w:tr>
    </w:tbl>
    <w:p>
      <w:pPr>
        <w:widowControl w:val="0"/>
        <w:ind w:firstLine="567"/>
        <w:jc w:val="both"/>
        <w:rPr>
          <w:b/>
          <w:bCs/>
        </w:rPr>
      </w:pPr>
    </w:p>
    <w:p>
      <w:pPr>
        <w:widowControl w:val="0"/>
        <w:ind w:firstLine="567"/>
        <w:jc w:val="both"/>
        <w:rPr>
          <w:b/>
        </w:rPr>
      </w:pPr>
      <w:r>
        <w:rPr>
          <w:b/>
        </w:rPr>
        <w:t>23 lentelė. Neizoliuotų bronzinių ir bronzinių plieninių laidų leistinoji ilgalaikė srovė</w:t>
      </w:r>
    </w:p>
    <w:p>
      <w:pPr>
        <w:widowControl w:val="0"/>
        <w:ind w:firstLine="567"/>
        <w:jc w:val="both"/>
        <w:rPr>
          <w:b/>
          <w:bCs/>
        </w:rPr>
      </w:pPr>
    </w:p>
    <w:p>
      <w:pPr>
        <w:widowControl w:val="0"/>
        <w:ind w:firstLine="567"/>
        <w:jc w:val="both"/>
      </w:pPr>
      <w:r>
        <w:t xml:space="preserve">Temperatūra: laidų +70 </w:t>
      </w:r>
      <w:r>
        <w:rPr>
          <w:vertAlign w:val="superscript"/>
        </w:rPr>
        <w:t>o</w:t>
      </w:r>
      <w:r>
        <w:t xml:space="preserve">C, oro +25 </w:t>
      </w:r>
      <w:r>
        <w:rPr>
          <w:vertAlign w:val="superscript"/>
        </w:rPr>
        <w:t>o</w:t>
      </w:r>
      <w:r>
        <w:t>C.</w:t>
      </w:r>
    </w:p>
    <w:p>
      <w:pPr>
        <w:widowControl w:val="0"/>
        <w:ind w:firstLine="567"/>
        <w:jc w:val="both"/>
        <w:rPr>
          <w:b/>
          <w:bCs/>
        </w:rPr>
      </w:pPr>
    </w:p>
    <w:tbl>
      <w:tblPr>
        <w:tblW w:w="90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68"/>
        <w:gridCol w:w="2650"/>
        <w:gridCol w:w="3590"/>
      </w:tblGrid>
      <w:tr>
        <w:trPr>
          <w:cantSplit/>
          <w:trHeight w:val="567"/>
        </w:trPr>
        <w:tc>
          <w:tcPr>
            <w:tcW w:w="2768" w:type="dxa"/>
            <w:vAlign w:val="center"/>
          </w:tcPr>
          <w:p>
            <w:pPr>
              <w:widowControl w:val="0"/>
              <w:jc w:val="center"/>
            </w:pPr>
            <w:r>
              <w:t>Laidas</w:t>
            </w:r>
          </w:p>
        </w:tc>
        <w:tc>
          <w:tcPr>
            <w:tcW w:w="2650" w:type="dxa"/>
            <w:vAlign w:val="center"/>
          </w:tcPr>
          <w:p>
            <w:pPr>
              <w:widowControl w:val="0"/>
              <w:jc w:val="center"/>
            </w:pPr>
            <w:r>
              <w:t>Laido markė</w:t>
            </w:r>
          </w:p>
        </w:tc>
        <w:tc>
          <w:tcPr>
            <w:tcW w:w="3590" w:type="dxa"/>
            <w:vAlign w:val="center"/>
          </w:tcPr>
          <w:p>
            <w:pPr>
              <w:widowControl w:val="0"/>
              <w:jc w:val="center"/>
            </w:pPr>
            <w:r>
              <w:t>Leistinoji ilgalaikė srovė, A</w:t>
            </w:r>
          </w:p>
        </w:tc>
      </w:tr>
      <w:tr>
        <w:trPr>
          <w:cantSplit/>
          <w:trHeight w:val="20"/>
        </w:trPr>
        <w:tc>
          <w:tcPr>
            <w:tcW w:w="2768" w:type="dxa"/>
            <w:vMerge w:val="restart"/>
            <w:vAlign w:val="center"/>
          </w:tcPr>
          <w:p>
            <w:pPr>
              <w:widowControl w:val="0"/>
              <w:jc w:val="center"/>
            </w:pPr>
            <w:r>
              <w:t>Bronzinis</w:t>
            </w:r>
          </w:p>
        </w:tc>
        <w:tc>
          <w:tcPr>
            <w:tcW w:w="2650" w:type="dxa"/>
            <w:vAlign w:val="center"/>
          </w:tcPr>
          <w:p>
            <w:pPr>
              <w:widowControl w:val="0"/>
              <w:jc w:val="center"/>
            </w:pPr>
            <w:r>
              <w:t>B-50</w:t>
            </w:r>
          </w:p>
        </w:tc>
        <w:tc>
          <w:tcPr>
            <w:tcW w:w="3590" w:type="dxa"/>
            <w:vAlign w:val="center"/>
          </w:tcPr>
          <w:p>
            <w:pPr>
              <w:widowControl w:val="0"/>
              <w:jc w:val="center"/>
            </w:pPr>
            <w:r>
              <w:t>215</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B-70</w:t>
            </w:r>
          </w:p>
        </w:tc>
        <w:tc>
          <w:tcPr>
            <w:tcW w:w="3590" w:type="dxa"/>
            <w:vAlign w:val="center"/>
          </w:tcPr>
          <w:p>
            <w:pPr>
              <w:widowControl w:val="0"/>
              <w:jc w:val="center"/>
            </w:pPr>
            <w:r>
              <w:t>265</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B-95</w:t>
            </w:r>
          </w:p>
        </w:tc>
        <w:tc>
          <w:tcPr>
            <w:tcW w:w="3590" w:type="dxa"/>
            <w:vAlign w:val="center"/>
          </w:tcPr>
          <w:p>
            <w:pPr>
              <w:widowControl w:val="0"/>
              <w:jc w:val="center"/>
            </w:pPr>
            <w:r>
              <w:t>330</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B-120</w:t>
            </w:r>
          </w:p>
        </w:tc>
        <w:tc>
          <w:tcPr>
            <w:tcW w:w="3590" w:type="dxa"/>
            <w:vAlign w:val="center"/>
          </w:tcPr>
          <w:p>
            <w:pPr>
              <w:widowControl w:val="0"/>
              <w:jc w:val="center"/>
            </w:pPr>
            <w:r>
              <w:t>380</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B-150</w:t>
            </w:r>
          </w:p>
        </w:tc>
        <w:tc>
          <w:tcPr>
            <w:tcW w:w="3590" w:type="dxa"/>
            <w:vAlign w:val="center"/>
          </w:tcPr>
          <w:p>
            <w:pPr>
              <w:widowControl w:val="0"/>
              <w:jc w:val="center"/>
            </w:pPr>
            <w:r>
              <w:t>430</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B-185</w:t>
            </w:r>
          </w:p>
        </w:tc>
        <w:tc>
          <w:tcPr>
            <w:tcW w:w="3590" w:type="dxa"/>
            <w:vAlign w:val="center"/>
          </w:tcPr>
          <w:p>
            <w:pPr>
              <w:widowControl w:val="0"/>
              <w:jc w:val="center"/>
            </w:pPr>
            <w:r>
              <w:t>500</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B-240</w:t>
            </w:r>
          </w:p>
        </w:tc>
        <w:tc>
          <w:tcPr>
            <w:tcW w:w="3590" w:type="dxa"/>
            <w:vAlign w:val="center"/>
          </w:tcPr>
          <w:p>
            <w:pPr>
              <w:widowControl w:val="0"/>
              <w:jc w:val="center"/>
            </w:pPr>
            <w:r>
              <w:t>600</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B-300</w:t>
            </w:r>
          </w:p>
        </w:tc>
        <w:tc>
          <w:tcPr>
            <w:tcW w:w="3590" w:type="dxa"/>
            <w:vAlign w:val="center"/>
          </w:tcPr>
          <w:p>
            <w:pPr>
              <w:widowControl w:val="0"/>
              <w:jc w:val="center"/>
            </w:pPr>
            <w:r>
              <w:t>700</w:t>
            </w:r>
          </w:p>
        </w:tc>
      </w:tr>
      <w:tr>
        <w:trPr>
          <w:cantSplit/>
          <w:trHeight w:val="20"/>
        </w:trPr>
        <w:tc>
          <w:tcPr>
            <w:tcW w:w="2768" w:type="dxa"/>
            <w:vMerge w:val="restart"/>
            <w:vAlign w:val="center"/>
          </w:tcPr>
          <w:p>
            <w:pPr>
              <w:widowControl w:val="0"/>
              <w:jc w:val="center"/>
            </w:pPr>
            <w:r>
              <w:t>Bronzinis</w:t>
            </w:r>
          </w:p>
        </w:tc>
        <w:tc>
          <w:tcPr>
            <w:tcW w:w="2650" w:type="dxa"/>
            <w:vAlign w:val="center"/>
          </w:tcPr>
          <w:p>
            <w:pPr>
              <w:widowControl w:val="0"/>
              <w:jc w:val="center"/>
            </w:pPr>
            <w:r>
              <w:t>BS-185</w:t>
            </w:r>
          </w:p>
        </w:tc>
        <w:tc>
          <w:tcPr>
            <w:tcW w:w="3590" w:type="dxa"/>
            <w:vAlign w:val="center"/>
          </w:tcPr>
          <w:p>
            <w:pPr>
              <w:widowControl w:val="0"/>
              <w:jc w:val="center"/>
            </w:pPr>
            <w:r>
              <w:t>515</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BS-240</w:t>
            </w:r>
          </w:p>
        </w:tc>
        <w:tc>
          <w:tcPr>
            <w:tcW w:w="3590" w:type="dxa"/>
            <w:vAlign w:val="center"/>
          </w:tcPr>
          <w:p>
            <w:pPr>
              <w:widowControl w:val="0"/>
              <w:jc w:val="center"/>
            </w:pPr>
            <w:r>
              <w:t>640</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BS-300</w:t>
            </w:r>
          </w:p>
        </w:tc>
        <w:tc>
          <w:tcPr>
            <w:tcW w:w="3590" w:type="dxa"/>
            <w:vAlign w:val="center"/>
          </w:tcPr>
          <w:p>
            <w:pPr>
              <w:widowControl w:val="0"/>
              <w:jc w:val="center"/>
            </w:pPr>
            <w:r>
              <w:t>750</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BS-400</w:t>
            </w:r>
          </w:p>
        </w:tc>
        <w:tc>
          <w:tcPr>
            <w:tcW w:w="3590" w:type="dxa"/>
            <w:vAlign w:val="center"/>
          </w:tcPr>
          <w:p>
            <w:pPr>
              <w:widowControl w:val="0"/>
              <w:jc w:val="center"/>
            </w:pPr>
            <w:r>
              <w:t>890</w:t>
            </w:r>
          </w:p>
        </w:tc>
      </w:tr>
      <w:tr>
        <w:trPr>
          <w:cantSplit/>
          <w:trHeight w:val="20"/>
        </w:trPr>
        <w:tc>
          <w:tcPr>
            <w:tcW w:w="2768" w:type="dxa"/>
            <w:vMerge/>
            <w:vAlign w:val="center"/>
          </w:tcPr>
          <w:p>
            <w:pPr>
              <w:widowControl w:val="0"/>
              <w:jc w:val="center"/>
            </w:pPr>
          </w:p>
        </w:tc>
        <w:tc>
          <w:tcPr>
            <w:tcW w:w="2650" w:type="dxa"/>
            <w:vAlign w:val="center"/>
          </w:tcPr>
          <w:p>
            <w:pPr>
              <w:widowControl w:val="0"/>
              <w:jc w:val="center"/>
            </w:pPr>
            <w:r>
              <w:t>BS-500</w:t>
            </w:r>
          </w:p>
        </w:tc>
        <w:tc>
          <w:tcPr>
            <w:tcW w:w="3590" w:type="dxa"/>
            <w:vAlign w:val="center"/>
          </w:tcPr>
          <w:p>
            <w:pPr>
              <w:widowControl w:val="0"/>
              <w:jc w:val="center"/>
            </w:pPr>
            <w:r>
              <w:t>980</w:t>
            </w:r>
          </w:p>
        </w:tc>
      </w:tr>
    </w:tbl>
    <w:p>
      <w:pPr>
        <w:widowControl w:val="0"/>
        <w:ind w:firstLine="567"/>
        <w:jc w:val="both"/>
      </w:pPr>
    </w:p>
    <w:p>
      <w:pPr>
        <w:widowControl w:val="0"/>
        <w:ind w:firstLine="567"/>
        <w:jc w:val="both"/>
      </w:pPr>
      <w:r>
        <w:t xml:space="preserve">PASTABA. Srovės numatytos bronzai, kurios savitoji varža 0,83 </w:t>
      </w:r>
      <w:r>
        <w:rPr>
          <w:position w:val="-4"/>
        </w:rPr>
        <w:object w:dxaOrig="255" w:dyaOrig="255">
          <v:shape id="_x0000_i1118" type="#_x0000_t75" style="width:12.8pt;height:12.8pt" o:ole="">
            <v:imagedata r:id="rId300" o:title=""/>
          </v:shape>
          <o:OLEObject Type="Embed" ProgID="Equation.3" ShapeID="_x0000_i1118" DrawAspect="Content" ObjectID="_0000000001" r:id="rId301"/>
        </w:object>
      </w:r>
      <w:r>
        <w:t xml:space="preserve"> mm</w:t>
      </w:r>
      <w:r>
        <w:rPr>
          <w:vertAlign w:val="superscript"/>
        </w:rPr>
        <w:t>2</w:t>
      </w:r>
      <w:r>
        <w:t>/m.</w:t>
      </w:r>
    </w:p>
    <w:p>
      <w:pPr>
        <w:widowControl w:val="0"/>
        <w:ind w:firstLine="567"/>
        <w:jc w:val="both"/>
      </w:pPr>
    </w:p>
    <w:p>
      <w:pPr>
        <w:widowControl w:val="0"/>
        <w:ind w:firstLine="567"/>
        <w:jc w:val="both"/>
        <w:rPr>
          <w:b/>
        </w:rPr>
      </w:pPr>
      <w:r>
        <w:rPr>
          <w:b/>
        </w:rPr>
        <w:t>24 lentelė. Neizoliuotų plieninių laidų leistinoji ilgalaikė srovė</w:t>
      </w:r>
    </w:p>
    <w:p>
      <w:pPr>
        <w:widowControl w:val="0"/>
        <w:ind w:firstLine="567"/>
        <w:jc w:val="both"/>
      </w:pPr>
    </w:p>
    <w:p>
      <w:pPr>
        <w:widowControl w:val="0"/>
        <w:ind w:firstLine="567"/>
        <w:jc w:val="both"/>
      </w:pPr>
      <w:r>
        <w:t xml:space="preserve">Temperatūra: laidų +70 </w:t>
      </w:r>
      <w:r>
        <w:rPr>
          <w:vertAlign w:val="superscript"/>
        </w:rPr>
        <w:t>o</w:t>
      </w:r>
      <w:r>
        <w:t xml:space="preserve">C, oro +25 </w:t>
      </w:r>
      <w:r>
        <w:rPr>
          <w:vertAlign w:val="superscript"/>
        </w:rPr>
        <w:t>o</w:t>
      </w:r>
      <w:r>
        <w:t>C.</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47"/>
        <w:gridCol w:w="5323"/>
      </w:tblGrid>
      <w:tr>
        <w:trPr>
          <w:cantSplit/>
        </w:trPr>
        <w:tc>
          <w:tcPr>
            <w:tcW w:w="3721" w:type="dxa"/>
            <w:vAlign w:val="center"/>
          </w:tcPr>
          <w:p>
            <w:pPr>
              <w:widowControl w:val="0"/>
              <w:jc w:val="center"/>
            </w:pPr>
            <w:r>
              <w:t>Laido markė</w:t>
            </w:r>
          </w:p>
        </w:tc>
        <w:tc>
          <w:tcPr>
            <w:tcW w:w="5287" w:type="dxa"/>
            <w:vAlign w:val="center"/>
          </w:tcPr>
          <w:p>
            <w:pPr>
              <w:widowControl w:val="0"/>
              <w:jc w:val="center"/>
            </w:pPr>
            <w:r>
              <w:t>Leistinoji ilgalaikė srovė, A</w:t>
            </w:r>
          </w:p>
        </w:tc>
      </w:tr>
      <w:tr>
        <w:trPr>
          <w:cantSplit/>
        </w:trPr>
        <w:tc>
          <w:tcPr>
            <w:tcW w:w="3721" w:type="dxa"/>
            <w:vAlign w:val="center"/>
          </w:tcPr>
          <w:p>
            <w:pPr>
              <w:widowControl w:val="0"/>
              <w:jc w:val="center"/>
            </w:pPr>
            <w:r>
              <w:t>PSO-3</w:t>
            </w:r>
          </w:p>
        </w:tc>
        <w:tc>
          <w:tcPr>
            <w:tcW w:w="5287" w:type="dxa"/>
            <w:vAlign w:val="center"/>
          </w:tcPr>
          <w:p>
            <w:pPr>
              <w:widowControl w:val="0"/>
              <w:jc w:val="center"/>
            </w:pPr>
            <w:r>
              <w:t>23</w:t>
            </w:r>
          </w:p>
        </w:tc>
      </w:tr>
      <w:tr>
        <w:trPr>
          <w:cantSplit/>
        </w:trPr>
        <w:tc>
          <w:tcPr>
            <w:tcW w:w="3721" w:type="dxa"/>
            <w:vAlign w:val="center"/>
          </w:tcPr>
          <w:p>
            <w:pPr>
              <w:widowControl w:val="0"/>
              <w:jc w:val="center"/>
            </w:pPr>
            <w:r>
              <w:t>PSO-3,5</w:t>
            </w:r>
          </w:p>
        </w:tc>
        <w:tc>
          <w:tcPr>
            <w:tcW w:w="5287" w:type="dxa"/>
            <w:vAlign w:val="center"/>
          </w:tcPr>
          <w:p>
            <w:pPr>
              <w:widowControl w:val="0"/>
              <w:jc w:val="center"/>
            </w:pPr>
            <w:r>
              <w:t>26</w:t>
            </w:r>
          </w:p>
        </w:tc>
      </w:tr>
      <w:tr>
        <w:trPr>
          <w:cantSplit/>
        </w:trPr>
        <w:tc>
          <w:tcPr>
            <w:tcW w:w="3721" w:type="dxa"/>
            <w:vAlign w:val="center"/>
          </w:tcPr>
          <w:p>
            <w:pPr>
              <w:widowControl w:val="0"/>
              <w:jc w:val="center"/>
            </w:pPr>
            <w:r>
              <w:t>PSO-4</w:t>
            </w:r>
          </w:p>
        </w:tc>
        <w:tc>
          <w:tcPr>
            <w:tcW w:w="5287" w:type="dxa"/>
            <w:vAlign w:val="center"/>
          </w:tcPr>
          <w:p>
            <w:pPr>
              <w:widowControl w:val="0"/>
              <w:jc w:val="center"/>
            </w:pPr>
            <w:r>
              <w:t>30</w:t>
            </w:r>
          </w:p>
        </w:tc>
      </w:tr>
      <w:tr>
        <w:trPr>
          <w:cantSplit/>
        </w:trPr>
        <w:tc>
          <w:tcPr>
            <w:tcW w:w="3721" w:type="dxa"/>
            <w:vAlign w:val="center"/>
          </w:tcPr>
          <w:p>
            <w:pPr>
              <w:widowControl w:val="0"/>
              <w:jc w:val="center"/>
            </w:pPr>
            <w:r>
              <w:t>PSO-5</w:t>
            </w:r>
          </w:p>
        </w:tc>
        <w:tc>
          <w:tcPr>
            <w:tcW w:w="5287" w:type="dxa"/>
            <w:vAlign w:val="center"/>
          </w:tcPr>
          <w:p>
            <w:pPr>
              <w:widowControl w:val="0"/>
              <w:jc w:val="center"/>
            </w:pPr>
            <w:r>
              <w:t>35</w:t>
            </w:r>
          </w:p>
        </w:tc>
      </w:tr>
      <w:tr>
        <w:trPr>
          <w:cantSplit/>
        </w:trPr>
        <w:tc>
          <w:tcPr>
            <w:tcW w:w="3721" w:type="dxa"/>
            <w:tcBorders>
              <w:bottom w:val="single" w:sz="2" w:space="0" w:color="auto"/>
            </w:tcBorders>
            <w:vAlign w:val="center"/>
          </w:tcPr>
          <w:p>
            <w:pPr>
              <w:widowControl w:val="0"/>
              <w:jc w:val="center"/>
            </w:pPr>
            <w:r>
              <w:t>PS-25</w:t>
            </w:r>
          </w:p>
        </w:tc>
        <w:tc>
          <w:tcPr>
            <w:tcW w:w="5287" w:type="dxa"/>
            <w:tcBorders>
              <w:bottom w:val="single" w:sz="2" w:space="0" w:color="auto"/>
            </w:tcBorders>
            <w:vAlign w:val="center"/>
          </w:tcPr>
          <w:p>
            <w:pPr>
              <w:widowControl w:val="0"/>
              <w:jc w:val="center"/>
            </w:pPr>
            <w:r>
              <w:t>60</w:t>
            </w:r>
          </w:p>
        </w:tc>
      </w:tr>
      <w:tr>
        <w:trPr>
          <w:cantSplit/>
        </w:trPr>
        <w:tc>
          <w:tcPr>
            <w:tcW w:w="3721" w:type="dxa"/>
            <w:tcBorders>
              <w:bottom w:val="single" w:sz="2" w:space="0" w:color="auto"/>
            </w:tcBorders>
            <w:vAlign w:val="center"/>
          </w:tcPr>
          <w:p>
            <w:pPr>
              <w:widowControl w:val="0"/>
              <w:jc w:val="center"/>
            </w:pPr>
            <w:r>
              <w:t>PS-35</w:t>
            </w:r>
          </w:p>
        </w:tc>
        <w:tc>
          <w:tcPr>
            <w:tcW w:w="5287" w:type="dxa"/>
            <w:tcBorders>
              <w:bottom w:val="single" w:sz="2" w:space="0" w:color="auto"/>
            </w:tcBorders>
            <w:vAlign w:val="center"/>
          </w:tcPr>
          <w:p>
            <w:pPr>
              <w:widowControl w:val="0"/>
              <w:jc w:val="center"/>
            </w:pPr>
            <w:r>
              <w:t>75</w:t>
            </w:r>
          </w:p>
        </w:tc>
      </w:tr>
      <w:tr>
        <w:trPr>
          <w:cantSplit/>
        </w:trPr>
        <w:tc>
          <w:tcPr>
            <w:tcW w:w="3721" w:type="dxa"/>
            <w:vAlign w:val="center"/>
          </w:tcPr>
          <w:p>
            <w:pPr>
              <w:widowControl w:val="0"/>
              <w:jc w:val="center"/>
            </w:pPr>
            <w:r>
              <w:t>PS-50</w:t>
            </w:r>
          </w:p>
        </w:tc>
        <w:tc>
          <w:tcPr>
            <w:tcW w:w="5287" w:type="dxa"/>
            <w:vAlign w:val="center"/>
          </w:tcPr>
          <w:p>
            <w:pPr>
              <w:widowControl w:val="0"/>
              <w:jc w:val="center"/>
            </w:pPr>
            <w:r>
              <w:t>90</w:t>
            </w:r>
          </w:p>
        </w:tc>
      </w:tr>
      <w:tr>
        <w:trPr>
          <w:cantSplit/>
        </w:trPr>
        <w:tc>
          <w:tcPr>
            <w:tcW w:w="3721" w:type="dxa"/>
            <w:vAlign w:val="center"/>
          </w:tcPr>
          <w:p>
            <w:pPr>
              <w:widowControl w:val="0"/>
              <w:jc w:val="center"/>
            </w:pPr>
            <w:r>
              <w:t>PS-70</w:t>
            </w:r>
          </w:p>
        </w:tc>
        <w:tc>
          <w:tcPr>
            <w:tcW w:w="5287" w:type="dxa"/>
            <w:vAlign w:val="center"/>
          </w:tcPr>
          <w:p>
            <w:pPr>
              <w:widowControl w:val="0"/>
              <w:jc w:val="center"/>
            </w:pPr>
            <w:r>
              <w:t>125</w:t>
            </w:r>
          </w:p>
        </w:tc>
      </w:tr>
      <w:tr>
        <w:trPr>
          <w:cantSplit/>
        </w:trPr>
        <w:tc>
          <w:tcPr>
            <w:tcW w:w="3721" w:type="dxa"/>
            <w:vAlign w:val="center"/>
          </w:tcPr>
          <w:p>
            <w:pPr>
              <w:widowControl w:val="0"/>
              <w:jc w:val="center"/>
            </w:pPr>
            <w:r>
              <w:t>PS-95</w:t>
            </w:r>
          </w:p>
        </w:tc>
        <w:tc>
          <w:tcPr>
            <w:tcW w:w="5287" w:type="dxa"/>
            <w:vAlign w:val="center"/>
          </w:tcPr>
          <w:p>
            <w:pPr>
              <w:widowControl w:val="0"/>
              <w:jc w:val="center"/>
            </w:pPr>
            <w:r>
              <w:t>135</w:t>
            </w:r>
          </w:p>
        </w:tc>
      </w:tr>
    </w:tbl>
    <w:p>
      <w:pPr>
        <w:widowControl w:val="0"/>
        <w:ind w:firstLine="567"/>
        <w:jc w:val="both"/>
      </w:pPr>
    </w:p>
    <w:p>
      <w:pPr>
        <w:widowControl w:val="0"/>
        <w:ind w:firstLine="567"/>
        <w:jc w:val="both"/>
        <w:rPr>
          <w:b/>
        </w:rPr>
      </w:pPr>
      <w:r>
        <w:rPr>
          <w:b/>
        </w:rPr>
        <w:t>25 lentelė. Keturių šynų, išdėstytų kvadratu, paketo leistinoji ilgalaikė srovė</w:t>
      </w:r>
    </w:p>
    <w:p>
      <w:pPr>
        <w:widowControl w:val="0"/>
        <w:ind w:firstLine="567"/>
        <w:jc w:val="both"/>
      </w:pPr>
    </w:p>
    <w:p>
      <w:pPr>
        <w:widowControl w:val="0"/>
        <w:ind w:firstLine="567"/>
        <w:jc w:val="both"/>
      </w:pPr>
      <w:r>
        <w:t xml:space="preserve">Temperatūra: šynų +70 </w:t>
      </w:r>
      <w:r>
        <w:rPr>
          <w:vertAlign w:val="superscript"/>
        </w:rPr>
        <w:t>o</w:t>
      </w:r>
      <w:r>
        <w:t xml:space="preserve">C, oro +25 </w:t>
      </w:r>
      <w:r>
        <w:rPr>
          <w:vertAlign w:val="superscript"/>
        </w:rPr>
        <w:t>o</w:t>
      </w:r>
      <w:r>
        <w:t>C.</w:t>
      </w:r>
    </w:p>
    <w:p>
      <w:pPr>
        <w:widowControl w:val="0"/>
        <w:ind w:firstLine="567"/>
        <w:jc w:val="both"/>
      </w:pPr>
    </w:p>
    <w:tbl>
      <w:tblPr>
        <w:tblW w:w="90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83"/>
        <w:gridCol w:w="1252"/>
        <w:gridCol w:w="1561"/>
        <w:gridCol w:w="1559"/>
        <w:gridCol w:w="1418"/>
        <w:gridCol w:w="1935"/>
      </w:tblGrid>
      <w:tr>
        <w:trPr>
          <w:cantSplit/>
          <w:trHeight w:val="20"/>
        </w:trPr>
        <w:tc>
          <w:tcPr>
            <w:tcW w:w="4096" w:type="dxa"/>
            <w:gridSpan w:val="3"/>
            <w:vAlign w:val="center"/>
          </w:tcPr>
          <w:p>
            <w:pPr>
              <w:widowControl w:val="0"/>
              <w:jc w:val="center"/>
            </w:pPr>
            <w:r>
              <w:t>Šynų ir šynų paketo matmenys, mm</w:t>
            </w:r>
          </w:p>
        </w:tc>
        <w:tc>
          <w:tcPr>
            <w:tcW w:w="1559" w:type="dxa"/>
            <w:vMerge w:val="restart"/>
            <w:vAlign w:val="center"/>
          </w:tcPr>
          <w:p>
            <w:pPr>
              <w:widowControl w:val="0"/>
              <w:jc w:val="center"/>
            </w:pPr>
            <w:r>
              <w:t>Šynų paketo skerspjūvis, mm</w:t>
            </w:r>
            <w:r>
              <w:rPr>
                <w:vertAlign w:val="superscript"/>
              </w:rPr>
              <w:t>2</w:t>
            </w:r>
          </w:p>
        </w:tc>
        <w:tc>
          <w:tcPr>
            <w:tcW w:w="3353" w:type="dxa"/>
            <w:gridSpan w:val="2"/>
            <w:vAlign w:val="center"/>
          </w:tcPr>
          <w:p>
            <w:pPr>
              <w:widowControl w:val="0"/>
              <w:jc w:val="center"/>
            </w:pPr>
            <w:r>
              <w:t>Leistinoji ilgalaikė šynų paketo srovė, A</w:t>
            </w:r>
          </w:p>
        </w:tc>
      </w:tr>
      <w:tr>
        <w:trPr>
          <w:cantSplit/>
          <w:trHeight w:val="20"/>
        </w:trPr>
        <w:tc>
          <w:tcPr>
            <w:tcW w:w="1283" w:type="dxa"/>
            <w:vAlign w:val="center"/>
          </w:tcPr>
          <w:p>
            <w:pPr>
              <w:widowControl w:val="0"/>
              <w:jc w:val="center"/>
            </w:pPr>
            <w:r>
              <w:t>šynos plotis</w:t>
            </w:r>
          </w:p>
        </w:tc>
        <w:tc>
          <w:tcPr>
            <w:tcW w:w="1252" w:type="dxa"/>
            <w:vAlign w:val="center"/>
          </w:tcPr>
          <w:p>
            <w:pPr>
              <w:widowControl w:val="0"/>
              <w:jc w:val="center"/>
            </w:pPr>
            <w:r>
              <w:t>šynos storis</w:t>
            </w:r>
          </w:p>
        </w:tc>
        <w:tc>
          <w:tcPr>
            <w:tcW w:w="1561" w:type="dxa"/>
            <w:vAlign w:val="center"/>
          </w:tcPr>
          <w:p>
            <w:pPr>
              <w:widowControl w:val="0"/>
              <w:jc w:val="center"/>
            </w:pPr>
            <w:r>
              <w:t>atstumas tarp priešpriešinių šynų ašių</w:t>
            </w:r>
          </w:p>
        </w:tc>
        <w:tc>
          <w:tcPr>
            <w:tcW w:w="1559" w:type="dxa"/>
            <w:vMerge/>
            <w:vAlign w:val="center"/>
          </w:tcPr>
          <w:p>
            <w:pPr>
              <w:widowControl w:val="0"/>
              <w:jc w:val="center"/>
            </w:pPr>
          </w:p>
        </w:tc>
        <w:tc>
          <w:tcPr>
            <w:tcW w:w="1418" w:type="dxa"/>
            <w:vAlign w:val="center"/>
          </w:tcPr>
          <w:p>
            <w:pPr>
              <w:widowControl w:val="0"/>
              <w:jc w:val="center"/>
            </w:pPr>
            <w:r>
              <w:t>varinių</w:t>
            </w:r>
          </w:p>
        </w:tc>
        <w:tc>
          <w:tcPr>
            <w:tcW w:w="1935" w:type="dxa"/>
            <w:vAlign w:val="center"/>
          </w:tcPr>
          <w:p>
            <w:pPr>
              <w:widowControl w:val="0"/>
              <w:jc w:val="center"/>
            </w:pPr>
            <w:r>
              <w:t>aliumininių</w:t>
            </w:r>
          </w:p>
        </w:tc>
      </w:tr>
      <w:tr>
        <w:trPr>
          <w:trHeight w:val="20"/>
        </w:trPr>
        <w:tc>
          <w:tcPr>
            <w:tcW w:w="1283" w:type="dxa"/>
            <w:vAlign w:val="center"/>
          </w:tcPr>
          <w:p>
            <w:pPr>
              <w:widowControl w:val="0"/>
              <w:jc w:val="center"/>
            </w:pPr>
            <w:r>
              <w:t>80</w:t>
            </w:r>
          </w:p>
        </w:tc>
        <w:tc>
          <w:tcPr>
            <w:tcW w:w="1252" w:type="dxa"/>
            <w:vAlign w:val="center"/>
          </w:tcPr>
          <w:p>
            <w:pPr>
              <w:widowControl w:val="0"/>
              <w:jc w:val="center"/>
            </w:pPr>
            <w:r>
              <w:t>8</w:t>
            </w:r>
          </w:p>
        </w:tc>
        <w:tc>
          <w:tcPr>
            <w:tcW w:w="1561" w:type="dxa"/>
            <w:vAlign w:val="center"/>
          </w:tcPr>
          <w:p>
            <w:pPr>
              <w:widowControl w:val="0"/>
              <w:jc w:val="center"/>
            </w:pPr>
            <w:r>
              <w:t>140</w:t>
            </w:r>
          </w:p>
        </w:tc>
        <w:tc>
          <w:tcPr>
            <w:tcW w:w="1559" w:type="dxa"/>
            <w:vAlign w:val="center"/>
          </w:tcPr>
          <w:p>
            <w:pPr>
              <w:widowControl w:val="0"/>
              <w:jc w:val="center"/>
            </w:pPr>
            <w:r>
              <w:t>2560</w:t>
            </w:r>
          </w:p>
        </w:tc>
        <w:tc>
          <w:tcPr>
            <w:tcW w:w="1418" w:type="dxa"/>
            <w:vAlign w:val="center"/>
          </w:tcPr>
          <w:p>
            <w:pPr>
              <w:widowControl w:val="0"/>
              <w:jc w:val="center"/>
            </w:pPr>
            <w:r>
              <w:t>5720</w:t>
            </w:r>
          </w:p>
        </w:tc>
        <w:tc>
          <w:tcPr>
            <w:tcW w:w="1935" w:type="dxa"/>
            <w:vAlign w:val="center"/>
          </w:tcPr>
          <w:p>
            <w:pPr>
              <w:widowControl w:val="0"/>
              <w:jc w:val="center"/>
            </w:pPr>
            <w:r>
              <w:t>4550</w:t>
            </w:r>
          </w:p>
        </w:tc>
      </w:tr>
      <w:tr>
        <w:trPr>
          <w:trHeight w:val="20"/>
        </w:trPr>
        <w:tc>
          <w:tcPr>
            <w:tcW w:w="1283" w:type="dxa"/>
            <w:vAlign w:val="center"/>
          </w:tcPr>
          <w:p>
            <w:pPr>
              <w:widowControl w:val="0"/>
              <w:jc w:val="center"/>
            </w:pPr>
            <w:r>
              <w:t>80</w:t>
            </w:r>
          </w:p>
        </w:tc>
        <w:tc>
          <w:tcPr>
            <w:tcW w:w="1252" w:type="dxa"/>
            <w:vAlign w:val="center"/>
          </w:tcPr>
          <w:p>
            <w:pPr>
              <w:widowControl w:val="0"/>
              <w:jc w:val="center"/>
            </w:pPr>
            <w:r>
              <w:t>10</w:t>
            </w:r>
          </w:p>
        </w:tc>
        <w:tc>
          <w:tcPr>
            <w:tcW w:w="1561" w:type="dxa"/>
            <w:vAlign w:val="center"/>
          </w:tcPr>
          <w:p>
            <w:pPr>
              <w:widowControl w:val="0"/>
              <w:jc w:val="center"/>
            </w:pPr>
            <w:r>
              <w:t>144</w:t>
            </w:r>
          </w:p>
        </w:tc>
        <w:tc>
          <w:tcPr>
            <w:tcW w:w="1559" w:type="dxa"/>
            <w:vAlign w:val="center"/>
          </w:tcPr>
          <w:p>
            <w:pPr>
              <w:widowControl w:val="0"/>
              <w:jc w:val="center"/>
            </w:pPr>
            <w:r>
              <w:t>3200</w:t>
            </w:r>
          </w:p>
        </w:tc>
        <w:tc>
          <w:tcPr>
            <w:tcW w:w="1418" w:type="dxa"/>
            <w:vAlign w:val="center"/>
          </w:tcPr>
          <w:p>
            <w:pPr>
              <w:widowControl w:val="0"/>
              <w:jc w:val="center"/>
            </w:pPr>
            <w:r>
              <w:t>6400</w:t>
            </w:r>
          </w:p>
        </w:tc>
        <w:tc>
          <w:tcPr>
            <w:tcW w:w="1935" w:type="dxa"/>
            <w:vAlign w:val="center"/>
          </w:tcPr>
          <w:p>
            <w:pPr>
              <w:widowControl w:val="0"/>
              <w:jc w:val="center"/>
            </w:pPr>
            <w:r>
              <w:t>5100</w:t>
            </w:r>
          </w:p>
        </w:tc>
      </w:tr>
      <w:tr>
        <w:trPr>
          <w:trHeight w:val="20"/>
        </w:trPr>
        <w:tc>
          <w:tcPr>
            <w:tcW w:w="1283" w:type="dxa"/>
            <w:vAlign w:val="center"/>
          </w:tcPr>
          <w:p>
            <w:pPr>
              <w:widowControl w:val="0"/>
              <w:jc w:val="center"/>
            </w:pPr>
            <w:r>
              <w:t>100</w:t>
            </w:r>
          </w:p>
        </w:tc>
        <w:tc>
          <w:tcPr>
            <w:tcW w:w="1252" w:type="dxa"/>
            <w:vAlign w:val="center"/>
          </w:tcPr>
          <w:p>
            <w:pPr>
              <w:widowControl w:val="0"/>
              <w:jc w:val="center"/>
            </w:pPr>
            <w:r>
              <w:t>8</w:t>
            </w:r>
          </w:p>
        </w:tc>
        <w:tc>
          <w:tcPr>
            <w:tcW w:w="1561" w:type="dxa"/>
            <w:vAlign w:val="center"/>
          </w:tcPr>
          <w:p>
            <w:pPr>
              <w:widowControl w:val="0"/>
              <w:jc w:val="center"/>
            </w:pPr>
            <w:r>
              <w:t>160</w:t>
            </w:r>
          </w:p>
        </w:tc>
        <w:tc>
          <w:tcPr>
            <w:tcW w:w="1559" w:type="dxa"/>
            <w:vAlign w:val="center"/>
          </w:tcPr>
          <w:p>
            <w:pPr>
              <w:widowControl w:val="0"/>
              <w:jc w:val="center"/>
            </w:pPr>
            <w:r>
              <w:t>3200</w:t>
            </w:r>
          </w:p>
        </w:tc>
        <w:tc>
          <w:tcPr>
            <w:tcW w:w="1418" w:type="dxa"/>
            <w:vAlign w:val="center"/>
          </w:tcPr>
          <w:p>
            <w:pPr>
              <w:widowControl w:val="0"/>
              <w:jc w:val="center"/>
            </w:pPr>
            <w:r>
              <w:t>7000</w:t>
            </w:r>
          </w:p>
        </w:tc>
        <w:tc>
          <w:tcPr>
            <w:tcW w:w="1935" w:type="dxa"/>
            <w:vAlign w:val="center"/>
          </w:tcPr>
          <w:p>
            <w:pPr>
              <w:widowControl w:val="0"/>
              <w:jc w:val="center"/>
            </w:pPr>
            <w:r>
              <w:t>5550</w:t>
            </w:r>
          </w:p>
        </w:tc>
      </w:tr>
      <w:tr>
        <w:trPr>
          <w:trHeight w:val="20"/>
        </w:trPr>
        <w:tc>
          <w:tcPr>
            <w:tcW w:w="1283" w:type="dxa"/>
            <w:vAlign w:val="center"/>
          </w:tcPr>
          <w:p>
            <w:pPr>
              <w:widowControl w:val="0"/>
              <w:jc w:val="center"/>
            </w:pPr>
            <w:r>
              <w:t>100</w:t>
            </w:r>
          </w:p>
        </w:tc>
        <w:tc>
          <w:tcPr>
            <w:tcW w:w="1252" w:type="dxa"/>
            <w:vAlign w:val="center"/>
          </w:tcPr>
          <w:p>
            <w:pPr>
              <w:widowControl w:val="0"/>
              <w:jc w:val="center"/>
            </w:pPr>
            <w:r>
              <w:t>10</w:t>
            </w:r>
          </w:p>
        </w:tc>
        <w:tc>
          <w:tcPr>
            <w:tcW w:w="1561" w:type="dxa"/>
            <w:vAlign w:val="center"/>
          </w:tcPr>
          <w:p>
            <w:pPr>
              <w:widowControl w:val="0"/>
              <w:jc w:val="center"/>
            </w:pPr>
            <w:r>
              <w:t>164</w:t>
            </w:r>
          </w:p>
        </w:tc>
        <w:tc>
          <w:tcPr>
            <w:tcW w:w="1559" w:type="dxa"/>
            <w:vAlign w:val="center"/>
          </w:tcPr>
          <w:p>
            <w:pPr>
              <w:widowControl w:val="0"/>
              <w:jc w:val="center"/>
            </w:pPr>
            <w:r>
              <w:t>4000</w:t>
            </w:r>
          </w:p>
        </w:tc>
        <w:tc>
          <w:tcPr>
            <w:tcW w:w="1418" w:type="dxa"/>
            <w:vAlign w:val="center"/>
          </w:tcPr>
          <w:p>
            <w:pPr>
              <w:widowControl w:val="0"/>
              <w:jc w:val="center"/>
            </w:pPr>
            <w:r>
              <w:t>7700</w:t>
            </w:r>
          </w:p>
        </w:tc>
        <w:tc>
          <w:tcPr>
            <w:tcW w:w="1935" w:type="dxa"/>
            <w:vAlign w:val="center"/>
          </w:tcPr>
          <w:p>
            <w:pPr>
              <w:widowControl w:val="0"/>
              <w:jc w:val="center"/>
            </w:pPr>
            <w:r>
              <w:t>6200</w:t>
            </w:r>
          </w:p>
        </w:tc>
      </w:tr>
      <w:tr>
        <w:trPr>
          <w:trHeight w:val="20"/>
        </w:trPr>
        <w:tc>
          <w:tcPr>
            <w:tcW w:w="1283" w:type="dxa"/>
            <w:vAlign w:val="center"/>
          </w:tcPr>
          <w:p>
            <w:pPr>
              <w:widowControl w:val="0"/>
              <w:jc w:val="center"/>
            </w:pPr>
            <w:r>
              <w:t>120</w:t>
            </w:r>
          </w:p>
        </w:tc>
        <w:tc>
          <w:tcPr>
            <w:tcW w:w="1252" w:type="dxa"/>
            <w:vAlign w:val="center"/>
          </w:tcPr>
          <w:p>
            <w:pPr>
              <w:widowControl w:val="0"/>
              <w:jc w:val="center"/>
            </w:pPr>
            <w:r>
              <w:t>10</w:t>
            </w:r>
          </w:p>
        </w:tc>
        <w:tc>
          <w:tcPr>
            <w:tcW w:w="1561" w:type="dxa"/>
            <w:vAlign w:val="center"/>
          </w:tcPr>
          <w:p>
            <w:pPr>
              <w:widowControl w:val="0"/>
              <w:jc w:val="center"/>
            </w:pPr>
            <w:r>
              <w:t>184</w:t>
            </w:r>
          </w:p>
        </w:tc>
        <w:tc>
          <w:tcPr>
            <w:tcW w:w="1559" w:type="dxa"/>
            <w:vAlign w:val="center"/>
          </w:tcPr>
          <w:p>
            <w:pPr>
              <w:widowControl w:val="0"/>
              <w:jc w:val="center"/>
            </w:pPr>
            <w:r>
              <w:t>4800</w:t>
            </w:r>
          </w:p>
        </w:tc>
        <w:tc>
          <w:tcPr>
            <w:tcW w:w="1418" w:type="dxa"/>
            <w:vAlign w:val="center"/>
          </w:tcPr>
          <w:p>
            <w:pPr>
              <w:widowControl w:val="0"/>
              <w:jc w:val="center"/>
            </w:pPr>
            <w:r>
              <w:t>9050</w:t>
            </w:r>
          </w:p>
        </w:tc>
        <w:tc>
          <w:tcPr>
            <w:tcW w:w="1935" w:type="dxa"/>
            <w:vAlign w:val="center"/>
          </w:tcPr>
          <w:p>
            <w:pPr>
              <w:widowControl w:val="0"/>
              <w:jc w:val="center"/>
            </w:pPr>
            <w:r>
              <w:t>7300</w:t>
            </w:r>
          </w:p>
        </w:tc>
      </w:tr>
    </w:tbl>
    <w:p>
      <w:pPr>
        <w:widowControl w:val="0"/>
        <w:ind w:firstLine="567"/>
        <w:jc w:val="both"/>
        <w:rPr>
          <w:b/>
        </w:rPr>
      </w:pPr>
    </w:p>
    <w:p>
      <w:pPr>
        <w:widowControl w:val="0"/>
        <w:ind w:firstLine="567"/>
        <w:jc w:val="both"/>
        <w:rPr>
          <w:b/>
        </w:rPr>
      </w:pPr>
      <w:r>
        <w:rPr>
          <w:b/>
        </w:rPr>
        <w:t>26 lentelė. Dviejų profilinių šynų paketo leistinoji ilgalaikė srovė</w:t>
      </w:r>
    </w:p>
    <w:p>
      <w:pPr>
        <w:widowControl w:val="0"/>
        <w:ind w:firstLine="567"/>
        <w:jc w:val="both"/>
      </w:pPr>
    </w:p>
    <w:p>
      <w:pPr>
        <w:widowControl w:val="0"/>
        <w:ind w:firstLine="567"/>
        <w:jc w:val="both"/>
      </w:pPr>
      <w:r>
        <w:t xml:space="preserve">Temperatūra: šynų +70 </w:t>
      </w:r>
      <w:r>
        <w:rPr>
          <w:vertAlign w:val="superscript"/>
        </w:rPr>
        <w:t>o</w:t>
      </w:r>
      <w:r>
        <w:t xml:space="preserve">C, oro +25 </w:t>
      </w:r>
      <w:r>
        <w:rPr>
          <w:vertAlign w:val="superscript"/>
        </w:rPr>
        <w:t>o</w:t>
      </w:r>
      <w:r>
        <w:t>C.</w:t>
      </w:r>
    </w:p>
    <w:p>
      <w:pPr>
        <w:widowControl w:val="0"/>
        <w:ind w:firstLine="567"/>
        <w:jc w:val="both"/>
      </w:pPr>
    </w:p>
    <w:tbl>
      <w:tblPr>
        <w:tblW w:w="90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77"/>
        <w:gridCol w:w="977"/>
        <w:gridCol w:w="978"/>
        <w:gridCol w:w="1602"/>
        <w:gridCol w:w="1418"/>
        <w:gridCol w:w="992"/>
        <w:gridCol w:w="2064"/>
      </w:tblGrid>
      <w:tr>
        <w:trPr>
          <w:cantSplit/>
          <w:tblHeader/>
        </w:trPr>
        <w:tc>
          <w:tcPr>
            <w:tcW w:w="4534" w:type="dxa"/>
            <w:gridSpan w:val="4"/>
            <w:vAlign w:val="center"/>
          </w:tcPr>
          <w:p>
            <w:pPr>
              <w:widowControl w:val="0"/>
              <w:jc w:val="center"/>
            </w:pPr>
            <w:r>
              <w:t>Šynų paketo matmenys, mm</w:t>
            </w:r>
          </w:p>
        </w:tc>
        <w:tc>
          <w:tcPr>
            <w:tcW w:w="1418" w:type="dxa"/>
            <w:vMerge w:val="restart"/>
            <w:vAlign w:val="center"/>
          </w:tcPr>
          <w:p>
            <w:pPr>
              <w:widowControl w:val="0"/>
              <w:jc w:val="center"/>
            </w:pPr>
            <w:r>
              <w:t>Vienos šynos skerspjūvis,</w:t>
            </w:r>
          </w:p>
          <w:p>
            <w:pPr>
              <w:widowControl w:val="0"/>
              <w:jc w:val="center"/>
            </w:pPr>
            <w:r>
              <w:t>mm</w:t>
            </w:r>
            <w:r>
              <w:rPr>
                <w:vertAlign w:val="superscript"/>
              </w:rPr>
              <w:t>2</w:t>
            </w:r>
          </w:p>
        </w:tc>
        <w:tc>
          <w:tcPr>
            <w:tcW w:w="3056" w:type="dxa"/>
            <w:gridSpan w:val="2"/>
            <w:vAlign w:val="center"/>
          </w:tcPr>
          <w:p>
            <w:pPr>
              <w:widowControl w:val="0"/>
              <w:jc w:val="center"/>
            </w:pPr>
            <w:r>
              <w:t>Leistinoji ilgalaikė srovė, A</w:t>
            </w:r>
          </w:p>
        </w:tc>
      </w:tr>
      <w:tr>
        <w:trPr>
          <w:cantSplit/>
          <w:tblHeader/>
        </w:trPr>
        <w:tc>
          <w:tcPr>
            <w:tcW w:w="977" w:type="dxa"/>
            <w:vAlign w:val="center"/>
          </w:tcPr>
          <w:p>
            <w:pPr>
              <w:widowControl w:val="0"/>
              <w:jc w:val="center"/>
            </w:pPr>
            <w:r>
              <w:t>Paketo plotis</w:t>
            </w:r>
          </w:p>
        </w:tc>
        <w:tc>
          <w:tcPr>
            <w:tcW w:w="977" w:type="dxa"/>
            <w:vAlign w:val="center"/>
          </w:tcPr>
          <w:p>
            <w:pPr>
              <w:widowControl w:val="0"/>
              <w:jc w:val="center"/>
            </w:pPr>
            <w:r>
              <w:t>Paketo (šynos) aukštis</w:t>
            </w:r>
          </w:p>
        </w:tc>
        <w:tc>
          <w:tcPr>
            <w:tcW w:w="978" w:type="dxa"/>
            <w:vAlign w:val="center"/>
          </w:tcPr>
          <w:p>
            <w:pPr>
              <w:widowControl w:val="0"/>
              <w:jc w:val="center"/>
            </w:pPr>
            <w:r>
              <w:t>Šynos storis</w:t>
            </w:r>
          </w:p>
        </w:tc>
        <w:tc>
          <w:tcPr>
            <w:tcW w:w="1602" w:type="dxa"/>
            <w:vAlign w:val="center"/>
          </w:tcPr>
          <w:p>
            <w:pPr>
              <w:widowControl w:val="0"/>
              <w:jc w:val="center"/>
            </w:pPr>
            <w:r>
              <w:t>Šynos siaurųjų kraštų plotis</w:t>
            </w:r>
          </w:p>
        </w:tc>
        <w:tc>
          <w:tcPr>
            <w:tcW w:w="1418" w:type="dxa"/>
            <w:vMerge/>
            <w:vAlign w:val="center"/>
          </w:tcPr>
          <w:p>
            <w:pPr>
              <w:widowControl w:val="0"/>
              <w:jc w:val="center"/>
            </w:pPr>
          </w:p>
        </w:tc>
        <w:tc>
          <w:tcPr>
            <w:tcW w:w="992" w:type="dxa"/>
            <w:vAlign w:val="center"/>
          </w:tcPr>
          <w:p>
            <w:pPr>
              <w:widowControl w:val="0"/>
              <w:jc w:val="center"/>
            </w:pPr>
            <w:r>
              <w:t>varinių</w:t>
            </w:r>
          </w:p>
        </w:tc>
        <w:tc>
          <w:tcPr>
            <w:tcW w:w="2064" w:type="dxa"/>
            <w:vAlign w:val="center"/>
          </w:tcPr>
          <w:p>
            <w:pPr>
              <w:widowControl w:val="0"/>
              <w:jc w:val="center"/>
            </w:pPr>
            <w:r>
              <w:t>aliumininių</w:t>
            </w:r>
          </w:p>
        </w:tc>
      </w:tr>
      <w:tr>
        <w:trPr>
          <w:cantSplit/>
        </w:trPr>
        <w:tc>
          <w:tcPr>
            <w:tcW w:w="977" w:type="dxa"/>
            <w:vAlign w:val="center"/>
          </w:tcPr>
          <w:p>
            <w:pPr>
              <w:widowControl w:val="0"/>
              <w:jc w:val="center"/>
            </w:pPr>
            <w:r>
              <w:t>75</w:t>
            </w:r>
          </w:p>
        </w:tc>
        <w:tc>
          <w:tcPr>
            <w:tcW w:w="977" w:type="dxa"/>
            <w:vAlign w:val="center"/>
          </w:tcPr>
          <w:p>
            <w:pPr>
              <w:widowControl w:val="0"/>
              <w:jc w:val="center"/>
            </w:pPr>
            <w:r>
              <w:t>75</w:t>
            </w:r>
          </w:p>
        </w:tc>
        <w:tc>
          <w:tcPr>
            <w:tcW w:w="978" w:type="dxa"/>
            <w:vAlign w:val="center"/>
          </w:tcPr>
          <w:p>
            <w:pPr>
              <w:widowControl w:val="0"/>
              <w:jc w:val="center"/>
            </w:pPr>
            <w:r>
              <w:t>4</w:t>
            </w:r>
          </w:p>
        </w:tc>
        <w:tc>
          <w:tcPr>
            <w:tcW w:w="1602" w:type="dxa"/>
            <w:vAlign w:val="center"/>
          </w:tcPr>
          <w:p>
            <w:pPr>
              <w:widowControl w:val="0"/>
              <w:jc w:val="center"/>
            </w:pPr>
            <w:r>
              <w:t>35</w:t>
            </w:r>
          </w:p>
        </w:tc>
        <w:tc>
          <w:tcPr>
            <w:tcW w:w="1418" w:type="dxa"/>
            <w:vAlign w:val="center"/>
          </w:tcPr>
          <w:p>
            <w:pPr>
              <w:widowControl w:val="0"/>
              <w:jc w:val="center"/>
            </w:pPr>
            <w:r>
              <w:t>520</w:t>
            </w:r>
          </w:p>
        </w:tc>
        <w:tc>
          <w:tcPr>
            <w:tcW w:w="992" w:type="dxa"/>
            <w:vAlign w:val="center"/>
          </w:tcPr>
          <w:p>
            <w:pPr>
              <w:widowControl w:val="0"/>
              <w:jc w:val="center"/>
            </w:pPr>
            <w:r>
              <w:t>2730</w:t>
            </w:r>
          </w:p>
        </w:tc>
        <w:tc>
          <w:tcPr>
            <w:tcW w:w="2064" w:type="dxa"/>
            <w:vAlign w:val="center"/>
          </w:tcPr>
          <w:p>
            <w:pPr>
              <w:widowControl w:val="0"/>
              <w:jc w:val="center"/>
            </w:pPr>
            <w:r>
              <w:t>–</w:t>
            </w:r>
          </w:p>
        </w:tc>
      </w:tr>
      <w:tr>
        <w:trPr>
          <w:cantSplit/>
        </w:trPr>
        <w:tc>
          <w:tcPr>
            <w:tcW w:w="977" w:type="dxa"/>
            <w:vAlign w:val="center"/>
          </w:tcPr>
          <w:p>
            <w:pPr>
              <w:widowControl w:val="0"/>
              <w:jc w:val="center"/>
            </w:pPr>
            <w:r>
              <w:t>75</w:t>
            </w:r>
          </w:p>
        </w:tc>
        <w:tc>
          <w:tcPr>
            <w:tcW w:w="977" w:type="dxa"/>
            <w:vAlign w:val="center"/>
          </w:tcPr>
          <w:p>
            <w:pPr>
              <w:widowControl w:val="0"/>
              <w:jc w:val="center"/>
            </w:pPr>
            <w:r>
              <w:t>75</w:t>
            </w:r>
          </w:p>
        </w:tc>
        <w:tc>
          <w:tcPr>
            <w:tcW w:w="978" w:type="dxa"/>
            <w:vAlign w:val="center"/>
          </w:tcPr>
          <w:p>
            <w:pPr>
              <w:widowControl w:val="0"/>
              <w:jc w:val="center"/>
            </w:pPr>
            <w:r>
              <w:t>5,5</w:t>
            </w:r>
          </w:p>
        </w:tc>
        <w:tc>
          <w:tcPr>
            <w:tcW w:w="1602" w:type="dxa"/>
            <w:vAlign w:val="center"/>
          </w:tcPr>
          <w:p>
            <w:pPr>
              <w:widowControl w:val="0"/>
              <w:jc w:val="center"/>
            </w:pPr>
            <w:r>
              <w:t>35</w:t>
            </w:r>
          </w:p>
        </w:tc>
        <w:tc>
          <w:tcPr>
            <w:tcW w:w="1418" w:type="dxa"/>
            <w:vAlign w:val="center"/>
          </w:tcPr>
          <w:p>
            <w:pPr>
              <w:widowControl w:val="0"/>
              <w:jc w:val="center"/>
            </w:pPr>
            <w:r>
              <w:t>695</w:t>
            </w:r>
          </w:p>
        </w:tc>
        <w:tc>
          <w:tcPr>
            <w:tcW w:w="992" w:type="dxa"/>
            <w:vAlign w:val="center"/>
          </w:tcPr>
          <w:p>
            <w:pPr>
              <w:widowControl w:val="0"/>
              <w:jc w:val="center"/>
            </w:pPr>
            <w:r>
              <w:t>3250</w:t>
            </w:r>
          </w:p>
        </w:tc>
        <w:tc>
          <w:tcPr>
            <w:tcW w:w="2064" w:type="dxa"/>
            <w:vAlign w:val="center"/>
          </w:tcPr>
          <w:p>
            <w:pPr>
              <w:widowControl w:val="0"/>
              <w:jc w:val="center"/>
            </w:pPr>
            <w:r>
              <w:t>2670</w:t>
            </w:r>
          </w:p>
        </w:tc>
      </w:tr>
      <w:tr>
        <w:trPr>
          <w:cantSplit/>
        </w:trPr>
        <w:tc>
          <w:tcPr>
            <w:tcW w:w="977" w:type="dxa"/>
            <w:vAlign w:val="center"/>
          </w:tcPr>
          <w:p>
            <w:pPr>
              <w:widowControl w:val="0"/>
              <w:jc w:val="center"/>
            </w:pPr>
            <w:r>
              <w:t>100</w:t>
            </w:r>
          </w:p>
        </w:tc>
        <w:tc>
          <w:tcPr>
            <w:tcW w:w="977" w:type="dxa"/>
            <w:vAlign w:val="center"/>
          </w:tcPr>
          <w:p>
            <w:pPr>
              <w:widowControl w:val="0"/>
              <w:jc w:val="center"/>
            </w:pPr>
            <w:r>
              <w:t>100</w:t>
            </w:r>
          </w:p>
        </w:tc>
        <w:tc>
          <w:tcPr>
            <w:tcW w:w="978" w:type="dxa"/>
            <w:vAlign w:val="center"/>
          </w:tcPr>
          <w:p>
            <w:pPr>
              <w:widowControl w:val="0"/>
              <w:jc w:val="center"/>
            </w:pPr>
            <w:r>
              <w:t>4,5</w:t>
            </w:r>
          </w:p>
        </w:tc>
        <w:tc>
          <w:tcPr>
            <w:tcW w:w="1602" w:type="dxa"/>
            <w:vAlign w:val="center"/>
          </w:tcPr>
          <w:p>
            <w:pPr>
              <w:widowControl w:val="0"/>
              <w:jc w:val="center"/>
            </w:pPr>
            <w:r>
              <w:t>45</w:t>
            </w:r>
          </w:p>
        </w:tc>
        <w:tc>
          <w:tcPr>
            <w:tcW w:w="1418" w:type="dxa"/>
            <w:vAlign w:val="center"/>
          </w:tcPr>
          <w:p>
            <w:pPr>
              <w:widowControl w:val="0"/>
              <w:jc w:val="center"/>
            </w:pPr>
            <w:r>
              <w:t>775</w:t>
            </w:r>
          </w:p>
        </w:tc>
        <w:tc>
          <w:tcPr>
            <w:tcW w:w="992" w:type="dxa"/>
            <w:vAlign w:val="center"/>
          </w:tcPr>
          <w:p>
            <w:pPr>
              <w:widowControl w:val="0"/>
              <w:jc w:val="center"/>
            </w:pPr>
            <w:r>
              <w:t>3620</w:t>
            </w:r>
          </w:p>
        </w:tc>
        <w:tc>
          <w:tcPr>
            <w:tcW w:w="2064" w:type="dxa"/>
            <w:vAlign w:val="center"/>
          </w:tcPr>
          <w:p>
            <w:pPr>
              <w:widowControl w:val="0"/>
              <w:jc w:val="center"/>
            </w:pPr>
            <w:r>
              <w:t>2820</w:t>
            </w:r>
          </w:p>
        </w:tc>
      </w:tr>
      <w:tr>
        <w:trPr>
          <w:cantSplit/>
        </w:trPr>
        <w:tc>
          <w:tcPr>
            <w:tcW w:w="977" w:type="dxa"/>
            <w:vAlign w:val="center"/>
          </w:tcPr>
          <w:p>
            <w:pPr>
              <w:widowControl w:val="0"/>
              <w:jc w:val="center"/>
            </w:pPr>
            <w:r>
              <w:t>100</w:t>
            </w:r>
          </w:p>
        </w:tc>
        <w:tc>
          <w:tcPr>
            <w:tcW w:w="977" w:type="dxa"/>
            <w:vAlign w:val="center"/>
          </w:tcPr>
          <w:p>
            <w:pPr>
              <w:widowControl w:val="0"/>
              <w:jc w:val="center"/>
            </w:pPr>
            <w:r>
              <w:t>100</w:t>
            </w:r>
          </w:p>
        </w:tc>
        <w:tc>
          <w:tcPr>
            <w:tcW w:w="978" w:type="dxa"/>
            <w:vAlign w:val="center"/>
          </w:tcPr>
          <w:p>
            <w:pPr>
              <w:widowControl w:val="0"/>
              <w:jc w:val="center"/>
            </w:pPr>
            <w:r>
              <w:t>6</w:t>
            </w:r>
          </w:p>
        </w:tc>
        <w:tc>
          <w:tcPr>
            <w:tcW w:w="1602" w:type="dxa"/>
            <w:vAlign w:val="center"/>
          </w:tcPr>
          <w:p>
            <w:pPr>
              <w:widowControl w:val="0"/>
              <w:jc w:val="center"/>
            </w:pPr>
            <w:r>
              <w:t>45</w:t>
            </w:r>
          </w:p>
        </w:tc>
        <w:tc>
          <w:tcPr>
            <w:tcW w:w="1418" w:type="dxa"/>
            <w:vAlign w:val="center"/>
          </w:tcPr>
          <w:p>
            <w:pPr>
              <w:widowControl w:val="0"/>
              <w:jc w:val="center"/>
            </w:pPr>
            <w:r>
              <w:t>1010</w:t>
            </w:r>
          </w:p>
        </w:tc>
        <w:tc>
          <w:tcPr>
            <w:tcW w:w="992" w:type="dxa"/>
            <w:vAlign w:val="center"/>
          </w:tcPr>
          <w:p>
            <w:pPr>
              <w:widowControl w:val="0"/>
              <w:jc w:val="center"/>
            </w:pPr>
            <w:r>
              <w:t>4300</w:t>
            </w:r>
          </w:p>
        </w:tc>
        <w:tc>
          <w:tcPr>
            <w:tcW w:w="2064" w:type="dxa"/>
            <w:vAlign w:val="center"/>
          </w:tcPr>
          <w:p>
            <w:pPr>
              <w:widowControl w:val="0"/>
              <w:jc w:val="center"/>
            </w:pPr>
            <w:r>
              <w:t>3500</w:t>
            </w:r>
          </w:p>
        </w:tc>
      </w:tr>
      <w:tr>
        <w:trPr>
          <w:cantSplit/>
        </w:trPr>
        <w:tc>
          <w:tcPr>
            <w:tcW w:w="977" w:type="dxa"/>
            <w:vAlign w:val="center"/>
          </w:tcPr>
          <w:p>
            <w:pPr>
              <w:widowControl w:val="0"/>
              <w:jc w:val="center"/>
            </w:pPr>
            <w:r>
              <w:t>125</w:t>
            </w:r>
          </w:p>
        </w:tc>
        <w:tc>
          <w:tcPr>
            <w:tcW w:w="977" w:type="dxa"/>
            <w:vAlign w:val="center"/>
          </w:tcPr>
          <w:p>
            <w:pPr>
              <w:widowControl w:val="0"/>
              <w:jc w:val="center"/>
            </w:pPr>
            <w:r>
              <w:t>125</w:t>
            </w:r>
          </w:p>
        </w:tc>
        <w:tc>
          <w:tcPr>
            <w:tcW w:w="978" w:type="dxa"/>
            <w:vAlign w:val="center"/>
          </w:tcPr>
          <w:p>
            <w:pPr>
              <w:widowControl w:val="0"/>
              <w:jc w:val="center"/>
            </w:pPr>
            <w:r>
              <w:t>6,5</w:t>
            </w:r>
          </w:p>
        </w:tc>
        <w:tc>
          <w:tcPr>
            <w:tcW w:w="1602" w:type="dxa"/>
            <w:vAlign w:val="center"/>
          </w:tcPr>
          <w:p>
            <w:pPr>
              <w:widowControl w:val="0"/>
              <w:jc w:val="center"/>
            </w:pPr>
            <w:r>
              <w:t>55</w:t>
            </w:r>
          </w:p>
        </w:tc>
        <w:tc>
          <w:tcPr>
            <w:tcW w:w="1418" w:type="dxa"/>
            <w:vAlign w:val="center"/>
          </w:tcPr>
          <w:p>
            <w:pPr>
              <w:widowControl w:val="0"/>
              <w:jc w:val="center"/>
            </w:pPr>
            <w:r>
              <w:t>1370</w:t>
            </w:r>
          </w:p>
        </w:tc>
        <w:tc>
          <w:tcPr>
            <w:tcW w:w="992" w:type="dxa"/>
            <w:vAlign w:val="center"/>
          </w:tcPr>
          <w:p>
            <w:pPr>
              <w:widowControl w:val="0"/>
              <w:jc w:val="center"/>
            </w:pPr>
            <w:r>
              <w:t>5500</w:t>
            </w:r>
          </w:p>
        </w:tc>
        <w:tc>
          <w:tcPr>
            <w:tcW w:w="2064" w:type="dxa"/>
            <w:vAlign w:val="center"/>
          </w:tcPr>
          <w:p>
            <w:pPr>
              <w:widowControl w:val="0"/>
              <w:jc w:val="center"/>
            </w:pPr>
            <w:r>
              <w:t>4640</w:t>
            </w:r>
          </w:p>
        </w:tc>
      </w:tr>
      <w:tr>
        <w:trPr>
          <w:cantSplit/>
        </w:trPr>
        <w:tc>
          <w:tcPr>
            <w:tcW w:w="977" w:type="dxa"/>
            <w:vAlign w:val="center"/>
          </w:tcPr>
          <w:p>
            <w:pPr>
              <w:widowControl w:val="0"/>
              <w:jc w:val="center"/>
            </w:pPr>
            <w:r>
              <w:t>150</w:t>
            </w:r>
          </w:p>
        </w:tc>
        <w:tc>
          <w:tcPr>
            <w:tcW w:w="977" w:type="dxa"/>
            <w:vAlign w:val="center"/>
          </w:tcPr>
          <w:p>
            <w:pPr>
              <w:widowControl w:val="0"/>
              <w:jc w:val="center"/>
            </w:pPr>
            <w:r>
              <w:t>150</w:t>
            </w:r>
          </w:p>
        </w:tc>
        <w:tc>
          <w:tcPr>
            <w:tcW w:w="978" w:type="dxa"/>
            <w:vAlign w:val="center"/>
          </w:tcPr>
          <w:p>
            <w:pPr>
              <w:widowControl w:val="0"/>
              <w:jc w:val="center"/>
            </w:pPr>
            <w:r>
              <w:t>7</w:t>
            </w:r>
          </w:p>
        </w:tc>
        <w:tc>
          <w:tcPr>
            <w:tcW w:w="1602" w:type="dxa"/>
            <w:vAlign w:val="center"/>
          </w:tcPr>
          <w:p>
            <w:pPr>
              <w:widowControl w:val="0"/>
              <w:jc w:val="center"/>
            </w:pPr>
            <w:r>
              <w:t>65</w:t>
            </w:r>
          </w:p>
        </w:tc>
        <w:tc>
          <w:tcPr>
            <w:tcW w:w="1418" w:type="dxa"/>
            <w:vAlign w:val="center"/>
          </w:tcPr>
          <w:p>
            <w:pPr>
              <w:widowControl w:val="0"/>
              <w:jc w:val="center"/>
            </w:pPr>
            <w:r>
              <w:t>1785</w:t>
            </w:r>
          </w:p>
        </w:tc>
        <w:tc>
          <w:tcPr>
            <w:tcW w:w="992" w:type="dxa"/>
            <w:vAlign w:val="center"/>
          </w:tcPr>
          <w:p>
            <w:pPr>
              <w:widowControl w:val="0"/>
              <w:jc w:val="center"/>
            </w:pPr>
            <w:r>
              <w:t>7000</w:t>
            </w:r>
          </w:p>
        </w:tc>
        <w:tc>
          <w:tcPr>
            <w:tcW w:w="2064" w:type="dxa"/>
            <w:vAlign w:val="center"/>
          </w:tcPr>
          <w:p>
            <w:pPr>
              <w:widowControl w:val="0"/>
              <w:jc w:val="center"/>
            </w:pPr>
            <w:r>
              <w:t>5650</w:t>
            </w:r>
          </w:p>
        </w:tc>
      </w:tr>
      <w:tr>
        <w:trPr>
          <w:cantSplit/>
        </w:trPr>
        <w:tc>
          <w:tcPr>
            <w:tcW w:w="977" w:type="dxa"/>
            <w:vAlign w:val="center"/>
          </w:tcPr>
          <w:p>
            <w:pPr>
              <w:widowControl w:val="0"/>
              <w:jc w:val="center"/>
            </w:pPr>
            <w:r>
              <w:t>175</w:t>
            </w:r>
          </w:p>
        </w:tc>
        <w:tc>
          <w:tcPr>
            <w:tcW w:w="977" w:type="dxa"/>
            <w:vAlign w:val="center"/>
          </w:tcPr>
          <w:p>
            <w:pPr>
              <w:widowControl w:val="0"/>
              <w:jc w:val="center"/>
            </w:pPr>
            <w:r>
              <w:t>175</w:t>
            </w:r>
          </w:p>
        </w:tc>
        <w:tc>
          <w:tcPr>
            <w:tcW w:w="978" w:type="dxa"/>
            <w:vAlign w:val="center"/>
          </w:tcPr>
          <w:p>
            <w:pPr>
              <w:widowControl w:val="0"/>
              <w:jc w:val="center"/>
            </w:pPr>
            <w:r>
              <w:t>8</w:t>
            </w:r>
          </w:p>
        </w:tc>
        <w:tc>
          <w:tcPr>
            <w:tcW w:w="1602" w:type="dxa"/>
            <w:vAlign w:val="center"/>
          </w:tcPr>
          <w:p>
            <w:pPr>
              <w:widowControl w:val="0"/>
              <w:jc w:val="center"/>
            </w:pPr>
            <w:r>
              <w:t>80</w:t>
            </w:r>
          </w:p>
        </w:tc>
        <w:tc>
          <w:tcPr>
            <w:tcW w:w="1418" w:type="dxa"/>
            <w:vAlign w:val="center"/>
          </w:tcPr>
          <w:p>
            <w:pPr>
              <w:widowControl w:val="0"/>
              <w:jc w:val="center"/>
            </w:pPr>
            <w:r>
              <w:t>2440</w:t>
            </w:r>
          </w:p>
        </w:tc>
        <w:tc>
          <w:tcPr>
            <w:tcW w:w="992" w:type="dxa"/>
            <w:vAlign w:val="center"/>
          </w:tcPr>
          <w:p>
            <w:pPr>
              <w:widowControl w:val="0"/>
              <w:jc w:val="center"/>
            </w:pPr>
            <w:r>
              <w:t>8550</w:t>
            </w:r>
          </w:p>
        </w:tc>
        <w:tc>
          <w:tcPr>
            <w:tcW w:w="2064" w:type="dxa"/>
            <w:vAlign w:val="center"/>
          </w:tcPr>
          <w:p>
            <w:pPr>
              <w:widowControl w:val="0"/>
              <w:jc w:val="center"/>
            </w:pPr>
            <w:r>
              <w:t>6430</w:t>
            </w:r>
          </w:p>
        </w:tc>
      </w:tr>
      <w:tr>
        <w:trPr>
          <w:cantSplit/>
        </w:trPr>
        <w:tc>
          <w:tcPr>
            <w:tcW w:w="977" w:type="dxa"/>
            <w:vAlign w:val="center"/>
          </w:tcPr>
          <w:p>
            <w:pPr>
              <w:widowControl w:val="0"/>
              <w:jc w:val="center"/>
            </w:pPr>
            <w:r>
              <w:t>200</w:t>
            </w:r>
          </w:p>
        </w:tc>
        <w:tc>
          <w:tcPr>
            <w:tcW w:w="977" w:type="dxa"/>
            <w:vAlign w:val="center"/>
          </w:tcPr>
          <w:p>
            <w:pPr>
              <w:widowControl w:val="0"/>
              <w:jc w:val="center"/>
            </w:pPr>
            <w:r>
              <w:t>200</w:t>
            </w:r>
          </w:p>
        </w:tc>
        <w:tc>
          <w:tcPr>
            <w:tcW w:w="978" w:type="dxa"/>
            <w:vAlign w:val="center"/>
          </w:tcPr>
          <w:p>
            <w:pPr>
              <w:widowControl w:val="0"/>
              <w:jc w:val="center"/>
            </w:pPr>
            <w:r>
              <w:t>10</w:t>
            </w:r>
          </w:p>
        </w:tc>
        <w:tc>
          <w:tcPr>
            <w:tcW w:w="1602" w:type="dxa"/>
            <w:vAlign w:val="center"/>
          </w:tcPr>
          <w:p>
            <w:pPr>
              <w:widowControl w:val="0"/>
              <w:jc w:val="center"/>
            </w:pPr>
            <w:r>
              <w:t>90</w:t>
            </w:r>
          </w:p>
        </w:tc>
        <w:tc>
          <w:tcPr>
            <w:tcW w:w="1418" w:type="dxa"/>
            <w:vAlign w:val="center"/>
          </w:tcPr>
          <w:p>
            <w:pPr>
              <w:widowControl w:val="0"/>
              <w:jc w:val="center"/>
            </w:pPr>
            <w:r>
              <w:t>3435</w:t>
            </w:r>
          </w:p>
        </w:tc>
        <w:tc>
          <w:tcPr>
            <w:tcW w:w="992" w:type="dxa"/>
            <w:vAlign w:val="center"/>
          </w:tcPr>
          <w:p>
            <w:pPr>
              <w:widowControl w:val="0"/>
              <w:jc w:val="center"/>
            </w:pPr>
            <w:r>
              <w:t>9900</w:t>
            </w:r>
          </w:p>
        </w:tc>
        <w:tc>
          <w:tcPr>
            <w:tcW w:w="2064" w:type="dxa"/>
            <w:vAlign w:val="center"/>
          </w:tcPr>
          <w:p>
            <w:pPr>
              <w:widowControl w:val="0"/>
              <w:jc w:val="center"/>
            </w:pPr>
            <w:r>
              <w:t>7550</w:t>
            </w:r>
          </w:p>
        </w:tc>
      </w:tr>
      <w:tr>
        <w:trPr>
          <w:cantSplit/>
        </w:trPr>
        <w:tc>
          <w:tcPr>
            <w:tcW w:w="977" w:type="dxa"/>
            <w:vAlign w:val="center"/>
          </w:tcPr>
          <w:p>
            <w:pPr>
              <w:widowControl w:val="0"/>
              <w:jc w:val="center"/>
            </w:pPr>
            <w:r>
              <w:t>200</w:t>
            </w:r>
          </w:p>
        </w:tc>
        <w:tc>
          <w:tcPr>
            <w:tcW w:w="977" w:type="dxa"/>
            <w:vAlign w:val="center"/>
          </w:tcPr>
          <w:p>
            <w:pPr>
              <w:widowControl w:val="0"/>
              <w:jc w:val="center"/>
            </w:pPr>
            <w:r>
              <w:t>200</w:t>
            </w:r>
          </w:p>
        </w:tc>
        <w:tc>
          <w:tcPr>
            <w:tcW w:w="978" w:type="dxa"/>
            <w:vAlign w:val="center"/>
          </w:tcPr>
          <w:p>
            <w:pPr>
              <w:widowControl w:val="0"/>
              <w:jc w:val="center"/>
            </w:pPr>
            <w:r>
              <w:t>12</w:t>
            </w:r>
          </w:p>
        </w:tc>
        <w:tc>
          <w:tcPr>
            <w:tcW w:w="1602" w:type="dxa"/>
            <w:vAlign w:val="center"/>
          </w:tcPr>
          <w:p>
            <w:pPr>
              <w:widowControl w:val="0"/>
              <w:jc w:val="center"/>
            </w:pPr>
            <w:r>
              <w:t>90</w:t>
            </w:r>
          </w:p>
        </w:tc>
        <w:tc>
          <w:tcPr>
            <w:tcW w:w="1418" w:type="dxa"/>
            <w:vAlign w:val="center"/>
          </w:tcPr>
          <w:p>
            <w:pPr>
              <w:widowControl w:val="0"/>
              <w:jc w:val="center"/>
            </w:pPr>
            <w:r>
              <w:t>4040</w:t>
            </w:r>
          </w:p>
        </w:tc>
        <w:tc>
          <w:tcPr>
            <w:tcW w:w="992" w:type="dxa"/>
            <w:vAlign w:val="center"/>
          </w:tcPr>
          <w:p>
            <w:pPr>
              <w:widowControl w:val="0"/>
              <w:jc w:val="center"/>
            </w:pPr>
            <w:r>
              <w:t>10500</w:t>
            </w:r>
          </w:p>
        </w:tc>
        <w:tc>
          <w:tcPr>
            <w:tcW w:w="2064" w:type="dxa"/>
            <w:vAlign w:val="center"/>
          </w:tcPr>
          <w:p>
            <w:pPr>
              <w:widowControl w:val="0"/>
              <w:jc w:val="center"/>
            </w:pPr>
            <w:r>
              <w:t>8830</w:t>
            </w:r>
          </w:p>
        </w:tc>
      </w:tr>
      <w:tr>
        <w:trPr>
          <w:cantSplit/>
        </w:trPr>
        <w:tc>
          <w:tcPr>
            <w:tcW w:w="977" w:type="dxa"/>
            <w:vAlign w:val="center"/>
          </w:tcPr>
          <w:p>
            <w:pPr>
              <w:widowControl w:val="0"/>
              <w:jc w:val="center"/>
            </w:pPr>
            <w:r>
              <w:t>225</w:t>
            </w:r>
          </w:p>
        </w:tc>
        <w:tc>
          <w:tcPr>
            <w:tcW w:w="977" w:type="dxa"/>
            <w:vAlign w:val="center"/>
          </w:tcPr>
          <w:p>
            <w:pPr>
              <w:widowControl w:val="0"/>
              <w:jc w:val="center"/>
            </w:pPr>
            <w:r>
              <w:t>225</w:t>
            </w:r>
          </w:p>
        </w:tc>
        <w:tc>
          <w:tcPr>
            <w:tcW w:w="978" w:type="dxa"/>
            <w:vAlign w:val="center"/>
          </w:tcPr>
          <w:p>
            <w:pPr>
              <w:widowControl w:val="0"/>
              <w:jc w:val="center"/>
            </w:pPr>
            <w:r>
              <w:t>12,5</w:t>
            </w:r>
          </w:p>
        </w:tc>
        <w:tc>
          <w:tcPr>
            <w:tcW w:w="1602" w:type="dxa"/>
            <w:vAlign w:val="center"/>
          </w:tcPr>
          <w:p>
            <w:pPr>
              <w:widowControl w:val="0"/>
              <w:jc w:val="center"/>
            </w:pPr>
            <w:r>
              <w:t>105</w:t>
            </w:r>
          </w:p>
        </w:tc>
        <w:tc>
          <w:tcPr>
            <w:tcW w:w="1418" w:type="dxa"/>
            <w:vAlign w:val="center"/>
          </w:tcPr>
          <w:p>
            <w:pPr>
              <w:widowControl w:val="0"/>
              <w:jc w:val="center"/>
            </w:pPr>
            <w:r>
              <w:t>4880</w:t>
            </w:r>
          </w:p>
        </w:tc>
        <w:tc>
          <w:tcPr>
            <w:tcW w:w="992" w:type="dxa"/>
            <w:vAlign w:val="center"/>
          </w:tcPr>
          <w:p>
            <w:pPr>
              <w:widowControl w:val="0"/>
              <w:jc w:val="center"/>
            </w:pPr>
            <w:r>
              <w:t>12500</w:t>
            </w:r>
          </w:p>
        </w:tc>
        <w:tc>
          <w:tcPr>
            <w:tcW w:w="2064" w:type="dxa"/>
            <w:vAlign w:val="center"/>
          </w:tcPr>
          <w:p>
            <w:pPr>
              <w:widowControl w:val="0"/>
              <w:jc w:val="center"/>
            </w:pPr>
            <w:r>
              <w:t>10300</w:t>
            </w:r>
          </w:p>
        </w:tc>
      </w:tr>
      <w:tr>
        <w:trPr>
          <w:cantSplit/>
        </w:trPr>
        <w:tc>
          <w:tcPr>
            <w:tcW w:w="977" w:type="dxa"/>
            <w:vAlign w:val="center"/>
          </w:tcPr>
          <w:p>
            <w:pPr>
              <w:widowControl w:val="0"/>
              <w:jc w:val="center"/>
            </w:pPr>
            <w:r>
              <w:t>250</w:t>
            </w:r>
          </w:p>
        </w:tc>
        <w:tc>
          <w:tcPr>
            <w:tcW w:w="977" w:type="dxa"/>
            <w:vAlign w:val="center"/>
          </w:tcPr>
          <w:p>
            <w:pPr>
              <w:widowControl w:val="0"/>
              <w:jc w:val="center"/>
            </w:pPr>
            <w:r>
              <w:t>250</w:t>
            </w:r>
          </w:p>
        </w:tc>
        <w:tc>
          <w:tcPr>
            <w:tcW w:w="978" w:type="dxa"/>
            <w:vAlign w:val="center"/>
          </w:tcPr>
          <w:p>
            <w:pPr>
              <w:widowControl w:val="0"/>
              <w:jc w:val="center"/>
            </w:pPr>
            <w:r>
              <w:t>12,5</w:t>
            </w:r>
          </w:p>
        </w:tc>
        <w:tc>
          <w:tcPr>
            <w:tcW w:w="1602" w:type="dxa"/>
            <w:vAlign w:val="center"/>
          </w:tcPr>
          <w:p>
            <w:pPr>
              <w:widowControl w:val="0"/>
              <w:jc w:val="center"/>
            </w:pPr>
            <w:r>
              <w:t>115</w:t>
            </w:r>
          </w:p>
        </w:tc>
        <w:tc>
          <w:tcPr>
            <w:tcW w:w="1418" w:type="dxa"/>
            <w:vAlign w:val="center"/>
          </w:tcPr>
          <w:p>
            <w:pPr>
              <w:widowControl w:val="0"/>
              <w:jc w:val="center"/>
            </w:pPr>
            <w:r>
              <w:t>5450</w:t>
            </w:r>
          </w:p>
        </w:tc>
        <w:tc>
          <w:tcPr>
            <w:tcW w:w="992" w:type="dxa"/>
            <w:vAlign w:val="center"/>
          </w:tcPr>
          <w:p>
            <w:pPr>
              <w:widowControl w:val="0"/>
              <w:jc w:val="center"/>
            </w:pPr>
            <w:r>
              <w:t>–</w:t>
            </w:r>
          </w:p>
        </w:tc>
        <w:tc>
          <w:tcPr>
            <w:tcW w:w="2064" w:type="dxa"/>
            <w:vAlign w:val="center"/>
          </w:tcPr>
          <w:p>
            <w:pPr>
              <w:widowControl w:val="0"/>
              <w:jc w:val="center"/>
            </w:pPr>
            <w:r>
              <w:t>10800</w:t>
            </w:r>
          </w:p>
        </w:tc>
      </w:tr>
    </w:tbl>
    <w:p>
      <w:pPr>
        <w:widowControl w:val="0"/>
        <w:ind w:firstLine="567"/>
        <w:jc w:val="both"/>
      </w:pPr>
    </w:p>
    <w:p>
      <w:pPr>
        <w:widowControl w:val="0"/>
        <w:ind w:firstLine="567"/>
        <w:jc w:val="both"/>
        <w:rPr>
          <w:b/>
        </w:rPr>
      </w:pPr>
      <w:r>
        <w:rPr>
          <w:b/>
        </w:rPr>
        <w:t>27 lentelė. Neizoliuotų šynų ir laidų ilgalaikės leistinosios srovės pataisos koeficientai, klojant juos kitokioje kaip +25 oc oro ir esant kitokiai kaip +70 oc įšilimo temperatūrai</w:t>
      </w:r>
    </w:p>
    <w:p>
      <w:pPr>
        <w:widowControl w:val="0"/>
        <w:ind w:firstLine="567"/>
        <w:jc w:val="both"/>
      </w:pPr>
    </w:p>
    <w:p>
      <w:pPr>
        <w:widowControl w:val="0"/>
        <w:ind w:firstLine="567"/>
        <w:jc w:val="both"/>
      </w:pPr>
      <w:r>
        <w:t>Taikomi 2 priedo 17–26 lentelėse pateiktoms leistinosioms ilgalaikėms įšilimo srovėms.</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1" w:type="dxa"/>
          <w:right w:w="51" w:type="dxa"/>
        </w:tblCellMar>
        <w:tblLook w:val="0000" w:firstRow="0" w:lastRow="0" w:firstColumn="0" w:lastColumn="0" w:noHBand="0" w:noVBand="0"/>
      </w:tblPr>
      <w:tblGrid>
        <w:gridCol w:w="2119"/>
        <w:gridCol w:w="536"/>
        <w:gridCol w:w="535"/>
        <w:gridCol w:w="534"/>
        <w:gridCol w:w="534"/>
        <w:gridCol w:w="536"/>
        <w:gridCol w:w="534"/>
        <w:gridCol w:w="534"/>
        <w:gridCol w:w="534"/>
        <w:gridCol w:w="536"/>
        <w:gridCol w:w="534"/>
        <w:gridCol w:w="534"/>
        <w:gridCol w:w="534"/>
        <w:gridCol w:w="536"/>
      </w:tblGrid>
      <w:tr>
        <w:trPr>
          <w:cantSplit/>
          <w:tblHeader/>
        </w:trPr>
        <w:tc>
          <w:tcPr>
            <w:tcW w:w="2151" w:type="dxa"/>
            <w:vMerge w:val="restart"/>
            <w:vAlign w:val="center"/>
          </w:tcPr>
          <w:p>
            <w:pPr>
              <w:widowControl w:val="0"/>
              <w:jc w:val="center"/>
            </w:pPr>
            <w:r>
              <w:rPr>
                <w:spacing w:val="-2"/>
              </w:rPr>
              <w:t>Aplinkos temperatūra,</w:t>
            </w:r>
            <w:r>
              <w:t xml:space="preserve"> </w:t>
            </w:r>
            <w:r>
              <w:rPr>
                <w:vertAlign w:val="superscript"/>
              </w:rPr>
              <w:t>o</w:t>
            </w:r>
            <w:r>
              <w:t>C</w:t>
            </w:r>
          </w:p>
        </w:tc>
        <w:tc>
          <w:tcPr>
            <w:tcW w:w="7041" w:type="dxa"/>
            <w:gridSpan w:val="13"/>
            <w:vAlign w:val="center"/>
          </w:tcPr>
          <w:p>
            <w:pPr>
              <w:widowControl w:val="0"/>
              <w:jc w:val="center"/>
            </w:pPr>
            <w:r>
              <w:t>Laidininkų įšilimo temperatūra, oc</w:t>
            </w:r>
          </w:p>
        </w:tc>
      </w:tr>
      <w:tr>
        <w:trPr>
          <w:cantSplit/>
          <w:tblHeader/>
        </w:trPr>
        <w:tc>
          <w:tcPr>
            <w:tcW w:w="2151" w:type="dxa"/>
            <w:vMerge/>
            <w:vAlign w:val="center"/>
          </w:tcPr>
          <w:p>
            <w:pPr>
              <w:widowControl w:val="0"/>
              <w:jc w:val="center"/>
            </w:pPr>
          </w:p>
        </w:tc>
        <w:tc>
          <w:tcPr>
            <w:tcW w:w="542" w:type="dxa"/>
            <w:vAlign w:val="center"/>
          </w:tcPr>
          <w:p>
            <w:pPr>
              <w:widowControl w:val="0"/>
              <w:jc w:val="center"/>
            </w:pPr>
            <w:r>
              <w:t>40</w:t>
            </w:r>
          </w:p>
        </w:tc>
        <w:tc>
          <w:tcPr>
            <w:tcW w:w="542" w:type="dxa"/>
            <w:vAlign w:val="center"/>
          </w:tcPr>
          <w:p>
            <w:pPr>
              <w:widowControl w:val="0"/>
              <w:jc w:val="center"/>
            </w:pPr>
            <w:r>
              <w:t>45</w:t>
            </w:r>
          </w:p>
        </w:tc>
        <w:tc>
          <w:tcPr>
            <w:tcW w:w="541" w:type="dxa"/>
            <w:vAlign w:val="center"/>
          </w:tcPr>
          <w:p>
            <w:pPr>
              <w:widowControl w:val="0"/>
              <w:jc w:val="center"/>
            </w:pPr>
            <w:r>
              <w:t>50</w:t>
            </w:r>
          </w:p>
        </w:tc>
        <w:tc>
          <w:tcPr>
            <w:tcW w:w="541" w:type="dxa"/>
            <w:vAlign w:val="center"/>
          </w:tcPr>
          <w:p>
            <w:pPr>
              <w:widowControl w:val="0"/>
              <w:jc w:val="center"/>
            </w:pPr>
            <w:r>
              <w:t>55</w:t>
            </w:r>
          </w:p>
        </w:tc>
        <w:tc>
          <w:tcPr>
            <w:tcW w:w="543" w:type="dxa"/>
            <w:vAlign w:val="center"/>
          </w:tcPr>
          <w:p>
            <w:pPr>
              <w:widowControl w:val="0"/>
              <w:jc w:val="center"/>
            </w:pPr>
            <w:r>
              <w:t>60</w:t>
            </w:r>
          </w:p>
        </w:tc>
        <w:tc>
          <w:tcPr>
            <w:tcW w:w="541" w:type="dxa"/>
            <w:vAlign w:val="center"/>
          </w:tcPr>
          <w:p>
            <w:pPr>
              <w:widowControl w:val="0"/>
              <w:jc w:val="center"/>
            </w:pPr>
            <w:r>
              <w:t>65</w:t>
            </w:r>
          </w:p>
        </w:tc>
        <w:tc>
          <w:tcPr>
            <w:tcW w:w="541" w:type="dxa"/>
            <w:vAlign w:val="center"/>
          </w:tcPr>
          <w:p>
            <w:pPr>
              <w:widowControl w:val="0"/>
              <w:jc w:val="center"/>
            </w:pPr>
            <w:r>
              <w:t>70</w:t>
            </w:r>
          </w:p>
        </w:tc>
        <w:tc>
          <w:tcPr>
            <w:tcW w:w="541" w:type="dxa"/>
            <w:vAlign w:val="center"/>
          </w:tcPr>
          <w:p>
            <w:pPr>
              <w:widowControl w:val="0"/>
              <w:jc w:val="center"/>
            </w:pPr>
            <w:r>
              <w:t>75</w:t>
            </w:r>
          </w:p>
        </w:tc>
        <w:tc>
          <w:tcPr>
            <w:tcW w:w="543" w:type="dxa"/>
            <w:vAlign w:val="center"/>
          </w:tcPr>
          <w:p>
            <w:pPr>
              <w:widowControl w:val="0"/>
              <w:jc w:val="center"/>
            </w:pPr>
            <w:r>
              <w:t>80</w:t>
            </w:r>
          </w:p>
        </w:tc>
        <w:tc>
          <w:tcPr>
            <w:tcW w:w="541" w:type="dxa"/>
            <w:vAlign w:val="center"/>
          </w:tcPr>
          <w:p>
            <w:pPr>
              <w:widowControl w:val="0"/>
              <w:jc w:val="center"/>
            </w:pPr>
            <w:r>
              <w:t>85</w:t>
            </w:r>
          </w:p>
        </w:tc>
        <w:tc>
          <w:tcPr>
            <w:tcW w:w="541" w:type="dxa"/>
            <w:vAlign w:val="center"/>
          </w:tcPr>
          <w:p>
            <w:pPr>
              <w:widowControl w:val="0"/>
              <w:jc w:val="center"/>
            </w:pPr>
            <w:r>
              <w:t>90</w:t>
            </w:r>
          </w:p>
        </w:tc>
        <w:tc>
          <w:tcPr>
            <w:tcW w:w="541" w:type="dxa"/>
            <w:vAlign w:val="center"/>
          </w:tcPr>
          <w:p>
            <w:pPr>
              <w:widowControl w:val="0"/>
              <w:jc w:val="center"/>
            </w:pPr>
            <w:r>
              <w:t>95</w:t>
            </w:r>
          </w:p>
        </w:tc>
        <w:tc>
          <w:tcPr>
            <w:tcW w:w="543" w:type="dxa"/>
            <w:vAlign w:val="center"/>
          </w:tcPr>
          <w:p>
            <w:pPr>
              <w:widowControl w:val="0"/>
              <w:jc w:val="center"/>
            </w:pPr>
            <w:r>
              <w:t>100</w:t>
            </w:r>
          </w:p>
        </w:tc>
      </w:tr>
      <w:tr>
        <w:trPr>
          <w:cantSplit/>
        </w:trPr>
        <w:tc>
          <w:tcPr>
            <w:tcW w:w="2151" w:type="dxa"/>
            <w:vAlign w:val="center"/>
          </w:tcPr>
          <w:p>
            <w:pPr>
              <w:widowControl w:val="0"/>
              <w:jc w:val="center"/>
            </w:pPr>
            <w:r>
              <w:t>0</w:t>
            </w:r>
          </w:p>
        </w:tc>
        <w:tc>
          <w:tcPr>
            <w:tcW w:w="542" w:type="dxa"/>
            <w:vAlign w:val="center"/>
          </w:tcPr>
          <w:p>
            <w:pPr>
              <w:widowControl w:val="0"/>
              <w:jc w:val="center"/>
            </w:pPr>
            <w:r>
              <w:t>–</w:t>
            </w:r>
          </w:p>
        </w:tc>
        <w:tc>
          <w:tcPr>
            <w:tcW w:w="542" w:type="dxa"/>
            <w:vAlign w:val="center"/>
          </w:tcPr>
          <w:p>
            <w:pPr>
              <w:widowControl w:val="0"/>
              <w:jc w:val="center"/>
            </w:pPr>
            <w:r>
              <w:t>–</w:t>
            </w:r>
          </w:p>
        </w:tc>
        <w:tc>
          <w:tcPr>
            <w:tcW w:w="541" w:type="dxa"/>
            <w:vAlign w:val="center"/>
          </w:tcPr>
          <w:p>
            <w:pPr>
              <w:widowControl w:val="0"/>
              <w:jc w:val="center"/>
            </w:pPr>
            <w:r>
              <w:t>0,86</w:t>
            </w:r>
          </w:p>
        </w:tc>
        <w:tc>
          <w:tcPr>
            <w:tcW w:w="541" w:type="dxa"/>
            <w:vAlign w:val="center"/>
          </w:tcPr>
          <w:p>
            <w:pPr>
              <w:widowControl w:val="0"/>
              <w:jc w:val="center"/>
            </w:pPr>
            <w:r>
              <w:t>0,92</w:t>
            </w:r>
          </w:p>
        </w:tc>
        <w:tc>
          <w:tcPr>
            <w:tcW w:w="543" w:type="dxa"/>
            <w:vAlign w:val="center"/>
          </w:tcPr>
          <w:p>
            <w:pPr>
              <w:widowControl w:val="0"/>
              <w:jc w:val="center"/>
            </w:pPr>
            <w:r>
              <w:t>0,96</w:t>
            </w:r>
          </w:p>
        </w:tc>
        <w:tc>
          <w:tcPr>
            <w:tcW w:w="541" w:type="dxa"/>
            <w:vAlign w:val="center"/>
          </w:tcPr>
          <w:p>
            <w:pPr>
              <w:widowControl w:val="0"/>
              <w:jc w:val="center"/>
            </w:pPr>
            <w:r>
              <w:t>1,01</w:t>
            </w:r>
          </w:p>
        </w:tc>
        <w:tc>
          <w:tcPr>
            <w:tcW w:w="541" w:type="dxa"/>
            <w:vAlign w:val="center"/>
          </w:tcPr>
          <w:p>
            <w:pPr>
              <w:widowControl w:val="0"/>
              <w:jc w:val="center"/>
            </w:pPr>
            <w:r>
              <w:t>1,03</w:t>
            </w:r>
          </w:p>
        </w:tc>
        <w:tc>
          <w:tcPr>
            <w:tcW w:w="541" w:type="dxa"/>
            <w:vAlign w:val="center"/>
          </w:tcPr>
          <w:p>
            <w:pPr>
              <w:widowControl w:val="0"/>
              <w:jc w:val="center"/>
            </w:pPr>
            <w:r>
              <w:t>1,06</w:t>
            </w:r>
          </w:p>
        </w:tc>
        <w:tc>
          <w:tcPr>
            <w:tcW w:w="543" w:type="dxa"/>
            <w:vAlign w:val="center"/>
          </w:tcPr>
          <w:p>
            <w:pPr>
              <w:widowControl w:val="0"/>
              <w:jc w:val="center"/>
            </w:pPr>
            <w:r>
              <w:t>1,1</w:t>
            </w:r>
          </w:p>
        </w:tc>
        <w:tc>
          <w:tcPr>
            <w:tcW w:w="541" w:type="dxa"/>
            <w:vAlign w:val="center"/>
          </w:tcPr>
          <w:p>
            <w:pPr>
              <w:widowControl w:val="0"/>
              <w:jc w:val="center"/>
            </w:pPr>
            <w:r>
              <w:t>1,1</w:t>
            </w:r>
          </w:p>
        </w:tc>
        <w:tc>
          <w:tcPr>
            <w:tcW w:w="541" w:type="dxa"/>
            <w:vAlign w:val="center"/>
          </w:tcPr>
          <w:p>
            <w:pPr>
              <w:widowControl w:val="0"/>
              <w:jc w:val="center"/>
            </w:pPr>
            <w:r>
              <w:t>1,14</w:t>
            </w:r>
          </w:p>
        </w:tc>
        <w:tc>
          <w:tcPr>
            <w:tcW w:w="541" w:type="dxa"/>
            <w:vAlign w:val="center"/>
          </w:tcPr>
          <w:p>
            <w:pPr>
              <w:widowControl w:val="0"/>
              <w:jc w:val="center"/>
            </w:pPr>
            <w:r>
              <w:t>1,17</w:t>
            </w:r>
          </w:p>
        </w:tc>
        <w:tc>
          <w:tcPr>
            <w:tcW w:w="543" w:type="dxa"/>
            <w:vAlign w:val="center"/>
          </w:tcPr>
          <w:p>
            <w:pPr>
              <w:widowControl w:val="0"/>
              <w:jc w:val="center"/>
            </w:pPr>
            <w:r>
              <w:t>1,19</w:t>
            </w:r>
          </w:p>
        </w:tc>
      </w:tr>
      <w:tr>
        <w:trPr>
          <w:cantSplit/>
        </w:trPr>
        <w:tc>
          <w:tcPr>
            <w:tcW w:w="2151" w:type="dxa"/>
            <w:vAlign w:val="center"/>
          </w:tcPr>
          <w:p>
            <w:pPr>
              <w:widowControl w:val="0"/>
              <w:jc w:val="center"/>
            </w:pPr>
            <w:r>
              <w:t>5</w:t>
            </w:r>
          </w:p>
        </w:tc>
        <w:tc>
          <w:tcPr>
            <w:tcW w:w="542" w:type="dxa"/>
            <w:vAlign w:val="center"/>
          </w:tcPr>
          <w:p>
            <w:pPr>
              <w:widowControl w:val="0"/>
              <w:jc w:val="center"/>
            </w:pPr>
            <w:r>
              <w:t>–</w:t>
            </w:r>
          </w:p>
        </w:tc>
        <w:tc>
          <w:tcPr>
            <w:tcW w:w="542" w:type="dxa"/>
            <w:vAlign w:val="center"/>
          </w:tcPr>
          <w:p>
            <w:pPr>
              <w:widowControl w:val="0"/>
              <w:jc w:val="center"/>
            </w:pPr>
            <w:r>
              <w:t>–</w:t>
            </w:r>
          </w:p>
        </w:tc>
        <w:tc>
          <w:tcPr>
            <w:tcW w:w="541" w:type="dxa"/>
            <w:vAlign w:val="center"/>
          </w:tcPr>
          <w:p>
            <w:pPr>
              <w:widowControl w:val="0"/>
              <w:jc w:val="center"/>
            </w:pPr>
            <w:r>
              <w:t>0,81</w:t>
            </w:r>
          </w:p>
        </w:tc>
        <w:tc>
          <w:tcPr>
            <w:tcW w:w="541" w:type="dxa"/>
            <w:vAlign w:val="center"/>
          </w:tcPr>
          <w:p>
            <w:pPr>
              <w:widowControl w:val="0"/>
              <w:jc w:val="center"/>
            </w:pPr>
            <w:r>
              <w:t>0,87</w:t>
            </w:r>
          </w:p>
        </w:tc>
        <w:tc>
          <w:tcPr>
            <w:tcW w:w="543" w:type="dxa"/>
            <w:vAlign w:val="center"/>
          </w:tcPr>
          <w:p>
            <w:pPr>
              <w:widowControl w:val="0"/>
              <w:jc w:val="center"/>
            </w:pPr>
            <w:r>
              <w:t>0,9</w:t>
            </w:r>
          </w:p>
        </w:tc>
        <w:tc>
          <w:tcPr>
            <w:tcW w:w="541" w:type="dxa"/>
            <w:vAlign w:val="center"/>
          </w:tcPr>
          <w:p>
            <w:pPr>
              <w:widowControl w:val="0"/>
              <w:jc w:val="center"/>
            </w:pPr>
            <w:r>
              <w:t>0,96</w:t>
            </w:r>
          </w:p>
        </w:tc>
        <w:tc>
          <w:tcPr>
            <w:tcW w:w="541" w:type="dxa"/>
            <w:vAlign w:val="center"/>
          </w:tcPr>
          <w:p>
            <w:pPr>
              <w:widowControl w:val="0"/>
              <w:jc w:val="center"/>
            </w:pPr>
            <w:r>
              <w:t>0,99</w:t>
            </w:r>
          </w:p>
        </w:tc>
        <w:tc>
          <w:tcPr>
            <w:tcW w:w="541" w:type="dxa"/>
            <w:vAlign w:val="center"/>
          </w:tcPr>
          <w:p>
            <w:pPr>
              <w:widowControl w:val="0"/>
              <w:jc w:val="center"/>
            </w:pPr>
            <w:r>
              <w:t>1,0</w:t>
            </w:r>
          </w:p>
        </w:tc>
        <w:tc>
          <w:tcPr>
            <w:tcW w:w="543" w:type="dxa"/>
            <w:vAlign w:val="center"/>
          </w:tcPr>
          <w:p>
            <w:pPr>
              <w:widowControl w:val="0"/>
              <w:jc w:val="center"/>
            </w:pPr>
            <w:r>
              <w:t>1,04</w:t>
            </w:r>
          </w:p>
        </w:tc>
        <w:tc>
          <w:tcPr>
            <w:tcW w:w="541" w:type="dxa"/>
            <w:vAlign w:val="center"/>
          </w:tcPr>
          <w:p>
            <w:pPr>
              <w:widowControl w:val="0"/>
              <w:jc w:val="center"/>
            </w:pPr>
            <w:r>
              <w:t>1,07</w:t>
            </w:r>
          </w:p>
        </w:tc>
        <w:tc>
          <w:tcPr>
            <w:tcW w:w="541" w:type="dxa"/>
            <w:vAlign w:val="center"/>
          </w:tcPr>
          <w:p>
            <w:pPr>
              <w:widowControl w:val="0"/>
              <w:jc w:val="center"/>
            </w:pPr>
            <w:r>
              <w:t>1,1</w:t>
            </w:r>
          </w:p>
        </w:tc>
        <w:tc>
          <w:tcPr>
            <w:tcW w:w="541" w:type="dxa"/>
            <w:vAlign w:val="center"/>
          </w:tcPr>
          <w:p>
            <w:pPr>
              <w:widowControl w:val="0"/>
              <w:jc w:val="center"/>
            </w:pPr>
            <w:r>
              <w:t>1,13</w:t>
            </w:r>
          </w:p>
        </w:tc>
        <w:tc>
          <w:tcPr>
            <w:tcW w:w="543" w:type="dxa"/>
            <w:vAlign w:val="center"/>
          </w:tcPr>
          <w:p>
            <w:pPr>
              <w:widowControl w:val="0"/>
              <w:jc w:val="center"/>
            </w:pPr>
            <w:r>
              <w:t>1,15</w:t>
            </w:r>
          </w:p>
        </w:tc>
      </w:tr>
      <w:tr>
        <w:trPr>
          <w:cantSplit/>
        </w:trPr>
        <w:tc>
          <w:tcPr>
            <w:tcW w:w="2151" w:type="dxa"/>
            <w:vAlign w:val="center"/>
          </w:tcPr>
          <w:p>
            <w:pPr>
              <w:widowControl w:val="0"/>
              <w:jc w:val="center"/>
            </w:pPr>
            <w:r>
              <w:t>10</w:t>
            </w:r>
          </w:p>
        </w:tc>
        <w:tc>
          <w:tcPr>
            <w:tcW w:w="542" w:type="dxa"/>
            <w:vAlign w:val="center"/>
          </w:tcPr>
          <w:p>
            <w:pPr>
              <w:widowControl w:val="0"/>
              <w:jc w:val="center"/>
            </w:pPr>
            <w:r>
              <w:t>–</w:t>
            </w:r>
          </w:p>
        </w:tc>
        <w:tc>
          <w:tcPr>
            <w:tcW w:w="542" w:type="dxa"/>
            <w:vAlign w:val="center"/>
          </w:tcPr>
          <w:p>
            <w:pPr>
              <w:widowControl w:val="0"/>
              <w:jc w:val="center"/>
            </w:pPr>
            <w:r>
              <w:t>–</w:t>
            </w:r>
          </w:p>
        </w:tc>
        <w:tc>
          <w:tcPr>
            <w:tcW w:w="541" w:type="dxa"/>
            <w:vAlign w:val="center"/>
          </w:tcPr>
          <w:p>
            <w:pPr>
              <w:widowControl w:val="0"/>
              <w:jc w:val="center"/>
            </w:pPr>
            <w:r>
              <w:t>0,75</w:t>
            </w:r>
          </w:p>
        </w:tc>
        <w:tc>
          <w:tcPr>
            <w:tcW w:w="541" w:type="dxa"/>
            <w:vAlign w:val="center"/>
          </w:tcPr>
          <w:p>
            <w:pPr>
              <w:widowControl w:val="0"/>
              <w:jc w:val="center"/>
            </w:pPr>
            <w:r>
              <w:t>0,81</w:t>
            </w:r>
          </w:p>
        </w:tc>
        <w:tc>
          <w:tcPr>
            <w:tcW w:w="543" w:type="dxa"/>
            <w:vAlign w:val="center"/>
          </w:tcPr>
          <w:p>
            <w:pPr>
              <w:widowControl w:val="0"/>
              <w:jc w:val="center"/>
            </w:pPr>
            <w:r>
              <w:t>0,84</w:t>
            </w:r>
          </w:p>
        </w:tc>
        <w:tc>
          <w:tcPr>
            <w:tcW w:w="541" w:type="dxa"/>
            <w:vAlign w:val="center"/>
          </w:tcPr>
          <w:p>
            <w:pPr>
              <w:widowControl w:val="0"/>
              <w:jc w:val="center"/>
            </w:pPr>
            <w:r>
              <w:t>0,91</w:t>
            </w:r>
          </w:p>
        </w:tc>
        <w:tc>
          <w:tcPr>
            <w:tcW w:w="541" w:type="dxa"/>
            <w:vAlign w:val="center"/>
          </w:tcPr>
          <w:p>
            <w:pPr>
              <w:widowControl w:val="0"/>
              <w:jc w:val="center"/>
            </w:pPr>
            <w:r>
              <w:t>0,94</w:t>
            </w:r>
          </w:p>
        </w:tc>
        <w:tc>
          <w:tcPr>
            <w:tcW w:w="541" w:type="dxa"/>
            <w:vAlign w:val="center"/>
          </w:tcPr>
          <w:p>
            <w:pPr>
              <w:widowControl w:val="0"/>
              <w:jc w:val="center"/>
            </w:pPr>
            <w:r>
              <w:t>0,95</w:t>
            </w:r>
          </w:p>
        </w:tc>
        <w:tc>
          <w:tcPr>
            <w:tcW w:w="543" w:type="dxa"/>
            <w:vAlign w:val="center"/>
          </w:tcPr>
          <w:p>
            <w:pPr>
              <w:widowControl w:val="0"/>
              <w:jc w:val="center"/>
            </w:pPr>
            <w:r>
              <w:t>1,0</w:t>
            </w:r>
          </w:p>
        </w:tc>
        <w:tc>
          <w:tcPr>
            <w:tcW w:w="541" w:type="dxa"/>
            <w:vAlign w:val="center"/>
          </w:tcPr>
          <w:p>
            <w:pPr>
              <w:widowControl w:val="0"/>
              <w:jc w:val="center"/>
            </w:pPr>
            <w:r>
              <w:t>1,02</w:t>
            </w:r>
          </w:p>
        </w:tc>
        <w:tc>
          <w:tcPr>
            <w:tcW w:w="541" w:type="dxa"/>
            <w:vAlign w:val="center"/>
          </w:tcPr>
          <w:p>
            <w:pPr>
              <w:widowControl w:val="0"/>
              <w:jc w:val="center"/>
            </w:pPr>
            <w:r>
              <w:t>1,06</w:t>
            </w:r>
          </w:p>
        </w:tc>
        <w:tc>
          <w:tcPr>
            <w:tcW w:w="541" w:type="dxa"/>
            <w:vAlign w:val="center"/>
          </w:tcPr>
          <w:p>
            <w:pPr>
              <w:widowControl w:val="0"/>
              <w:jc w:val="center"/>
            </w:pPr>
            <w:r>
              <w:t>1,1</w:t>
            </w:r>
          </w:p>
        </w:tc>
        <w:tc>
          <w:tcPr>
            <w:tcW w:w="543" w:type="dxa"/>
            <w:vAlign w:val="center"/>
          </w:tcPr>
          <w:p>
            <w:pPr>
              <w:widowControl w:val="0"/>
              <w:jc w:val="center"/>
            </w:pPr>
            <w:r>
              <w:t>1,12</w:t>
            </w:r>
          </w:p>
        </w:tc>
      </w:tr>
      <w:tr>
        <w:trPr>
          <w:cantSplit/>
        </w:trPr>
        <w:tc>
          <w:tcPr>
            <w:tcW w:w="2151" w:type="dxa"/>
            <w:tcBorders>
              <w:bottom w:val="single" w:sz="2" w:space="0" w:color="auto"/>
            </w:tcBorders>
            <w:vAlign w:val="center"/>
          </w:tcPr>
          <w:p>
            <w:pPr>
              <w:widowControl w:val="0"/>
              <w:jc w:val="center"/>
            </w:pPr>
            <w:r>
              <w:t>15</w:t>
            </w:r>
          </w:p>
        </w:tc>
        <w:tc>
          <w:tcPr>
            <w:tcW w:w="542" w:type="dxa"/>
            <w:tcBorders>
              <w:bottom w:val="single" w:sz="2" w:space="0" w:color="auto"/>
            </w:tcBorders>
            <w:vAlign w:val="center"/>
          </w:tcPr>
          <w:p>
            <w:pPr>
              <w:widowControl w:val="0"/>
              <w:jc w:val="center"/>
            </w:pPr>
            <w:r>
              <w:t>–</w:t>
            </w:r>
          </w:p>
        </w:tc>
        <w:tc>
          <w:tcPr>
            <w:tcW w:w="542" w:type="dxa"/>
            <w:tcBorders>
              <w:bottom w:val="single" w:sz="2" w:space="0" w:color="auto"/>
            </w:tcBorders>
            <w:vAlign w:val="center"/>
          </w:tcPr>
          <w:p>
            <w:pPr>
              <w:widowControl w:val="0"/>
              <w:jc w:val="center"/>
            </w:pPr>
            <w:r>
              <w:t>–</w:t>
            </w:r>
          </w:p>
        </w:tc>
        <w:tc>
          <w:tcPr>
            <w:tcW w:w="541" w:type="dxa"/>
            <w:tcBorders>
              <w:bottom w:val="single" w:sz="2" w:space="0" w:color="auto"/>
            </w:tcBorders>
            <w:vAlign w:val="center"/>
          </w:tcPr>
          <w:p>
            <w:pPr>
              <w:widowControl w:val="0"/>
              <w:jc w:val="center"/>
            </w:pPr>
            <w:r>
              <w:t>0,7</w:t>
            </w:r>
          </w:p>
        </w:tc>
        <w:tc>
          <w:tcPr>
            <w:tcW w:w="541" w:type="dxa"/>
            <w:tcBorders>
              <w:bottom w:val="single" w:sz="2" w:space="0" w:color="auto"/>
            </w:tcBorders>
            <w:vAlign w:val="center"/>
          </w:tcPr>
          <w:p>
            <w:pPr>
              <w:widowControl w:val="0"/>
              <w:jc w:val="center"/>
            </w:pPr>
            <w:r>
              <w:t>0,77</w:t>
            </w:r>
          </w:p>
        </w:tc>
        <w:tc>
          <w:tcPr>
            <w:tcW w:w="543" w:type="dxa"/>
            <w:tcBorders>
              <w:bottom w:val="single" w:sz="2" w:space="0" w:color="auto"/>
            </w:tcBorders>
            <w:vAlign w:val="center"/>
          </w:tcPr>
          <w:p>
            <w:pPr>
              <w:widowControl w:val="0"/>
              <w:jc w:val="center"/>
            </w:pPr>
            <w:r>
              <w:t>0,8</w:t>
            </w:r>
          </w:p>
        </w:tc>
        <w:tc>
          <w:tcPr>
            <w:tcW w:w="541" w:type="dxa"/>
            <w:tcBorders>
              <w:bottom w:val="single" w:sz="2" w:space="0" w:color="auto"/>
            </w:tcBorders>
            <w:vAlign w:val="center"/>
          </w:tcPr>
          <w:p>
            <w:pPr>
              <w:widowControl w:val="0"/>
              <w:jc w:val="center"/>
            </w:pPr>
            <w:r>
              <w:t>0,85</w:t>
            </w:r>
          </w:p>
        </w:tc>
        <w:tc>
          <w:tcPr>
            <w:tcW w:w="541" w:type="dxa"/>
            <w:tcBorders>
              <w:bottom w:val="single" w:sz="2" w:space="0" w:color="auto"/>
            </w:tcBorders>
            <w:vAlign w:val="center"/>
          </w:tcPr>
          <w:p>
            <w:pPr>
              <w:widowControl w:val="0"/>
              <w:jc w:val="center"/>
            </w:pPr>
            <w:r>
              <w:t>0,9</w:t>
            </w:r>
          </w:p>
        </w:tc>
        <w:tc>
          <w:tcPr>
            <w:tcW w:w="541" w:type="dxa"/>
            <w:tcBorders>
              <w:bottom w:val="single" w:sz="2" w:space="0" w:color="auto"/>
            </w:tcBorders>
            <w:vAlign w:val="center"/>
          </w:tcPr>
          <w:p>
            <w:pPr>
              <w:widowControl w:val="0"/>
              <w:jc w:val="center"/>
            </w:pPr>
            <w:r>
              <w:t>0,92</w:t>
            </w:r>
          </w:p>
        </w:tc>
        <w:tc>
          <w:tcPr>
            <w:tcW w:w="543" w:type="dxa"/>
            <w:tcBorders>
              <w:bottom w:val="single" w:sz="2" w:space="0" w:color="auto"/>
            </w:tcBorders>
            <w:vAlign w:val="center"/>
          </w:tcPr>
          <w:p>
            <w:pPr>
              <w:widowControl w:val="0"/>
              <w:jc w:val="center"/>
            </w:pPr>
            <w:r>
              <w:t>0,95</w:t>
            </w:r>
          </w:p>
        </w:tc>
        <w:tc>
          <w:tcPr>
            <w:tcW w:w="541" w:type="dxa"/>
            <w:tcBorders>
              <w:bottom w:val="single" w:sz="2" w:space="0" w:color="auto"/>
            </w:tcBorders>
            <w:vAlign w:val="center"/>
          </w:tcPr>
          <w:p>
            <w:pPr>
              <w:widowControl w:val="0"/>
              <w:jc w:val="center"/>
            </w:pPr>
            <w:r>
              <w:t>0,99</w:t>
            </w:r>
          </w:p>
        </w:tc>
        <w:tc>
          <w:tcPr>
            <w:tcW w:w="541" w:type="dxa"/>
            <w:tcBorders>
              <w:bottom w:val="single" w:sz="2" w:space="0" w:color="auto"/>
            </w:tcBorders>
            <w:vAlign w:val="center"/>
          </w:tcPr>
          <w:p>
            <w:pPr>
              <w:widowControl w:val="0"/>
              <w:jc w:val="center"/>
            </w:pPr>
            <w:r>
              <w:t>1,02</w:t>
            </w:r>
          </w:p>
        </w:tc>
        <w:tc>
          <w:tcPr>
            <w:tcW w:w="541" w:type="dxa"/>
            <w:tcBorders>
              <w:bottom w:val="single" w:sz="2" w:space="0" w:color="auto"/>
            </w:tcBorders>
            <w:vAlign w:val="center"/>
          </w:tcPr>
          <w:p>
            <w:pPr>
              <w:widowControl w:val="0"/>
              <w:jc w:val="center"/>
            </w:pPr>
            <w:r>
              <w:t>1,05</w:t>
            </w:r>
          </w:p>
        </w:tc>
        <w:tc>
          <w:tcPr>
            <w:tcW w:w="543" w:type="dxa"/>
            <w:tcBorders>
              <w:bottom w:val="single" w:sz="2" w:space="0" w:color="auto"/>
            </w:tcBorders>
            <w:vAlign w:val="center"/>
          </w:tcPr>
          <w:p>
            <w:pPr>
              <w:widowControl w:val="0"/>
              <w:jc w:val="center"/>
            </w:pPr>
            <w:r>
              <w:t>1,08</w:t>
            </w:r>
          </w:p>
        </w:tc>
      </w:tr>
      <w:tr>
        <w:trPr>
          <w:cantSplit/>
        </w:trPr>
        <w:tc>
          <w:tcPr>
            <w:tcW w:w="2151" w:type="dxa"/>
            <w:tcBorders>
              <w:bottom w:val="single" w:sz="2" w:space="0" w:color="auto"/>
            </w:tcBorders>
            <w:vAlign w:val="center"/>
          </w:tcPr>
          <w:p>
            <w:pPr>
              <w:widowControl w:val="0"/>
              <w:jc w:val="center"/>
            </w:pPr>
            <w:r>
              <w:t>20</w:t>
            </w:r>
          </w:p>
        </w:tc>
        <w:tc>
          <w:tcPr>
            <w:tcW w:w="542" w:type="dxa"/>
            <w:tcBorders>
              <w:bottom w:val="single" w:sz="2" w:space="0" w:color="auto"/>
            </w:tcBorders>
            <w:vAlign w:val="center"/>
          </w:tcPr>
          <w:p>
            <w:pPr>
              <w:widowControl w:val="0"/>
              <w:jc w:val="center"/>
            </w:pPr>
            <w:r>
              <w:t>–</w:t>
            </w:r>
          </w:p>
        </w:tc>
        <w:tc>
          <w:tcPr>
            <w:tcW w:w="542" w:type="dxa"/>
            <w:tcBorders>
              <w:bottom w:val="single" w:sz="2" w:space="0" w:color="auto"/>
            </w:tcBorders>
            <w:vAlign w:val="center"/>
          </w:tcPr>
          <w:p>
            <w:pPr>
              <w:widowControl w:val="0"/>
              <w:jc w:val="center"/>
            </w:pPr>
            <w:r>
              <w:t>–</w:t>
            </w:r>
          </w:p>
        </w:tc>
        <w:tc>
          <w:tcPr>
            <w:tcW w:w="541" w:type="dxa"/>
            <w:tcBorders>
              <w:bottom w:val="single" w:sz="2" w:space="0" w:color="auto"/>
            </w:tcBorders>
            <w:vAlign w:val="center"/>
          </w:tcPr>
          <w:p>
            <w:pPr>
              <w:widowControl w:val="0"/>
              <w:jc w:val="center"/>
            </w:pPr>
            <w:r>
              <w:t>0,64</w:t>
            </w:r>
          </w:p>
        </w:tc>
        <w:tc>
          <w:tcPr>
            <w:tcW w:w="541" w:type="dxa"/>
            <w:tcBorders>
              <w:bottom w:val="single" w:sz="2" w:space="0" w:color="auto"/>
            </w:tcBorders>
            <w:vAlign w:val="center"/>
          </w:tcPr>
          <w:p>
            <w:pPr>
              <w:widowControl w:val="0"/>
              <w:jc w:val="center"/>
            </w:pPr>
            <w:r>
              <w:t>0,69</w:t>
            </w:r>
          </w:p>
        </w:tc>
        <w:tc>
          <w:tcPr>
            <w:tcW w:w="543" w:type="dxa"/>
            <w:tcBorders>
              <w:bottom w:val="single" w:sz="2" w:space="0" w:color="auto"/>
            </w:tcBorders>
            <w:vAlign w:val="center"/>
          </w:tcPr>
          <w:p>
            <w:pPr>
              <w:widowControl w:val="0"/>
              <w:jc w:val="center"/>
            </w:pPr>
            <w:r>
              <w:t>0,74</w:t>
            </w:r>
          </w:p>
        </w:tc>
        <w:tc>
          <w:tcPr>
            <w:tcW w:w="541" w:type="dxa"/>
            <w:tcBorders>
              <w:bottom w:val="single" w:sz="2" w:space="0" w:color="auto"/>
            </w:tcBorders>
            <w:vAlign w:val="center"/>
          </w:tcPr>
          <w:p>
            <w:pPr>
              <w:widowControl w:val="0"/>
              <w:jc w:val="center"/>
            </w:pPr>
            <w:r>
              <w:t>0,81</w:t>
            </w:r>
          </w:p>
        </w:tc>
        <w:tc>
          <w:tcPr>
            <w:tcW w:w="541" w:type="dxa"/>
            <w:tcBorders>
              <w:bottom w:val="single" w:sz="2" w:space="0" w:color="auto"/>
            </w:tcBorders>
            <w:vAlign w:val="center"/>
          </w:tcPr>
          <w:p>
            <w:pPr>
              <w:widowControl w:val="0"/>
              <w:jc w:val="center"/>
            </w:pPr>
            <w:r>
              <w:t>0,84</w:t>
            </w:r>
          </w:p>
        </w:tc>
        <w:tc>
          <w:tcPr>
            <w:tcW w:w="541" w:type="dxa"/>
            <w:tcBorders>
              <w:bottom w:val="single" w:sz="2" w:space="0" w:color="auto"/>
            </w:tcBorders>
            <w:vAlign w:val="center"/>
          </w:tcPr>
          <w:p>
            <w:pPr>
              <w:widowControl w:val="0"/>
              <w:jc w:val="center"/>
            </w:pPr>
            <w:r>
              <w:t>0,87</w:t>
            </w:r>
          </w:p>
        </w:tc>
        <w:tc>
          <w:tcPr>
            <w:tcW w:w="543" w:type="dxa"/>
            <w:tcBorders>
              <w:bottom w:val="single" w:sz="2" w:space="0" w:color="auto"/>
            </w:tcBorders>
            <w:vAlign w:val="center"/>
          </w:tcPr>
          <w:p>
            <w:pPr>
              <w:widowControl w:val="0"/>
              <w:jc w:val="center"/>
            </w:pPr>
            <w:r>
              <w:t>0,9</w:t>
            </w:r>
          </w:p>
        </w:tc>
        <w:tc>
          <w:tcPr>
            <w:tcW w:w="541" w:type="dxa"/>
            <w:tcBorders>
              <w:bottom w:val="single" w:sz="2" w:space="0" w:color="auto"/>
            </w:tcBorders>
            <w:vAlign w:val="center"/>
          </w:tcPr>
          <w:p>
            <w:pPr>
              <w:widowControl w:val="0"/>
              <w:jc w:val="center"/>
            </w:pPr>
            <w:r>
              <w:t>0,94</w:t>
            </w:r>
          </w:p>
        </w:tc>
        <w:tc>
          <w:tcPr>
            <w:tcW w:w="541" w:type="dxa"/>
            <w:tcBorders>
              <w:bottom w:val="single" w:sz="2" w:space="0" w:color="auto"/>
            </w:tcBorders>
            <w:vAlign w:val="center"/>
          </w:tcPr>
          <w:p>
            <w:pPr>
              <w:widowControl w:val="0"/>
              <w:jc w:val="center"/>
            </w:pPr>
            <w:r>
              <w:t>0,8</w:t>
            </w:r>
          </w:p>
        </w:tc>
        <w:tc>
          <w:tcPr>
            <w:tcW w:w="541" w:type="dxa"/>
            <w:tcBorders>
              <w:bottom w:val="single" w:sz="2" w:space="0" w:color="auto"/>
            </w:tcBorders>
            <w:vAlign w:val="center"/>
          </w:tcPr>
          <w:p>
            <w:pPr>
              <w:widowControl w:val="0"/>
              <w:jc w:val="center"/>
            </w:pPr>
            <w:r>
              <w:t>1,01</w:t>
            </w:r>
          </w:p>
        </w:tc>
        <w:tc>
          <w:tcPr>
            <w:tcW w:w="543" w:type="dxa"/>
            <w:tcBorders>
              <w:bottom w:val="single" w:sz="2" w:space="0" w:color="auto"/>
            </w:tcBorders>
            <w:vAlign w:val="center"/>
          </w:tcPr>
          <w:p>
            <w:pPr>
              <w:widowControl w:val="0"/>
              <w:jc w:val="center"/>
            </w:pPr>
            <w:r>
              <w:t>1,04</w:t>
            </w:r>
          </w:p>
        </w:tc>
      </w:tr>
      <w:tr>
        <w:trPr>
          <w:cantSplit/>
        </w:trPr>
        <w:tc>
          <w:tcPr>
            <w:tcW w:w="2151" w:type="dxa"/>
            <w:vAlign w:val="center"/>
          </w:tcPr>
          <w:p>
            <w:pPr>
              <w:widowControl w:val="0"/>
              <w:jc w:val="center"/>
            </w:pPr>
            <w:r>
              <w:t>25</w:t>
            </w:r>
          </w:p>
        </w:tc>
        <w:tc>
          <w:tcPr>
            <w:tcW w:w="542" w:type="dxa"/>
            <w:vAlign w:val="center"/>
          </w:tcPr>
          <w:p>
            <w:pPr>
              <w:widowControl w:val="0"/>
              <w:jc w:val="center"/>
            </w:pPr>
            <w:r>
              <w:t>0,45</w:t>
            </w:r>
          </w:p>
        </w:tc>
        <w:tc>
          <w:tcPr>
            <w:tcW w:w="542" w:type="dxa"/>
            <w:vAlign w:val="center"/>
          </w:tcPr>
          <w:p>
            <w:pPr>
              <w:widowControl w:val="0"/>
              <w:jc w:val="center"/>
            </w:pPr>
            <w:r>
              <w:t>0,52</w:t>
            </w:r>
          </w:p>
        </w:tc>
        <w:tc>
          <w:tcPr>
            <w:tcW w:w="541" w:type="dxa"/>
            <w:vAlign w:val="center"/>
          </w:tcPr>
          <w:p>
            <w:pPr>
              <w:widowControl w:val="0"/>
              <w:jc w:val="center"/>
            </w:pPr>
            <w:r>
              <w:t>0,58</w:t>
            </w:r>
          </w:p>
        </w:tc>
        <w:tc>
          <w:tcPr>
            <w:tcW w:w="541" w:type="dxa"/>
            <w:vAlign w:val="center"/>
          </w:tcPr>
          <w:p>
            <w:pPr>
              <w:widowControl w:val="0"/>
              <w:jc w:val="center"/>
            </w:pPr>
            <w:r>
              <w:t>0,63</w:t>
            </w:r>
          </w:p>
        </w:tc>
        <w:tc>
          <w:tcPr>
            <w:tcW w:w="543" w:type="dxa"/>
            <w:vAlign w:val="center"/>
          </w:tcPr>
          <w:p>
            <w:pPr>
              <w:widowControl w:val="0"/>
              <w:jc w:val="center"/>
            </w:pPr>
            <w:r>
              <w:t>0,68</w:t>
            </w:r>
          </w:p>
        </w:tc>
        <w:tc>
          <w:tcPr>
            <w:tcW w:w="541" w:type="dxa"/>
            <w:vAlign w:val="center"/>
          </w:tcPr>
          <w:p>
            <w:pPr>
              <w:widowControl w:val="0"/>
              <w:jc w:val="center"/>
            </w:pPr>
            <w:r>
              <w:t>0,73</w:t>
            </w:r>
          </w:p>
        </w:tc>
        <w:tc>
          <w:tcPr>
            <w:tcW w:w="541" w:type="dxa"/>
            <w:vAlign w:val="center"/>
          </w:tcPr>
          <w:p>
            <w:pPr>
              <w:widowControl w:val="0"/>
              <w:jc w:val="center"/>
            </w:pPr>
            <w:r>
              <w:t>0,78</w:t>
            </w:r>
          </w:p>
        </w:tc>
        <w:tc>
          <w:tcPr>
            <w:tcW w:w="541" w:type="dxa"/>
            <w:vAlign w:val="center"/>
          </w:tcPr>
          <w:p>
            <w:pPr>
              <w:widowControl w:val="0"/>
              <w:jc w:val="center"/>
            </w:pPr>
            <w:r>
              <w:t>0,82</w:t>
            </w:r>
          </w:p>
        </w:tc>
        <w:tc>
          <w:tcPr>
            <w:tcW w:w="543" w:type="dxa"/>
            <w:vAlign w:val="center"/>
          </w:tcPr>
          <w:p>
            <w:pPr>
              <w:widowControl w:val="0"/>
              <w:jc w:val="center"/>
            </w:pPr>
            <w:r>
              <w:t>0,86</w:t>
            </w:r>
          </w:p>
        </w:tc>
        <w:tc>
          <w:tcPr>
            <w:tcW w:w="541" w:type="dxa"/>
            <w:vAlign w:val="center"/>
          </w:tcPr>
          <w:p>
            <w:pPr>
              <w:widowControl w:val="0"/>
              <w:jc w:val="center"/>
            </w:pPr>
            <w:r>
              <w:t>0,89</w:t>
            </w:r>
          </w:p>
        </w:tc>
        <w:tc>
          <w:tcPr>
            <w:tcW w:w="541" w:type="dxa"/>
            <w:vAlign w:val="center"/>
          </w:tcPr>
          <w:p>
            <w:pPr>
              <w:widowControl w:val="0"/>
              <w:jc w:val="center"/>
            </w:pPr>
            <w:r>
              <w:t>0,93</w:t>
            </w:r>
          </w:p>
        </w:tc>
        <w:tc>
          <w:tcPr>
            <w:tcW w:w="541" w:type="dxa"/>
            <w:vAlign w:val="center"/>
          </w:tcPr>
          <w:p>
            <w:pPr>
              <w:widowControl w:val="0"/>
              <w:jc w:val="center"/>
            </w:pPr>
            <w:r>
              <w:t>0,97</w:t>
            </w:r>
          </w:p>
        </w:tc>
        <w:tc>
          <w:tcPr>
            <w:tcW w:w="543" w:type="dxa"/>
            <w:vAlign w:val="center"/>
          </w:tcPr>
          <w:p>
            <w:pPr>
              <w:widowControl w:val="0"/>
              <w:jc w:val="center"/>
            </w:pPr>
            <w:r>
              <w:t>1,0</w:t>
            </w:r>
          </w:p>
        </w:tc>
      </w:tr>
      <w:tr>
        <w:trPr>
          <w:cantSplit/>
        </w:trPr>
        <w:tc>
          <w:tcPr>
            <w:tcW w:w="2151" w:type="dxa"/>
            <w:vAlign w:val="center"/>
          </w:tcPr>
          <w:p>
            <w:pPr>
              <w:widowControl w:val="0"/>
              <w:jc w:val="center"/>
            </w:pPr>
            <w:r>
              <w:t>30</w:t>
            </w:r>
          </w:p>
        </w:tc>
        <w:tc>
          <w:tcPr>
            <w:tcW w:w="542" w:type="dxa"/>
            <w:vAlign w:val="center"/>
          </w:tcPr>
          <w:p>
            <w:pPr>
              <w:widowControl w:val="0"/>
              <w:jc w:val="center"/>
            </w:pPr>
            <w:r>
              <w:t>0,37</w:t>
            </w:r>
          </w:p>
        </w:tc>
        <w:tc>
          <w:tcPr>
            <w:tcW w:w="542" w:type="dxa"/>
            <w:vAlign w:val="center"/>
          </w:tcPr>
          <w:p>
            <w:pPr>
              <w:widowControl w:val="0"/>
              <w:jc w:val="center"/>
            </w:pPr>
            <w:r>
              <w:t>0,45</w:t>
            </w:r>
          </w:p>
        </w:tc>
        <w:tc>
          <w:tcPr>
            <w:tcW w:w="541" w:type="dxa"/>
            <w:vAlign w:val="center"/>
          </w:tcPr>
          <w:p>
            <w:pPr>
              <w:widowControl w:val="0"/>
              <w:jc w:val="center"/>
            </w:pPr>
            <w:r>
              <w:t>0,52</w:t>
            </w:r>
          </w:p>
        </w:tc>
        <w:tc>
          <w:tcPr>
            <w:tcW w:w="541" w:type="dxa"/>
            <w:vAlign w:val="center"/>
          </w:tcPr>
          <w:p>
            <w:pPr>
              <w:widowControl w:val="0"/>
              <w:jc w:val="center"/>
            </w:pPr>
            <w:r>
              <w:t>0,58</w:t>
            </w:r>
          </w:p>
        </w:tc>
        <w:tc>
          <w:tcPr>
            <w:tcW w:w="543" w:type="dxa"/>
            <w:vAlign w:val="center"/>
          </w:tcPr>
          <w:p>
            <w:pPr>
              <w:widowControl w:val="0"/>
              <w:jc w:val="center"/>
            </w:pPr>
            <w:r>
              <w:t>0,63</w:t>
            </w:r>
          </w:p>
        </w:tc>
        <w:tc>
          <w:tcPr>
            <w:tcW w:w="541" w:type="dxa"/>
            <w:vAlign w:val="center"/>
          </w:tcPr>
          <w:p>
            <w:pPr>
              <w:widowControl w:val="0"/>
              <w:jc w:val="center"/>
            </w:pPr>
            <w:r>
              <w:t>0,68</w:t>
            </w:r>
          </w:p>
        </w:tc>
        <w:tc>
          <w:tcPr>
            <w:tcW w:w="541" w:type="dxa"/>
            <w:vAlign w:val="center"/>
          </w:tcPr>
          <w:p>
            <w:pPr>
              <w:widowControl w:val="0"/>
              <w:jc w:val="center"/>
            </w:pPr>
            <w:r>
              <w:t>0,73</w:t>
            </w:r>
          </w:p>
        </w:tc>
        <w:tc>
          <w:tcPr>
            <w:tcW w:w="541" w:type="dxa"/>
            <w:vAlign w:val="center"/>
          </w:tcPr>
          <w:p>
            <w:pPr>
              <w:widowControl w:val="0"/>
              <w:jc w:val="center"/>
            </w:pPr>
            <w:r>
              <w:t>0,78</w:t>
            </w:r>
          </w:p>
        </w:tc>
        <w:tc>
          <w:tcPr>
            <w:tcW w:w="543" w:type="dxa"/>
            <w:vAlign w:val="center"/>
          </w:tcPr>
          <w:p>
            <w:pPr>
              <w:widowControl w:val="0"/>
              <w:jc w:val="center"/>
            </w:pPr>
            <w:r>
              <w:t>0,82</w:t>
            </w:r>
          </w:p>
        </w:tc>
        <w:tc>
          <w:tcPr>
            <w:tcW w:w="541" w:type="dxa"/>
            <w:vAlign w:val="center"/>
          </w:tcPr>
          <w:p>
            <w:pPr>
              <w:widowControl w:val="0"/>
              <w:jc w:val="center"/>
            </w:pPr>
            <w:r>
              <w:t>0,86</w:t>
            </w:r>
          </w:p>
        </w:tc>
        <w:tc>
          <w:tcPr>
            <w:tcW w:w="541" w:type="dxa"/>
            <w:vAlign w:val="center"/>
          </w:tcPr>
          <w:p>
            <w:pPr>
              <w:widowControl w:val="0"/>
              <w:jc w:val="center"/>
            </w:pPr>
            <w:r>
              <w:t>0,89</w:t>
            </w:r>
          </w:p>
        </w:tc>
        <w:tc>
          <w:tcPr>
            <w:tcW w:w="541" w:type="dxa"/>
            <w:vAlign w:val="center"/>
          </w:tcPr>
          <w:p>
            <w:pPr>
              <w:widowControl w:val="0"/>
              <w:jc w:val="center"/>
            </w:pPr>
            <w:r>
              <w:t>0,93</w:t>
            </w:r>
          </w:p>
        </w:tc>
        <w:tc>
          <w:tcPr>
            <w:tcW w:w="543" w:type="dxa"/>
            <w:vAlign w:val="center"/>
          </w:tcPr>
          <w:p>
            <w:pPr>
              <w:widowControl w:val="0"/>
              <w:jc w:val="center"/>
            </w:pPr>
            <w:r>
              <w:t>0,97</w:t>
            </w:r>
          </w:p>
        </w:tc>
      </w:tr>
      <w:tr>
        <w:trPr>
          <w:cantSplit/>
        </w:trPr>
        <w:tc>
          <w:tcPr>
            <w:tcW w:w="2151" w:type="dxa"/>
            <w:vAlign w:val="center"/>
          </w:tcPr>
          <w:p>
            <w:pPr>
              <w:widowControl w:val="0"/>
              <w:jc w:val="center"/>
            </w:pPr>
            <w:r>
              <w:t>35</w:t>
            </w:r>
          </w:p>
        </w:tc>
        <w:tc>
          <w:tcPr>
            <w:tcW w:w="542" w:type="dxa"/>
            <w:vAlign w:val="center"/>
          </w:tcPr>
          <w:p>
            <w:pPr>
              <w:widowControl w:val="0"/>
              <w:jc w:val="center"/>
            </w:pPr>
            <w:r>
              <w:t>0,26</w:t>
            </w:r>
          </w:p>
        </w:tc>
        <w:tc>
          <w:tcPr>
            <w:tcW w:w="542" w:type="dxa"/>
            <w:vAlign w:val="center"/>
          </w:tcPr>
          <w:p>
            <w:pPr>
              <w:widowControl w:val="0"/>
              <w:jc w:val="center"/>
            </w:pPr>
            <w:r>
              <w:t>0,37</w:t>
            </w:r>
          </w:p>
        </w:tc>
        <w:tc>
          <w:tcPr>
            <w:tcW w:w="541" w:type="dxa"/>
            <w:vAlign w:val="center"/>
          </w:tcPr>
          <w:p>
            <w:pPr>
              <w:widowControl w:val="0"/>
              <w:jc w:val="center"/>
            </w:pPr>
            <w:r>
              <w:t>0,45</w:t>
            </w:r>
          </w:p>
        </w:tc>
        <w:tc>
          <w:tcPr>
            <w:tcW w:w="541" w:type="dxa"/>
            <w:vAlign w:val="center"/>
          </w:tcPr>
          <w:p>
            <w:pPr>
              <w:widowControl w:val="0"/>
              <w:jc w:val="center"/>
            </w:pPr>
            <w:r>
              <w:t>0,52</w:t>
            </w:r>
          </w:p>
        </w:tc>
        <w:tc>
          <w:tcPr>
            <w:tcW w:w="543" w:type="dxa"/>
            <w:vAlign w:val="center"/>
          </w:tcPr>
          <w:p>
            <w:pPr>
              <w:widowControl w:val="0"/>
              <w:jc w:val="center"/>
            </w:pPr>
            <w:r>
              <w:t>0,58</w:t>
            </w:r>
          </w:p>
        </w:tc>
        <w:tc>
          <w:tcPr>
            <w:tcW w:w="541" w:type="dxa"/>
            <w:vAlign w:val="center"/>
          </w:tcPr>
          <w:p>
            <w:pPr>
              <w:widowControl w:val="0"/>
              <w:jc w:val="center"/>
            </w:pPr>
            <w:r>
              <w:t>0,63</w:t>
            </w:r>
          </w:p>
        </w:tc>
        <w:tc>
          <w:tcPr>
            <w:tcW w:w="541" w:type="dxa"/>
            <w:vAlign w:val="center"/>
          </w:tcPr>
          <w:p>
            <w:pPr>
              <w:widowControl w:val="0"/>
              <w:jc w:val="center"/>
            </w:pPr>
            <w:r>
              <w:t>0,68</w:t>
            </w:r>
          </w:p>
        </w:tc>
        <w:tc>
          <w:tcPr>
            <w:tcW w:w="541" w:type="dxa"/>
            <w:vAlign w:val="center"/>
          </w:tcPr>
          <w:p>
            <w:pPr>
              <w:widowControl w:val="0"/>
              <w:jc w:val="center"/>
            </w:pPr>
            <w:r>
              <w:t>0,73</w:t>
            </w:r>
          </w:p>
        </w:tc>
        <w:tc>
          <w:tcPr>
            <w:tcW w:w="543" w:type="dxa"/>
            <w:vAlign w:val="center"/>
          </w:tcPr>
          <w:p>
            <w:pPr>
              <w:widowControl w:val="0"/>
              <w:jc w:val="center"/>
            </w:pPr>
            <w:r>
              <w:t>0,78</w:t>
            </w:r>
          </w:p>
        </w:tc>
        <w:tc>
          <w:tcPr>
            <w:tcW w:w="541" w:type="dxa"/>
            <w:vAlign w:val="center"/>
          </w:tcPr>
          <w:p>
            <w:pPr>
              <w:widowControl w:val="0"/>
              <w:jc w:val="center"/>
            </w:pPr>
            <w:r>
              <w:t>0,82</w:t>
            </w:r>
          </w:p>
        </w:tc>
        <w:tc>
          <w:tcPr>
            <w:tcW w:w="541" w:type="dxa"/>
            <w:vAlign w:val="center"/>
          </w:tcPr>
          <w:p>
            <w:pPr>
              <w:widowControl w:val="0"/>
              <w:jc w:val="center"/>
            </w:pPr>
            <w:r>
              <w:t>0,86</w:t>
            </w:r>
          </w:p>
        </w:tc>
        <w:tc>
          <w:tcPr>
            <w:tcW w:w="541" w:type="dxa"/>
            <w:vAlign w:val="center"/>
          </w:tcPr>
          <w:p>
            <w:pPr>
              <w:widowControl w:val="0"/>
              <w:jc w:val="center"/>
            </w:pPr>
            <w:r>
              <w:t>0,89</w:t>
            </w:r>
          </w:p>
        </w:tc>
        <w:tc>
          <w:tcPr>
            <w:tcW w:w="543" w:type="dxa"/>
            <w:vAlign w:val="center"/>
          </w:tcPr>
          <w:p>
            <w:pPr>
              <w:widowControl w:val="0"/>
              <w:jc w:val="center"/>
            </w:pPr>
            <w:r>
              <w:t>0,93</w:t>
            </w:r>
          </w:p>
        </w:tc>
      </w:tr>
      <w:tr>
        <w:trPr>
          <w:cantSplit/>
        </w:trPr>
        <w:tc>
          <w:tcPr>
            <w:tcW w:w="2151" w:type="dxa"/>
            <w:vAlign w:val="center"/>
          </w:tcPr>
          <w:p>
            <w:pPr>
              <w:widowControl w:val="0"/>
              <w:jc w:val="center"/>
            </w:pPr>
            <w:r>
              <w:t>40</w:t>
            </w:r>
          </w:p>
        </w:tc>
        <w:tc>
          <w:tcPr>
            <w:tcW w:w="542" w:type="dxa"/>
            <w:vAlign w:val="center"/>
          </w:tcPr>
          <w:p>
            <w:pPr>
              <w:widowControl w:val="0"/>
              <w:jc w:val="center"/>
            </w:pPr>
            <w:r>
              <w:t>–</w:t>
            </w:r>
          </w:p>
        </w:tc>
        <w:tc>
          <w:tcPr>
            <w:tcW w:w="542" w:type="dxa"/>
            <w:vAlign w:val="center"/>
          </w:tcPr>
          <w:p>
            <w:pPr>
              <w:widowControl w:val="0"/>
              <w:jc w:val="center"/>
            </w:pPr>
            <w:r>
              <w:t>0,20</w:t>
            </w:r>
          </w:p>
        </w:tc>
        <w:tc>
          <w:tcPr>
            <w:tcW w:w="541" w:type="dxa"/>
            <w:vAlign w:val="center"/>
          </w:tcPr>
          <w:p>
            <w:pPr>
              <w:widowControl w:val="0"/>
              <w:jc w:val="center"/>
            </w:pPr>
            <w:r>
              <w:t>0,37</w:t>
            </w:r>
          </w:p>
        </w:tc>
        <w:tc>
          <w:tcPr>
            <w:tcW w:w="541" w:type="dxa"/>
            <w:vAlign w:val="center"/>
          </w:tcPr>
          <w:p>
            <w:pPr>
              <w:widowControl w:val="0"/>
              <w:jc w:val="center"/>
            </w:pPr>
            <w:r>
              <w:t>0,45</w:t>
            </w:r>
          </w:p>
        </w:tc>
        <w:tc>
          <w:tcPr>
            <w:tcW w:w="543" w:type="dxa"/>
            <w:vAlign w:val="center"/>
          </w:tcPr>
          <w:p>
            <w:pPr>
              <w:widowControl w:val="0"/>
              <w:jc w:val="center"/>
            </w:pPr>
            <w:r>
              <w:t>0,52</w:t>
            </w:r>
          </w:p>
        </w:tc>
        <w:tc>
          <w:tcPr>
            <w:tcW w:w="541" w:type="dxa"/>
            <w:vAlign w:val="center"/>
          </w:tcPr>
          <w:p>
            <w:pPr>
              <w:widowControl w:val="0"/>
              <w:jc w:val="center"/>
            </w:pPr>
            <w:r>
              <w:t>0,58</w:t>
            </w:r>
          </w:p>
        </w:tc>
        <w:tc>
          <w:tcPr>
            <w:tcW w:w="541" w:type="dxa"/>
            <w:vAlign w:val="center"/>
          </w:tcPr>
          <w:p>
            <w:pPr>
              <w:widowControl w:val="0"/>
              <w:jc w:val="center"/>
            </w:pPr>
            <w:r>
              <w:t>0,63</w:t>
            </w:r>
          </w:p>
        </w:tc>
        <w:tc>
          <w:tcPr>
            <w:tcW w:w="541" w:type="dxa"/>
            <w:vAlign w:val="center"/>
          </w:tcPr>
          <w:p>
            <w:pPr>
              <w:widowControl w:val="0"/>
              <w:jc w:val="center"/>
            </w:pPr>
            <w:r>
              <w:t>0,68</w:t>
            </w:r>
          </w:p>
        </w:tc>
        <w:tc>
          <w:tcPr>
            <w:tcW w:w="543" w:type="dxa"/>
            <w:vAlign w:val="center"/>
          </w:tcPr>
          <w:p>
            <w:pPr>
              <w:widowControl w:val="0"/>
              <w:jc w:val="center"/>
            </w:pPr>
            <w:r>
              <w:t>0,73</w:t>
            </w:r>
          </w:p>
        </w:tc>
        <w:tc>
          <w:tcPr>
            <w:tcW w:w="541" w:type="dxa"/>
            <w:vAlign w:val="center"/>
          </w:tcPr>
          <w:p>
            <w:pPr>
              <w:widowControl w:val="0"/>
              <w:jc w:val="center"/>
            </w:pPr>
            <w:r>
              <w:t>0,78</w:t>
            </w:r>
          </w:p>
        </w:tc>
        <w:tc>
          <w:tcPr>
            <w:tcW w:w="541" w:type="dxa"/>
            <w:vAlign w:val="center"/>
          </w:tcPr>
          <w:p>
            <w:pPr>
              <w:widowControl w:val="0"/>
              <w:jc w:val="center"/>
            </w:pPr>
            <w:r>
              <w:t>0,82</w:t>
            </w:r>
          </w:p>
        </w:tc>
        <w:tc>
          <w:tcPr>
            <w:tcW w:w="541" w:type="dxa"/>
            <w:vAlign w:val="center"/>
          </w:tcPr>
          <w:p>
            <w:pPr>
              <w:widowControl w:val="0"/>
              <w:jc w:val="center"/>
            </w:pPr>
            <w:r>
              <w:t>0,86</w:t>
            </w:r>
          </w:p>
        </w:tc>
        <w:tc>
          <w:tcPr>
            <w:tcW w:w="543" w:type="dxa"/>
            <w:vAlign w:val="center"/>
          </w:tcPr>
          <w:p>
            <w:pPr>
              <w:widowControl w:val="0"/>
              <w:jc w:val="center"/>
            </w:pPr>
            <w:r>
              <w:t>0,89</w:t>
            </w:r>
          </w:p>
        </w:tc>
      </w:tr>
      <w:tr>
        <w:trPr>
          <w:cantSplit/>
        </w:trPr>
        <w:tc>
          <w:tcPr>
            <w:tcW w:w="2151" w:type="dxa"/>
            <w:vAlign w:val="center"/>
          </w:tcPr>
          <w:p>
            <w:pPr>
              <w:widowControl w:val="0"/>
              <w:jc w:val="center"/>
            </w:pPr>
            <w:r>
              <w:t>45</w:t>
            </w:r>
          </w:p>
        </w:tc>
        <w:tc>
          <w:tcPr>
            <w:tcW w:w="542" w:type="dxa"/>
            <w:vAlign w:val="center"/>
          </w:tcPr>
          <w:p>
            <w:pPr>
              <w:widowControl w:val="0"/>
              <w:jc w:val="center"/>
            </w:pPr>
            <w:r>
              <w:t>–</w:t>
            </w:r>
          </w:p>
        </w:tc>
        <w:tc>
          <w:tcPr>
            <w:tcW w:w="542" w:type="dxa"/>
            <w:vAlign w:val="center"/>
          </w:tcPr>
          <w:p>
            <w:pPr>
              <w:widowControl w:val="0"/>
              <w:jc w:val="center"/>
            </w:pPr>
            <w:r>
              <w:t>–</w:t>
            </w:r>
          </w:p>
        </w:tc>
        <w:tc>
          <w:tcPr>
            <w:tcW w:w="541" w:type="dxa"/>
            <w:vAlign w:val="center"/>
          </w:tcPr>
          <w:p>
            <w:pPr>
              <w:widowControl w:val="0"/>
              <w:jc w:val="center"/>
            </w:pPr>
            <w:r>
              <w:t>0,26</w:t>
            </w:r>
          </w:p>
        </w:tc>
        <w:tc>
          <w:tcPr>
            <w:tcW w:w="541" w:type="dxa"/>
            <w:vAlign w:val="center"/>
          </w:tcPr>
          <w:p>
            <w:pPr>
              <w:widowControl w:val="0"/>
              <w:jc w:val="center"/>
            </w:pPr>
            <w:r>
              <w:t>0,37</w:t>
            </w:r>
          </w:p>
        </w:tc>
        <w:tc>
          <w:tcPr>
            <w:tcW w:w="543" w:type="dxa"/>
            <w:vAlign w:val="center"/>
          </w:tcPr>
          <w:p>
            <w:pPr>
              <w:widowControl w:val="0"/>
              <w:jc w:val="center"/>
            </w:pPr>
            <w:r>
              <w:t>0,45</w:t>
            </w:r>
          </w:p>
        </w:tc>
        <w:tc>
          <w:tcPr>
            <w:tcW w:w="541" w:type="dxa"/>
            <w:vAlign w:val="center"/>
          </w:tcPr>
          <w:p>
            <w:pPr>
              <w:widowControl w:val="0"/>
              <w:jc w:val="center"/>
            </w:pPr>
            <w:r>
              <w:t>0,52</w:t>
            </w:r>
          </w:p>
        </w:tc>
        <w:tc>
          <w:tcPr>
            <w:tcW w:w="541" w:type="dxa"/>
            <w:vAlign w:val="center"/>
          </w:tcPr>
          <w:p>
            <w:pPr>
              <w:widowControl w:val="0"/>
              <w:jc w:val="center"/>
            </w:pPr>
            <w:r>
              <w:t>0,58</w:t>
            </w:r>
          </w:p>
        </w:tc>
        <w:tc>
          <w:tcPr>
            <w:tcW w:w="541" w:type="dxa"/>
            <w:vAlign w:val="center"/>
          </w:tcPr>
          <w:p>
            <w:pPr>
              <w:widowControl w:val="0"/>
              <w:jc w:val="center"/>
            </w:pPr>
            <w:r>
              <w:t>0,63</w:t>
            </w:r>
          </w:p>
        </w:tc>
        <w:tc>
          <w:tcPr>
            <w:tcW w:w="543" w:type="dxa"/>
            <w:vAlign w:val="center"/>
          </w:tcPr>
          <w:p>
            <w:pPr>
              <w:widowControl w:val="0"/>
              <w:jc w:val="center"/>
            </w:pPr>
            <w:r>
              <w:t>0,68</w:t>
            </w:r>
          </w:p>
        </w:tc>
        <w:tc>
          <w:tcPr>
            <w:tcW w:w="541" w:type="dxa"/>
            <w:vAlign w:val="center"/>
          </w:tcPr>
          <w:p>
            <w:pPr>
              <w:widowControl w:val="0"/>
              <w:jc w:val="center"/>
            </w:pPr>
            <w:r>
              <w:t>0,73</w:t>
            </w:r>
          </w:p>
        </w:tc>
        <w:tc>
          <w:tcPr>
            <w:tcW w:w="541" w:type="dxa"/>
            <w:vAlign w:val="center"/>
          </w:tcPr>
          <w:p>
            <w:pPr>
              <w:widowControl w:val="0"/>
              <w:jc w:val="center"/>
            </w:pPr>
            <w:r>
              <w:t>0,78</w:t>
            </w:r>
          </w:p>
        </w:tc>
        <w:tc>
          <w:tcPr>
            <w:tcW w:w="541" w:type="dxa"/>
            <w:vAlign w:val="center"/>
          </w:tcPr>
          <w:p>
            <w:pPr>
              <w:widowControl w:val="0"/>
              <w:jc w:val="center"/>
            </w:pPr>
            <w:r>
              <w:t>0,82</w:t>
            </w:r>
          </w:p>
        </w:tc>
        <w:tc>
          <w:tcPr>
            <w:tcW w:w="543" w:type="dxa"/>
            <w:vAlign w:val="center"/>
          </w:tcPr>
          <w:p>
            <w:pPr>
              <w:widowControl w:val="0"/>
              <w:jc w:val="center"/>
            </w:pPr>
            <w:r>
              <w:t>0,86</w:t>
            </w:r>
          </w:p>
        </w:tc>
      </w:tr>
      <w:tr>
        <w:trPr>
          <w:cantSplit/>
        </w:trPr>
        <w:tc>
          <w:tcPr>
            <w:tcW w:w="2151" w:type="dxa"/>
            <w:vAlign w:val="center"/>
          </w:tcPr>
          <w:p>
            <w:pPr>
              <w:widowControl w:val="0"/>
              <w:jc w:val="center"/>
            </w:pPr>
            <w:r>
              <w:t>50</w:t>
            </w:r>
          </w:p>
        </w:tc>
        <w:tc>
          <w:tcPr>
            <w:tcW w:w="542" w:type="dxa"/>
            <w:vAlign w:val="center"/>
          </w:tcPr>
          <w:p>
            <w:pPr>
              <w:widowControl w:val="0"/>
              <w:jc w:val="center"/>
            </w:pPr>
            <w:r>
              <w:t>–</w:t>
            </w:r>
          </w:p>
        </w:tc>
        <w:tc>
          <w:tcPr>
            <w:tcW w:w="542" w:type="dxa"/>
            <w:vAlign w:val="center"/>
          </w:tcPr>
          <w:p>
            <w:pPr>
              <w:widowControl w:val="0"/>
              <w:jc w:val="center"/>
            </w:pPr>
            <w:r>
              <w:t>–</w:t>
            </w:r>
          </w:p>
        </w:tc>
        <w:tc>
          <w:tcPr>
            <w:tcW w:w="541" w:type="dxa"/>
            <w:vAlign w:val="center"/>
          </w:tcPr>
          <w:p>
            <w:pPr>
              <w:widowControl w:val="0"/>
              <w:jc w:val="center"/>
            </w:pPr>
            <w:r>
              <w:t>–</w:t>
            </w:r>
          </w:p>
        </w:tc>
        <w:tc>
          <w:tcPr>
            <w:tcW w:w="541" w:type="dxa"/>
            <w:vAlign w:val="center"/>
          </w:tcPr>
          <w:p>
            <w:pPr>
              <w:widowControl w:val="0"/>
              <w:jc w:val="center"/>
            </w:pPr>
            <w:r>
              <w:t>0,26</w:t>
            </w:r>
          </w:p>
        </w:tc>
        <w:tc>
          <w:tcPr>
            <w:tcW w:w="543" w:type="dxa"/>
            <w:vAlign w:val="center"/>
          </w:tcPr>
          <w:p>
            <w:pPr>
              <w:widowControl w:val="0"/>
              <w:jc w:val="center"/>
            </w:pPr>
            <w:r>
              <w:t>0,37</w:t>
            </w:r>
          </w:p>
        </w:tc>
        <w:tc>
          <w:tcPr>
            <w:tcW w:w="541" w:type="dxa"/>
            <w:vAlign w:val="center"/>
          </w:tcPr>
          <w:p>
            <w:pPr>
              <w:widowControl w:val="0"/>
              <w:jc w:val="center"/>
            </w:pPr>
            <w:r>
              <w:t>0,45</w:t>
            </w:r>
          </w:p>
        </w:tc>
        <w:tc>
          <w:tcPr>
            <w:tcW w:w="541" w:type="dxa"/>
            <w:vAlign w:val="center"/>
          </w:tcPr>
          <w:p>
            <w:pPr>
              <w:widowControl w:val="0"/>
              <w:jc w:val="center"/>
            </w:pPr>
            <w:r>
              <w:t>0,52</w:t>
            </w:r>
          </w:p>
        </w:tc>
        <w:tc>
          <w:tcPr>
            <w:tcW w:w="541" w:type="dxa"/>
            <w:vAlign w:val="center"/>
          </w:tcPr>
          <w:p>
            <w:pPr>
              <w:widowControl w:val="0"/>
              <w:jc w:val="center"/>
            </w:pPr>
            <w:r>
              <w:t>0,58</w:t>
            </w:r>
          </w:p>
        </w:tc>
        <w:tc>
          <w:tcPr>
            <w:tcW w:w="543" w:type="dxa"/>
            <w:vAlign w:val="center"/>
          </w:tcPr>
          <w:p>
            <w:pPr>
              <w:widowControl w:val="0"/>
              <w:jc w:val="center"/>
            </w:pPr>
            <w:r>
              <w:t>0,63</w:t>
            </w:r>
          </w:p>
        </w:tc>
        <w:tc>
          <w:tcPr>
            <w:tcW w:w="541" w:type="dxa"/>
            <w:vAlign w:val="center"/>
          </w:tcPr>
          <w:p>
            <w:pPr>
              <w:widowControl w:val="0"/>
              <w:jc w:val="center"/>
            </w:pPr>
            <w:r>
              <w:t>0,68</w:t>
            </w:r>
          </w:p>
        </w:tc>
        <w:tc>
          <w:tcPr>
            <w:tcW w:w="541" w:type="dxa"/>
            <w:vAlign w:val="center"/>
          </w:tcPr>
          <w:p>
            <w:pPr>
              <w:widowControl w:val="0"/>
              <w:jc w:val="center"/>
            </w:pPr>
            <w:r>
              <w:t>0,73</w:t>
            </w:r>
          </w:p>
        </w:tc>
        <w:tc>
          <w:tcPr>
            <w:tcW w:w="541" w:type="dxa"/>
            <w:vAlign w:val="center"/>
          </w:tcPr>
          <w:p>
            <w:pPr>
              <w:widowControl w:val="0"/>
              <w:jc w:val="center"/>
            </w:pPr>
            <w:r>
              <w:t>0,78</w:t>
            </w:r>
          </w:p>
        </w:tc>
        <w:tc>
          <w:tcPr>
            <w:tcW w:w="543" w:type="dxa"/>
            <w:vAlign w:val="center"/>
          </w:tcPr>
          <w:p>
            <w:pPr>
              <w:widowControl w:val="0"/>
              <w:jc w:val="center"/>
            </w:pPr>
            <w:r>
              <w:t>0,82</w:t>
            </w:r>
          </w:p>
        </w:tc>
      </w:tr>
      <w:tr>
        <w:trPr>
          <w:cantSplit/>
        </w:trPr>
        <w:tc>
          <w:tcPr>
            <w:tcW w:w="2151" w:type="dxa"/>
            <w:vAlign w:val="center"/>
          </w:tcPr>
          <w:p>
            <w:pPr>
              <w:widowControl w:val="0"/>
              <w:jc w:val="center"/>
            </w:pPr>
            <w:r>
              <w:t>55</w:t>
            </w:r>
          </w:p>
        </w:tc>
        <w:tc>
          <w:tcPr>
            <w:tcW w:w="542" w:type="dxa"/>
            <w:vAlign w:val="center"/>
          </w:tcPr>
          <w:p>
            <w:pPr>
              <w:widowControl w:val="0"/>
              <w:jc w:val="center"/>
            </w:pPr>
            <w:r>
              <w:t>–</w:t>
            </w:r>
          </w:p>
        </w:tc>
        <w:tc>
          <w:tcPr>
            <w:tcW w:w="542" w:type="dxa"/>
            <w:vAlign w:val="center"/>
          </w:tcPr>
          <w:p>
            <w:pPr>
              <w:widowControl w:val="0"/>
              <w:jc w:val="center"/>
            </w:pPr>
            <w:r>
              <w:t>–</w:t>
            </w:r>
          </w:p>
        </w:tc>
        <w:tc>
          <w:tcPr>
            <w:tcW w:w="541" w:type="dxa"/>
            <w:vAlign w:val="center"/>
          </w:tcPr>
          <w:p>
            <w:pPr>
              <w:widowControl w:val="0"/>
              <w:jc w:val="center"/>
            </w:pPr>
            <w:r>
              <w:t>–</w:t>
            </w:r>
          </w:p>
        </w:tc>
        <w:tc>
          <w:tcPr>
            <w:tcW w:w="541" w:type="dxa"/>
            <w:vAlign w:val="center"/>
          </w:tcPr>
          <w:p>
            <w:pPr>
              <w:widowControl w:val="0"/>
              <w:jc w:val="center"/>
            </w:pPr>
            <w:r>
              <w:t>–</w:t>
            </w:r>
          </w:p>
        </w:tc>
        <w:tc>
          <w:tcPr>
            <w:tcW w:w="543" w:type="dxa"/>
            <w:vAlign w:val="center"/>
          </w:tcPr>
          <w:p>
            <w:pPr>
              <w:widowControl w:val="0"/>
              <w:jc w:val="center"/>
            </w:pPr>
            <w:r>
              <w:t>0,26</w:t>
            </w:r>
          </w:p>
        </w:tc>
        <w:tc>
          <w:tcPr>
            <w:tcW w:w="541" w:type="dxa"/>
            <w:vAlign w:val="center"/>
          </w:tcPr>
          <w:p>
            <w:pPr>
              <w:widowControl w:val="0"/>
              <w:jc w:val="center"/>
            </w:pPr>
            <w:r>
              <w:t>0,37</w:t>
            </w:r>
          </w:p>
        </w:tc>
        <w:tc>
          <w:tcPr>
            <w:tcW w:w="541" w:type="dxa"/>
            <w:vAlign w:val="center"/>
          </w:tcPr>
          <w:p>
            <w:pPr>
              <w:widowControl w:val="0"/>
              <w:jc w:val="center"/>
            </w:pPr>
            <w:r>
              <w:t>0,45</w:t>
            </w:r>
          </w:p>
        </w:tc>
        <w:tc>
          <w:tcPr>
            <w:tcW w:w="541" w:type="dxa"/>
            <w:vAlign w:val="center"/>
          </w:tcPr>
          <w:p>
            <w:pPr>
              <w:widowControl w:val="0"/>
              <w:jc w:val="center"/>
            </w:pPr>
            <w:r>
              <w:t>0,52</w:t>
            </w:r>
          </w:p>
        </w:tc>
        <w:tc>
          <w:tcPr>
            <w:tcW w:w="543" w:type="dxa"/>
            <w:vAlign w:val="center"/>
          </w:tcPr>
          <w:p>
            <w:pPr>
              <w:widowControl w:val="0"/>
              <w:jc w:val="center"/>
            </w:pPr>
            <w:r>
              <w:t>0,58</w:t>
            </w:r>
          </w:p>
        </w:tc>
        <w:tc>
          <w:tcPr>
            <w:tcW w:w="541" w:type="dxa"/>
            <w:vAlign w:val="center"/>
          </w:tcPr>
          <w:p>
            <w:pPr>
              <w:widowControl w:val="0"/>
              <w:jc w:val="center"/>
            </w:pPr>
            <w:r>
              <w:t>0,63</w:t>
            </w:r>
          </w:p>
        </w:tc>
        <w:tc>
          <w:tcPr>
            <w:tcW w:w="541" w:type="dxa"/>
            <w:vAlign w:val="center"/>
          </w:tcPr>
          <w:p>
            <w:pPr>
              <w:widowControl w:val="0"/>
              <w:jc w:val="center"/>
            </w:pPr>
            <w:r>
              <w:t>0,68</w:t>
            </w:r>
          </w:p>
        </w:tc>
        <w:tc>
          <w:tcPr>
            <w:tcW w:w="541" w:type="dxa"/>
            <w:vAlign w:val="center"/>
          </w:tcPr>
          <w:p>
            <w:pPr>
              <w:widowControl w:val="0"/>
              <w:jc w:val="center"/>
            </w:pPr>
            <w:r>
              <w:t>0,73</w:t>
            </w:r>
          </w:p>
        </w:tc>
        <w:tc>
          <w:tcPr>
            <w:tcW w:w="543" w:type="dxa"/>
            <w:vAlign w:val="center"/>
          </w:tcPr>
          <w:p>
            <w:pPr>
              <w:widowControl w:val="0"/>
              <w:jc w:val="center"/>
            </w:pPr>
            <w:r>
              <w:t>0,78</w:t>
            </w:r>
          </w:p>
        </w:tc>
      </w:tr>
      <w:tr>
        <w:trPr>
          <w:cantSplit/>
        </w:trPr>
        <w:tc>
          <w:tcPr>
            <w:tcW w:w="2151" w:type="dxa"/>
            <w:vAlign w:val="center"/>
          </w:tcPr>
          <w:p>
            <w:pPr>
              <w:widowControl w:val="0"/>
              <w:jc w:val="center"/>
            </w:pPr>
            <w:r>
              <w:t>60</w:t>
            </w:r>
          </w:p>
        </w:tc>
        <w:tc>
          <w:tcPr>
            <w:tcW w:w="542" w:type="dxa"/>
            <w:vAlign w:val="center"/>
          </w:tcPr>
          <w:p>
            <w:pPr>
              <w:widowControl w:val="0"/>
              <w:jc w:val="center"/>
            </w:pPr>
            <w:r>
              <w:t>–</w:t>
            </w:r>
          </w:p>
        </w:tc>
        <w:tc>
          <w:tcPr>
            <w:tcW w:w="542" w:type="dxa"/>
            <w:vAlign w:val="center"/>
          </w:tcPr>
          <w:p>
            <w:pPr>
              <w:widowControl w:val="0"/>
              <w:jc w:val="center"/>
            </w:pPr>
            <w:r>
              <w:t>–</w:t>
            </w:r>
          </w:p>
        </w:tc>
        <w:tc>
          <w:tcPr>
            <w:tcW w:w="541" w:type="dxa"/>
            <w:vAlign w:val="center"/>
          </w:tcPr>
          <w:p>
            <w:pPr>
              <w:widowControl w:val="0"/>
              <w:jc w:val="center"/>
            </w:pPr>
            <w:r>
              <w:t>–</w:t>
            </w:r>
          </w:p>
        </w:tc>
        <w:tc>
          <w:tcPr>
            <w:tcW w:w="541" w:type="dxa"/>
            <w:vAlign w:val="center"/>
          </w:tcPr>
          <w:p>
            <w:pPr>
              <w:widowControl w:val="0"/>
              <w:jc w:val="center"/>
            </w:pPr>
            <w:r>
              <w:t>–</w:t>
            </w:r>
          </w:p>
        </w:tc>
        <w:tc>
          <w:tcPr>
            <w:tcW w:w="543" w:type="dxa"/>
            <w:vAlign w:val="center"/>
          </w:tcPr>
          <w:p>
            <w:pPr>
              <w:widowControl w:val="0"/>
              <w:jc w:val="center"/>
            </w:pPr>
            <w:r>
              <w:t>–</w:t>
            </w:r>
          </w:p>
        </w:tc>
        <w:tc>
          <w:tcPr>
            <w:tcW w:w="541" w:type="dxa"/>
            <w:vAlign w:val="center"/>
          </w:tcPr>
          <w:p>
            <w:pPr>
              <w:widowControl w:val="0"/>
              <w:jc w:val="center"/>
            </w:pPr>
            <w:r>
              <w:t>0,26</w:t>
            </w:r>
          </w:p>
        </w:tc>
        <w:tc>
          <w:tcPr>
            <w:tcW w:w="541" w:type="dxa"/>
            <w:vAlign w:val="center"/>
          </w:tcPr>
          <w:p>
            <w:pPr>
              <w:widowControl w:val="0"/>
              <w:jc w:val="center"/>
            </w:pPr>
            <w:r>
              <w:t>0,37</w:t>
            </w:r>
          </w:p>
        </w:tc>
        <w:tc>
          <w:tcPr>
            <w:tcW w:w="541" w:type="dxa"/>
            <w:vAlign w:val="center"/>
          </w:tcPr>
          <w:p>
            <w:pPr>
              <w:widowControl w:val="0"/>
              <w:jc w:val="center"/>
            </w:pPr>
            <w:r>
              <w:t>0,45</w:t>
            </w:r>
          </w:p>
        </w:tc>
        <w:tc>
          <w:tcPr>
            <w:tcW w:w="543" w:type="dxa"/>
            <w:vAlign w:val="center"/>
          </w:tcPr>
          <w:p>
            <w:pPr>
              <w:widowControl w:val="0"/>
              <w:jc w:val="center"/>
            </w:pPr>
            <w:r>
              <w:t>0,52</w:t>
            </w:r>
          </w:p>
        </w:tc>
        <w:tc>
          <w:tcPr>
            <w:tcW w:w="541" w:type="dxa"/>
            <w:vAlign w:val="center"/>
          </w:tcPr>
          <w:p>
            <w:pPr>
              <w:widowControl w:val="0"/>
              <w:jc w:val="center"/>
            </w:pPr>
            <w:r>
              <w:t>0,58</w:t>
            </w:r>
          </w:p>
        </w:tc>
        <w:tc>
          <w:tcPr>
            <w:tcW w:w="541" w:type="dxa"/>
            <w:vAlign w:val="center"/>
          </w:tcPr>
          <w:p>
            <w:pPr>
              <w:widowControl w:val="0"/>
              <w:jc w:val="center"/>
            </w:pPr>
            <w:r>
              <w:t>0,63</w:t>
            </w:r>
          </w:p>
        </w:tc>
        <w:tc>
          <w:tcPr>
            <w:tcW w:w="541" w:type="dxa"/>
            <w:vAlign w:val="center"/>
          </w:tcPr>
          <w:p>
            <w:pPr>
              <w:widowControl w:val="0"/>
              <w:jc w:val="center"/>
            </w:pPr>
            <w:r>
              <w:t>0,68</w:t>
            </w:r>
          </w:p>
        </w:tc>
        <w:tc>
          <w:tcPr>
            <w:tcW w:w="543" w:type="dxa"/>
            <w:vAlign w:val="center"/>
          </w:tcPr>
          <w:p>
            <w:pPr>
              <w:widowControl w:val="0"/>
              <w:jc w:val="center"/>
            </w:pPr>
            <w:r>
              <w:t>0,73</w:t>
            </w:r>
          </w:p>
        </w:tc>
      </w:tr>
    </w:tbl>
    <w:p>
      <w:pPr>
        <w:widowControl w:val="0"/>
        <w:ind w:firstLine="567"/>
        <w:jc w:val="both"/>
      </w:pPr>
    </w:p>
    <w:p>
      <w:pPr>
        <w:widowControl w:val="0"/>
        <w:ind w:firstLine="567"/>
        <w:jc w:val="both"/>
        <w:rPr>
          <w:b/>
        </w:rPr>
      </w:pPr>
      <w:r>
        <w:rPr>
          <w:b/>
        </w:rPr>
        <w:t>28 lentelė. Ekonomiško srovės tankio intervalai</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72"/>
        <w:gridCol w:w="5498"/>
      </w:tblGrid>
      <w:tr>
        <w:trPr>
          <w:cantSplit/>
        </w:trPr>
        <w:tc>
          <w:tcPr>
            <w:tcW w:w="3572" w:type="dxa"/>
            <w:tcBorders>
              <w:bottom w:val="single" w:sz="2" w:space="0" w:color="auto"/>
            </w:tcBorders>
            <w:vAlign w:val="center"/>
          </w:tcPr>
          <w:p>
            <w:pPr>
              <w:widowControl w:val="0"/>
              <w:jc w:val="center"/>
            </w:pPr>
            <w:r>
              <w:t>Laidininkai</w:t>
            </w:r>
          </w:p>
        </w:tc>
        <w:tc>
          <w:tcPr>
            <w:tcW w:w="5498" w:type="dxa"/>
            <w:vAlign w:val="center"/>
          </w:tcPr>
          <w:p>
            <w:pPr>
              <w:widowControl w:val="0"/>
              <w:jc w:val="center"/>
            </w:pPr>
            <w:r>
              <w:t>Ekonomiškas srovės tankis, A/mm</w:t>
            </w:r>
            <w:r>
              <w:rPr>
                <w:vertAlign w:val="superscript"/>
              </w:rPr>
              <w:t>2</w:t>
            </w:r>
            <w:r>
              <w:t>, esant maksimalios apkrovos trukmei</w:t>
            </w:r>
          </w:p>
          <w:p>
            <w:pPr>
              <w:widowControl w:val="0"/>
              <w:jc w:val="center"/>
            </w:pPr>
            <w:r>
              <w:t>3000–5000 val. per metus</w:t>
            </w:r>
          </w:p>
        </w:tc>
      </w:tr>
      <w:tr>
        <w:trPr>
          <w:cantSplit/>
        </w:trPr>
        <w:tc>
          <w:tcPr>
            <w:tcW w:w="3572" w:type="dxa"/>
            <w:tcBorders>
              <w:right w:val="nil"/>
            </w:tcBorders>
            <w:vAlign w:val="center"/>
          </w:tcPr>
          <w:p>
            <w:pPr>
              <w:widowControl w:val="0"/>
            </w:pPr>
            <w:r>
              <w:t>Neizoliuoti laidai ir šynos</w:t>
            </w:r>
          </w:p>
        </w:tc>
        <w:tc>
          <w:tcPr>
            <w:tcW w:w="5498" w:type="dxa"/>
            <w:tcBorders>
              <w:left w:val="nil"/>
            </w:tcBorders>
            <w:vAlign w:val="center"/>
          </w:tcPr>
          <w:p>
            <w:pPr>
              <w:widowControl w:val="0"/>
              <w:jc w:val="center"/>
            </w:pPr>
          </w:p>
        </w:tc>
      </w:tr>
      <w:tr>
        <w:trPr>
          <w:cantSplit/>
        </w:trPr>
        <w:tc>
          <w:tcPr>
            <w:tcW w:w="3572" w:type="dxa"/>
            <w:vAlign w:val="center"/>
          </w:tcPr>
          <w:p>
            <w:pPr>
              <w:widowControl w:val="0"/>
              <w:ind w:firstLine="567"/>
            </w:pPr>
            <w:r>
              <w:t>Variniai</w:t>
            </w:r>
          </w:p>
        </w:tc>
        <w:tc>
          <w:tcPr>
            <w:tcW w:w="5498" w:type="dxa"/>
            <w:vAlign w:val="center"/>
          </w:tcPr>
          <w:p>
            <w:pPr>
              <w:widowControl w:val="0"/>
              <w:jc w:val="center"/>
            </w:pPr>
            <w:r>
              <w:t>1,1–1,5</w:t>
            </w:r>
          </w:p>
        </w:tc>
      </w:tr>
      <w:tr>
        <w:trPr>
          <w:cantSplit/>
        </w:trPr>
        <w:tc>
          <w:tcPr>
            <w:tcW w:w="3572" w:type="dxa"/>
            <w:vAlign w:val="center"/>
          </w:tcPr>
          <w:p>
            <w:pPr>
              <w:widowControl w:val="0"/>
              <w:ind w:firstLine="567"/>
            </w:pPr>
            <w:r>
              <w:t>Aliumininiai</w:t>
            </w:r>
          </w:p>
        </w:tc>
        <w:tc>
          <w:tcPr>
            <w:tcW w:w="5498" w:type="dxa"/>
            <w:vAlign w:val="center"/>
          </w:tcPr>
          <w:p>
            <w:pPr>
              <w:widowControl w:val="0"/>
              <w:jc w:val="center"/>
            </w:pPr>
            <w:r>
              <w:t>0,9–1,1</w:t>
            </w:r>
          </w:p>
        </w:tc>
      </w:tr>
      <w:tr>
        <w:trPr>
          <w:cantSplit/>
        </w:trPr>
        <w:tc>
          <w:tcPr>
            <w:tcW w:w="3572" w:type="dxa"/>
            <w:tcBorders>
              <w:right w:val="nil"/>
            </w:tcBorders>
            <w:vAlign w:val="center"/>
          </w:tcPr>
          <w:p>
            <w:pPr>
              <w:widowControl w:val="0"/>
            </w:pPr>
            <w:r>
              <w:t>Kabeliai</w:t>
            </w:r>
          </w:p>
        </w:tc>
        <w:tc>
          <w:tcPr>
            <w:tcW w:w="5498" w:type="dxa"/>
            <w:tcBorders>
              <w:left w:val="nil"/>
            </w:tcBorders>
            <w:vAlign w:val="center"/>
          </w:tcPr>
          <w:p>
            <w:pPr>
              <w:widowControl w:val="0"/>
              <w:jc w:val="center"/>
            </w:pPr>
          </w:p>
        </w:tc>
      </w:tr>
      <w:tr>
        <w:trPr>
          <w:cantSplit/>
        </w:trPr>
        <w:tc>
          <w:tcPr>
            <w:tcW w:w="3572" w:type="dxa"/>
            <w:vAlign w:val="center"/>
          </w:tcPr>
          <w:p>
            <w:pPr>
              <w:widowControl w:val="0"/>
              <w:ind w:firstLine="567"/>
            </w:pPr>
            <w:r>
              <w:t>Variniai</w:t>
            </w:r>
          </w:p>
        </w:tc>
        <w:tc>
          <w:tcPr>
            <w:tcW w:w="5498" w:type="dxa"/>
            <w:vAlign w:val="center"/>
          </w:tcPr>
          <w:p>
            <w:pPr>
              <w:widowControl w:val="0"/>
              <w:jc w:val="center"/>
            </w:pPr>
            <w:r>
              <w:t>1,5–2,2</w:t>
            </w:r>
          </w:p>
        </w:tc>
      </w:tr>
      <w:tr>
        <w:trPr>
          <w:cantSplit/>
        </w:trPr>
        <w:tc>
          <w:tcPr>
            <w:tcW w:w="3572" w:type="dxa"/>
            <w:vAlign w:val="center"/>
          </w:tcPr>
          <w:p>
            <w:pPr>
              <w:widowControl w:val="0"/>
              <w:ind w:firstLine="567"/>
            </w:pPr>
            <w:r>
              <w:t>Aliumininiai</w:t>
            </w:r>
          </w:p>
        </w:tc>
        <w:tc>
          <w:tcPr>
            <w:tcW w:w="5498" w:type="dxa"/>
            <w:vAlign w:val="center"/>
          </w:tcPr>
          <w:p>
            <w:pPr>
              <w:widowControl w:val="0"/>
              <w:jc w:val="center"/>
            </w:pPr>
            <w:r>
              <w:t>1,1–1,5</w:t>
            </w:r>
          </w:p>
        </w:tc>
      </w:tr>
    </w:tbl>
    <w:p>
      <w:pPr>
        <w:widowControl w:val="0"/>
        <w:ind w:firstLine="567"/>
        <w:jc w:val="both"/>
      </w:pPr>
    </w:p>
    <w:p>
      <w:pPr>
        <w:widowControl w:val="0"/>
        <w:ind w:firstLine="567"/>
        <w:jc w:val="both"/>
      </w:pPr>
      <w:r>
        <w:t>PASTABA. Izoliuotų laidų ekonomiškas srovės tankis skaičiuojamas kaip neizoliuotų laidų, o oro kabelių – kaip kabelių.</w:t>
      </w:r>
    </w:p>
    <w:p>
      <w:pPr>
        <w:widowControl w:val="0"/>
        <w:ind w:firstLine="567"/>
        <w:jc w:val="both"/>
      </w:pPr>
    </w:p>
    <w:p>
      <w:pPr>
        <w:widowControl w:val="0"/>
        <w:jc w:val="center"/>
      </w:pPr>
      <w:r>
        <w:t>_________________</w:t>
      </w:r>
    </w:p>
    <w:p>
      <w:pPr>
        <w:widowControl w:val="0"/>
        <w:ind w:left="4535"/>
        <w:sectPr>
          <w:pgSz w:w="11907" w:h="16840" w:code="9"/>
          <w:pgMar w:top="1134" w:right="567" w:bottom="1134" w:left="1701" w:header="680" w:footer="680" w:gutter="0"/>
          <w:pgNumType w:start="1"/>
          <w:cols w:space="1296"/>
          <w:titlePg/>
          <w:docGrid w:linePitch="326"/>
        </w:sectPr>
      </w:pPr>
    </w:p>
    <w:p>
      <w:pPr>
        <w:widowControl w:val="0"/>
        <w:ind w:left="4535"/>
      </w:pPr>
      <w:r>
        <w:t>Elektros įrenginių įrengimo bendrųjų taisyklių</w:t>
      </w:r>
    </w:p>
    <w:p>
      <w:pPr>
        <w:widowControl w:val="0"/>
        <w:ind w:left="4535"/>
      </w:pPr>
      <w:r>
        <w:t>3</w:t>
      </w:r>
      <w:r>
        <w:t xml:space="preserve"> priedas</w:t>
      </w:r>
    </w:p>
    <w:p>
      <w:pPr>
        <w:widowControl w:val="0"/>
        <w:jc w:val="both"/>
      </w:pPr>
    </w:p>
    <w:p>
      <w:pPr>
        <w:widowControl w:val="0"/>
        <w:jc w:val="center"/>
        <w:rPr>
          <w:b/>
        </w:rPr>
      </w:pPr>
      <w:r>
        <w:rPr>
          <w:b/>
        </w:rPr>
        <w:t>ELEKTROS DYDŽIŲ MATAVIMAI</w:t>
      </w:r>
    </w:p>
    <w:p>
      <w:pPr>
        <w:widowControl w:val="0"/>
        <w:jc w:val="both"/>
      </w:pPr>
    </w:p>
    <w:p>
      <w:pPr>
        <w:widowControl w:val="0"/>
        <w:ind w:firstLine="567"/>
        <w:jc w:val="both"/>
        <w:rPr>
          <w:b/>
        </w:rPr>
      </w:pPr>
      <w:r>
        <w:rPr>
          <w:b/>
        </w:rPr>
        <w:t>1 lentelė. Matavimo priemonių tikslumo klasės</w:t>
      </w:r>
    </w:p>
    <w:p>
      <w:pPr>
        <w:widowControl w:val="0"/>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13"/>
        <w:gridCol w:w="2115"/>
        <w:gridCol w:w="2115"/>
        <w:gridCol w:w="2727"/>
      </w:tblGrid>
      <w:tr>
        <w:trPr>
          <w:cantSplit/>
          <w:trHeight w:val="567"/>
        </w:trPr>
        <w:tc>
          <w:tcPr>
            <w:tcW w:w="8908" w:type="dxa"/>
            <w:gridSpan w:val="4"/>
            <w:vAlign w:val="center"/>
          </w:tcPr>
          <w:p>
            <w:pPr>
              <w:widowControl w:val="0"/>
              <w:jc w:val="center"/>
            </w:pPr>
            <w:r>
              <w:t>Tikslumo klasės</w:t>
            </w:r>
          </w:p>
        </w:tc>
      </w:tr>
      <w:tr>
        <w:trPr>
          <w:cantSplit/>
          <w:trHeight w:val="20"/>
        </w:trPr>
        <w:tc>
          <w:tcPr>
            <w:tcW w:w="2076" w:type="dxa"/>
            <w:vAlign w:val="center"/>
          </w:tcPr>
          <w:p>
            <w:pPr>
              <w:widowControl w:val="0"/>
              <w:jc w:val="center"/>
            </w:pPr>
            <w:r>
              <w:t>skydinio matavimo prietaisų</w:t>
            </w:r>
          </w:p>
        </w:tc>
        <w:tc>
          <w:tcPr>
            <w:tcW w:w="2077" w:type="dxa"/>
            <w:vAlign w:val="center"/>
          </w:tcPr>
          <w:p>
            <w:pPr>
              <w:widowControl w:val="0"/>
              <w:jc w:val="center"/>
            </w:pPr>
            <w:r>
              <w:t>šuntų, papildomų rezistorių</w:t>
            </w:r>
          </w:p>
        </w:tc>
        <w:tc>
          <w:tcPr>
            <w:tcW w:w="2077" w:type="dxa"/>
            <w:vAlign w:val="center"/>
          </w:tcPr>
          <w:p>
            <w:pPr>
              <w:widowControl w:val="0"/>
              <w:jc w:val="center"/>
            </w:pPr>
            <w:r>
              <w:t>matavimo keitiklių</w:t>
            </w:r>
          </w:p>
        </w:tc>
        <w:tc>
          <w:tcPr>
            <w:tcW w:w="2678" w:type="dxa"/>
            <w:vAlign w:val="center"/>
          </w:tcPr>
          <w:p>
            <w:pPr>
              <w:widowControl w:val="0"/>
              <w:jc w:val="center"/>
            </w:pPr>
            <w:r>
              <w:t>matavimo transformatorių</w:t>
            </w:r>
          </w:p>
        </w:tc>
      </w:tr>
      <w:tr>
        <w:trPr>
          <w:cantSplit/>
          <w:trHeight w:val="20"/>
        </w:trPr>
        <w:tc>
          <w:tcPr>
            <w:tcW w:w="2076" w:type="dxa"/>
            <w:vAlign w:val="center"/>
          </w:tcPr>
          <w:p>
            <w:pPr>
              <w:widowControl w:val="0"/>
              <w:jc w:val="center"/>
            </w:pPr>
            <w:r>
              <w:t>1,0</w:t>
            </w:r>
          </w:p>
        </w:tc>
        <w:tc>
          <w:tcPr>
            <w:tcW w:w="2077" w:type="dxa"/>
            <w:vAlign w:val="center"/>
          </w:tcPr>
          <w:p>
            <w:pPr>
              <w:widowControl w:val="0"/>
              <w:jc w:val="center"/>
            </w:pPr>
            <w:r>
              <w:t>0,5</w:t>
            </w:r>
          </w:p>
        </w:tc>
        <w:tc>
          <w:tcPr>
            <w:tcW w:w="2077" w:type="dxa"/>
            <w:vAlign w:val="center"/>
          </w:tcPr>
          <w:p>
            <w:pPr>
              <w:widowControl w:val="0"/>
              <w:jc w:val="center"/>
            </w:pPr>
            <w:r>
              <w:t>0,5</w:t>
            </w:r>
          </w:p>
        </w:tc>
        <w:tc>
          <w:tcPr>
            <w:tcW w:w="2678" w:type="dxa"/>
            <w:vAlign w:val="center"/>
          </w:tcPr>
          <w:p>
            <w:pPr>
              <w:widowControl w:val="0"/>
              <w:jc w:val="center"/>
            </w:pPr>
            <w:r>
              <w:t>0,5</w:t>
            </w:r>
          </w:p>
        </w:tc>
      </w:tr>
      <w:tr>
        <w:trPr>
          <w:cantSplit/>
          <w:trHeight w:val="20"/>
        </w:trPr>
        <w:tc>
          <w:tcPr>
            <w:tcW w:w="2076" w:type="dxa"/>
            <w:vAlign w:val="center"/>
          </w:tcPr>
          <w:p>
            <w:pPr>
              <w:widowControl w:val="0"/>
              <w:jc w:val="center"/>
            </w:pPr>
            <w:r>
              <w:t>1,5</w:t>
            </w:r>
          </w:p>
        </w:tc>
        <w:tc>
          <w:tcPr>
            <w:tcW w:w="2077" w:type="dxa"/>
            <w:vAlign w:val="center"/>
          </w:tcPr>
          <w:p>
            <w:pPr>
              <w:widowControl w:val="0"/>
              <w:jc w:val="center"/>
            </w:pPr>
            <w:r>
              <w:t>0,5</w:t>
            </w:r>
          </w:p>
        </w:tc>
        <w:tc>
          <w:tcPr>
            <w:tcW w:w="2077" w:type="dxa"/>
            <w:vAlign w:val="center"/>
          </w:tcPr>
          <w:p>
            <w:pPr>
              <w:widowControl w:val="0"/>
              <w:jc w:val="center"/>
            </w:pPr>
            <w:r>
              <w:t>0,5*</w:t>
            </w:r>
          </w:p>
        </w:tc>
        <w:tc>
          <w:tcPr>
            <w:tcW w:w="2678" w:type="dxa"/>
            <w:vAlign w:val="center"/>
          </w:tcPr>
          <w:p>
            <w:pPr>
              <w:widowControl w:val="0"/>
              <w:jc w:val="center"/>
            </w:pPr>
            <w:r>
              <w:t>0,5*</w:t>
            </w:r>
          </w:p>
        </w:tc>
      </w:tr>
    </w:tbl>
    <w:p>
      <w:pPr>
        <w:widowControl w:val="0"/>
        <w:ind w:firstLine="567"/>
        <w:jc w:val="both"/>
      </w:pPr>
    </w:p>
    <w:p>
      <w:pPr>
        <w:widowControl w:val="0"/>
        <w:ind w:firstLine="567"/>
        <w:jc w:val="both"/>
      </w:pPr>
      <w:r>
        <w:t>*1,0 tikslumo klasė matavimo keitikliams ir matavimo transformatoriams, įrengtiems iki 2000 metų imtinai.</w:t>
      </w:r>
    </w:p>
    <w:p>
      <w:pPr>
        <w:widowControl w:val="0"/>
        <w:ind w:firstLine="567"/>
        <w:jc w:val="both"/>
      </w:pPr>
    </w:p>
    <w:p>
      <w:pPr>
        <w:widowControl w:val="0"/>
        <w:ind w:firstLine="567"/>
        <w:jc w:val="both"/>
        <w:rPr>
          <w:b/>
        </w:rPr>
      </w:pPr>
      <w:r>
        <w:rPr>
          <w:b/>
        </w:rPr>
        <w:t>2 lentelė. Registratorių išdėstymas</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472"/>
        <w:gridCol w:w="3677"/>
        <w:gridCol w:w="3921"/>
      </w:tblGrid>
      <w:tr>
        <w:trPr>
          <w:cantSplit/>
          <w:trHeight w:val="567"/>
        </w:trPr>
        <w:tc>
          <w:tcPr>
            <w:tcW w:w="1445" w:type="dxa"/>
            <w:vAlign w:val="center"/>
          </w:tcPr>
          <w:p>
            <w:pPr>
              <w:widowControl w:val="0"/>
            </w:pPr>
            <w:r>
              <w:t>Įtampa, kV</w:t>
            </w:r>
          </w:p>
        </w:tc>
        <w:tc>
          <w:tcPr>
            <w:tcW w:w="3611" w:type="dxa"/>
            <w:vAlign w:val="center"/>
          </w:tcPr>
          <w:p>
            <w:pPr>
              <w:widowControl w:val="0"/>
            </w:pPr>
            <w:r>
              <w:t>Skirstyklos schema, prijunginys</w:t>
            </w:r>
          </w:p>
        </w:tc>
        <w:tc>
          <w:tcPr>
            <w:tcW w:w="3851" w:type="dxa"/>
            <w:vAlign w:val="center"/>
          </w:tcPr>
          <w:p>
            <w:pPr>
              <w:widowControl w:val="0"/>
            </w:pPr>
            <w:r>
              <w:t>Registratoriai įrengiami</w:t>
            </w:r>
          </w:p>
        </w:tc>
      </w:tr>
      <w:tr>
        <w:trPr>
          <w:cantSplit/>
          <w:trHeight w:val="20"/>
        </w:trPr>
        <w:tc>
          <w:tcPr>
            <w:tcW w:w="1445" w:type="dxa"/>
            <w:vAlign w:val="center"/>
          </w:tcPr>
          <w:p>
            <w:pPr>
              <w:widowControl w:val="0"/>
            </w:pPr>
            <w:r>
              <w:t>6–35</w:t>
            </w:r>
          </w:p>
        </w:tc>
        <w:tc>
          <w:tcPr>
            <w:tcW w:w="3611" w:type="dxa"/>
            <w:vAlign w:val="center"/>
          </w:tcPr>
          <w:p>
            <w:pPr>
              <w:widowControl w:val="0"/>
            </w:pPr>
            <w:r>
              <w:t>Linija, išeinanti iš 110/35/6–10 kV pastotės</w:t>
            </w:r>
          </w:p>
        </w:tc>
        <w:tc>
          <w:tcPr>
            <w:tcW w:w="3851" w:type="dxa"/>
            <w:vAlign w:val="center"/>
          </w:tcPr>
          <w:p>
            <w:pPr>
              <w:widowControl w:val="0"/>
            </w:pPr>
            <w:r>
              <w:t>Kiekvienai linijai*</w:t>
            </w:r>
          </w:p>
          <w:p>
            <w:pPr>
              <w:widowControl w:val="0"/>
            </w:pPr>
            <w:r>
              <w:t>Neįrengiama**</w:t>
            </w:r>
          </w:p>
        </w:tc>
      </w:tr>
      <w:tr>
        <w:trPr>
          <w:cantSplit/>
          <w:trHeight w:val="20"/>
        </w:trPr>
        <w:tc>
          <w:tcPr>
            <w:tcW w:w="1445" w:type="dxa"/>
            <w:vAlign w:val="center"/>
          </w:tcPr>
          <w:p>
            <w:pPr>
              <w:widowControl w:val="0"/>
            </w:pPr>
            <w:r>
              <w:t>6– 35</w:t>
            </w:r>
          </w:p>
        </w:tc>
        <w:tc>
          <w:tcPr>
            <w:tcW w:w="3611" w:type="dxa"/>
            <w:vAlign w:val="center"/>
          </w:tcPr>
          <w:p>
            <w:pPr>
              <w:widowControl w:val="0"/>
            </w:pPr>
            <w:r>
              <w:t>Linija, maitinanti ypatingo elektros tiekimo patikimumo reikalaujantį vartotoją</w:t>
            </w:r>
          </w:p>
        </w:tc>
        <w:tc>
          <w:tcPr>
            <w:tcW w:w="3851" w:type="dxa"/>
            <w:vAlign w:val="center"/>
          </w:tcPr>
          <w:p>
            <w:pPr>
              <w:widowControl w:val="0"/>
            </w:pPr>
            <w:r>
              <w:t>Kiekvienai linijai*</w:t>
            </w:r>
          </w:p>
          <w:p>
            <w:pPr>
              <w:widowControl w:val="0"/>
            </w:pPr>
            <w:r>
              <w:t>Bendras kelioms linijoms**</w:t>
            </w:r>
          </w:p>
        </w:tc>
      </w:tr>
      <w:tr>
        <w:trPr>
          <w:cantSplit/>
          <w:trHeight w:val="20"/>
        </w:trPr>
        <w:tc>
          <w:tcPr>
            <w:tcW w:w="1445" w:type="dxa"/>
            <w:vAlign w:val="center"/>
          </w:tcPr>
          <w:p>
            <w:pPr>
              <w:widowControl w:val="0"/>
            </w:pPr>
            <w:r>
              <w:t>6–35</w:t>
            </w:r>
          </w:p>
        </w:tc>
        <w:tc>
          <w:tcPr>
            <w:tcW w:w="3611" w:type="dxa"/>
            <w:vAlign w:val="center"/>
          </w:tcPr>
          <w:p>
            <w:pPr>
              <w:widowControl w:val="0"/>
            </w:pPr>
            <w:r>
              <w:t>Ryšys su elektrine</w:t>
            </w:r>
          </w:p>
        </w:tc>
        <w:tc>
          <w:tcPr>
            <w:tcW w:w="3851" w:type="dxa"/>
            <w:vAlign w:val="center"/>
          </w:tcPr>
          <w:p>
            <w:pPr>
              <w:widowControl w:val="0"/>
            </w:pPr>
            <w:r>
              <w:t>Kiekvienai jungčiai *</w:t>
            </w:r>
          </w:p>
          <w:p>
            <w:pPr>
              <w:widowControl w:val="0"/>
            </w:pPr>
            <w:r>
              <w:t>Bendras kelioms jungtims**</w:t>
            </w:r>
          </w:p>
        </w:tc>
      </w:tr>
      <w:tr>
        <w:trPr>
          <w:cantSplit/>
          <w:trHeight w:val="20"/>
        </w:trPr>
        <w:tc>
          <w:tcPr>
            <w:tcW w:w="1445" w:type="dxa"/>
            <w:vAlign w:val="center"/>
          </w:tcPr>
          <w:p>
            <w:pPr>
              <w:widowControl w:val="0"/>
            </w:pPr>
            <w:r>
              <w:t>6–35</w:t>
            </w:r>
          </w:p>
        </w:tc>
        <w:tc>
          <w:tcPr>
            <w:tcW w:w="3611" w:type="dxa"/>
            <w:vAlign w:val="center"/>
          </w:tcPr>
          <w:p>
            <w:pPr>
              <w:widowControl w:val="0"/>
            </w:pPr>
            <w:r>
              <w:t>Radialiai maitinama šynų sekcija, sistema</w:t>
            </w:r>
          </w:p>
        </w:tc>
        <w:tc>
          <w:tcPr>
            <w:tcW w:w="3851" w:type="dxa"/>
            <w:vAlign w:val="center"/>
          </w:tcPr>
          <w:p>
            <w:pPr>
              <w:widowControl w:val="0"/>
            </w:pPr>
            <w:r>
              <w:t>Maitinančiam įvadui (linijai, transformatoriui***)*</w:t>
            </w:r>
          </w:p>
          <w:p>
            <w:pPr>
              <w:widowControl w:val="0"/>
            </w:pPr>
            <w:r>
              <w:t>Bendras keliems įvadams**</w:t>
            </w:r>
          </w:p>
        </w:tc>
      </w:tr>
      <w:tr>
        <w:trPr>
          <w:cantSplit/>
          <w:trHeight w:val="20"/>
        </w:trPr>
        <w:tc>
          <w:tcPr>
            <w:tcW w:w="1445" w:type="dxa"/>
            <w:vAlign w:val="center"/>
          </w:tcPr>
          <w:p>
            <w:pPr>
              <w:widowControl w:val="0"/>
            </w:pPr>
            <w:r>
              <w:t>110</w:t>
            </w:r>
          </w:p>
        </w:tc>
        <w:tc>
          <w:tcPr>
            <w:tcW w:w="3611" w:type="dxa"/>
            <w:vAlign w:val="center"/>
          </w:tcPr>
          <w:p>
            <w:pPr>
              <w:widowControl w:val="0"/>
            </w:pPr>
            <w:r>
              <w:t>Linija (tarpšyninis, sekcinis, apeinamasis jungtuvai, transformatorius***)</w:t>
            </w:r>
          </w:p>
        </w:tc>
        <w:tc>
          <w:tcPr>
            <w:tcW w:w="3851" w:type="dxa"/>
            <w:vAlign w:val="center"/>
          </w:tcPr>
          <w:p>
            <w:pPr>
              <w:widowControl w:val="0"/>
            </w:pPr>
            <w:r>
              <w:t>Kiekvienam prijunginiui*</w:t>
            </w:r>
          </w:p>
          <w:p>
            <w:pPr>
              <w:widowControl w:val="0"/>
            </w:pPr>
            <w:r>
              <w:t>Bendras keliems prijunginiams**</w:t>
            </w:r>
          </w:p>
        </w:tc>
      </w:tr>
      <w:tr>
        <w:trPr>
          <w:cantSplit/>
          <w:trHeight w:val="20"/>
        </w:trPr>
        <w:tc>
          <w:tcPr>
            <w:tcW w:w="1445" w:type="dxa"/>
            <w:vAlign w:val="center"/>
          </w:tcPr>
          <w:p>
            <w:pPr>
              <w:widowControl w:val="0"/>
            </w:pPr>
            <w:r>
              <w:t>110–400</w:t>
            </w:r>
          </w:p>
        </w:tc>
        <w:tc>
          <w:tcPr>
            <w:tcW w:w="3611" w:type="dxa"/>
            <w:vAlign w:val="center"/>
          </w:tcPr>
          <w:p>
            <w:pPr>
              <w:widowControl w:val="0"/>
            </w:pPr>
            <w:r>
              <w:t>Šynų sistema (sekcija) su dviem ir daugiau prijunginių</w:t>
            </w:r>
          </w:p>
        </w:tc>
        <w:tc>
          <w:tcPr>
            <w:tcW w:w="3851" w:type="dxa"/>
            <w:vAlign w:val="center"/>
          </w:tcPr>
          <w:p>
            <w:pPr>
              <w:widowControl w:val="0"/>
            </w:pPr>
            <w:r>
              <w:t>Kiekvienai darbinei šynų sistemai*</w:t>
            </w:r>
          </w:p>
          <w:p>
            <w:pPr>
              <w:widowControl w:val="0"/>
            </w:pPr>
            <w:r>
              <w:t>Neįrengiama**</w:t>
            </w:r>
          </w:p>
        </w:tc>
      </w:tr>
      <w:tr>
        <w:trPr>
          <w:cantSplit/>
          <w:trHeight w:val="20"/>
        </w:trPr>
        <w:tc>
          <w:tcPr>
            <w:tcW w:w="1445" w:type="dxa"/>
            <w:vAlign w:val="center"/>
          </w:tcPr>
          <w:p>
            <w:pPr>
              <w:widowControl w:val="0"/>
            </w:pPr>
            <w:r>
              <w:t>110–400</w:t>
            </w:r>
          </w:p>
        </w:tc>
        <w:tc>
          <w:tcPr>
            <w:tcW w:w="3611" w:type="dxa"/>
            <w:vAlign w:val="center"/>
          </w:tcPr>
          <w:p>
            <w:pPr>
              <w:widowControl w:val="0"/>
            </w:pPr>
            <w:r>
              <w:t>Skirstomoji šynų sistema, (auto) transformatorių ir linijų šynuotės</w:t>
            </w:r>
          </w:p>
        </w:tc>
        <w:tc>
          <w:tcPr>
            <w:tcW w:w="3851" w:type="dxa"/>
            <w:vAlign w:val="center"/>
          </w:tcPr>
          <w:p>
            <w:pPr>
              <w:widowControl w:val="0"/>
            </w:pPr>
            <w:r>
              <w:t>Neįrengiama</w:t>
            </w:r>
          </w:p>
        </w:tc>
      </w:tr>
      <w:tr>
        <w:trPr>
          <w:cantSplit/>
          <w:trHeight w:val="20"/>
        </w:trPr>
        <w:tc>
          <w:tcPr>
            <w:tcW w:w="1445" w:type="dxa"/>
            <w:vAlign w:val="center"/>
          </w:tcPr>
          <w:p>
            <w:pPr>
              <w:widowControl w:val="0"/>
            </w:pPr>
            <w:r>
              <w:t>330–400</w:t>
            </w:r>
          </w:p>
        </w:tc>
        <w:tc>
          <w:tcPr>
            <w:tcW w:w="3611" w:type="dxa"/>
            <w:vAlign w:val="center"/>
          </w:tcPr>
          <w:p>
            <w:pPr>
              <w:widowControl w:val="0"/>
            </w:pPr>
            <w:r>
              <w:t>Linija, tarpšyninis, sekcinis, apeinamasis jungtuvai</w:t>
            </w:r>
          </w:p>
        </w:tc>
        <w:tc>
          <w:tcPr>
            <w:tcW w:w="3851" w:type="dxa"/>
            <w:vAlign w:val="center"/>
          </w:tcPr>
          <w:p>
            <w:pPr>
              <w:widowControl w:val="0"/>
            </w:pPr>
            <w:r>
              <w:t>Kiekvienam prijunginiui</w:t>
            </w:r>
          </w:p>
        </w:tc>
      </w:tr>
      <w:tr>
        <w:trPr>
          <w:cantSplit/>
          <w:trHeight w:val="20"/>
        </w:trPr>
        <w:tc>
          <w:tcPr>
            <w:tcW w:w="1445" w:type="dxa"/>
            <w:vAlign w:val="center"/>
          </w:tcPr>
          <w:p>
            <w:pPr>
              <w:widowControl w:val="0"/>
            </w:pPr>
            <w:r>
              <w:t>330–400</w:t>
            </w:r>
          </w:p>
        </w:tc>
        <w:tc>
          <w:tcPr>
            <w:tcW w:w="3611" w:type="dxa"/>
            <w:vAlign w:val="center"/>
          </w:tcPr>
          <w:p>
            <w:pPr>
              <w:widowControl w:val="0"/>
            </w:pPr>
            <w:r>
              <w:t>Autotransformatorius</w:t>
            </w:r>
          </w:p>
        </w:tc>
        <w:tc>
          <w:tcPr>
            <w:tcW w:w="3851" w:type="dxa"/>
            <w:vAlign w:val="center"/>
          </w:tcPr>
          <w:p>
            <w:pPr>
              <w:widowControl w:val="0"/>
            </w:pPr>
            <w:r>
              <w:t>Aukštesniosios ir viduriniosios įtampos pusėse</w:t>
            </w:r>
          </w:p>
        </w:tc>
      </w:tr>
      <w:tr>
        <w:trPr>
          <w:cantSplit/>
          <w:trHeight w:val="20"/>
        </w:trPr>
        <w:tc>
          <w:tcPr>
            <w:tcW w:w="1445" w:type="dxa"/>
            <w:vAlign w:val="center"/>
          </w:tcPr>
          <w:p>
            <w:pPr>
              <w:widowControl w:val="0"/>
            </w:pPr>
            <w:r>
              <w:t>330–400</w:t>
            </w:r>
          </w:p>
        </w:tc>
        <w:tc>
          <w:tcPr>
            <w:tcW w:w="3611" w:type="dxa"/>
            <w:vAlign w:val="center"/>
          </w:tcPr>
          <w:p>
            <w:pPr>
              <w:widowControl w:val="0"/>
            </w:pPr>
            <w:r>
              <w:t>Transformatorius</w:t>
            </w:r>
          </w:p>
        </w:tc>
        <w:tc>
          <w:tcPr>
            <w:tcW w:w="3851" w:type="dxa"/>
            <w:vAlign w:val="center"/>
          </w:tcPr>
          <w:p>
            <w:pPr>
              <w:widowControl w:val="0"/>
            </w:pPr>
            <w:r>
              <w:t>Aukštesniosios ir žemesniosios įtampos pusėse</w:t>
            </w:r>
          </w:p>
        </w:tc>
      </w:tr>
    </w:tbl>
    <w:p>
      <w:pPr>
        <w:widowControl w:val="0"/>
        <w:ind w:firstLine="284"/>
        <w:jc w:val="both"/>
      </w:pPr>
    </w:p>
    <w:p>
      <w:pPr>
        <w:widowControl w:val="0"/>
        <w:ind w:firstLine="567"/>
        <w:jc w:val="both"/>
      </w:pPr>
      <w:r>
        <w:t>*Kai apsaugų aparatuose yra integruoti registratoriai.</w:t>
      </w:r>
    </w:p>
    <w:p>
      <w:pPr>
        <w:widowControl w:val="0"/>
        <w:ind w:firstLine="284"/>
        <w:jc w:val="both"/>
      </w:pPr>
      <w:r>
        <w:t>**Kai nėra integruotų registratorių.</w:t>
      </w:r>
    </w:p>
    <w:p>
      <w:pPr>
        <w:widowControl w:val="0"/>
        <w:ind w:firstLine="567"/>
        <w:jc w:val="both"/>
      </w:pPr>
      <w:r>
        <w:t>***Jei jautrumas pakankamas, registratorius įrengiamas dviejų apvijų transformatoriaus pagrindinio maitinimo pusėje.</w:t>
      </w:r>
    </w:p>
    <w:p>
      <w:pPr>
        <w:widowControl w:val="0"/>
        <w:ind w:firstLine="567"/>
        <w:jc w:val="both"/>
        <w:rPr>
          <w:b/>
        </w:rPr>
      </w:pPr>
    </w:p>
    <w:p>
      <w:pPr>
        <w:widowControl w:val="0"/>
        <w:ind w:firstLine="567"/>
        <w:jc w:val="both"/>
        <w:rPr>
          <w:b/>
        </w:rPr>
      </w:pPr>
      <w:r>
        <w:rPr>
          <w:b/>
        </w:rPr>
        <w:t>3 lentelė. Registruojamų avarinių procesų parametrų sąrašas</w:t>
      </w:r>
    </w:p>
    <w:p>
      <w:pPr>
        <w:widowControl w:val="0"/>
        <w:ind w:firstLine="567"/>
        <w:jc w:val="both"/>
      </w:pPr>
    </w:p>
    <w:tbl>
      <w:tblPr>
        <w:tblW w:w="9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22"/>
        <w:gridCol w:w="1953"/>
        <w:gridCol w:w="5833"/>
      </w:tblGrid>
      <w:tr>
        <w:trPr>
          <w:cantSplit/>
          <w:trHeight w:val="567"/>
        </w:trPr>
        <w:tc>
          <w:tcPr>
            <w:tcW w:w="1422" w:type="dxa"/>
            <w:vAlign w:val="center"/>
          </w:tcPr>
          <w:p>
            <w:pPr>
              <w:widowControl w:val="0"/>
              <w:jc w:val="both"/>
            </w:pPr>
            <w:r>
              <w:t>Įtampa, kV</w:t>
            </w:r>
          </w:p>
        </w:tc>
        <w:tc>
          <w:tcPr>
            <w:tcW w:w="1953" w:type="dxa"/>
            <w:vAlign w:val="center"/>
          </w:tcPr>
          <w:p>
            <w:pPr>
              <w:widowControl w:val="0"/>
              <w:jc w:val="both"/>
            </w:pPr>
            <w:r>
              <w:t>Prijunginys</w:t>
            </w:r>
          </w:p>
        </w:tc>
        <w:tc>
          <w:tcPr>
            <w:tcW w:w="5833" w:type="dxa"/>
            <w:vAlign w:val="center"/>
          </w:tcPr>
          <w:p>
            <w:pPr>
              <w:widowControl w:val="0"/>
              <w:jc w:val="both"/>
            </w:pPr>
            <w:r>
              <w:t>Rekomenduojami registruoti parametrai</w:t>
            </w:r>
          </w:p>
        </w:tc>
      </w:tr>
      <w:tr>
        <w:trPr>
          <w:trHeight w:val="20"/>
        </w:trPr>
        <w:tc>
          <w:tcPr>
            <w:tcW w:w="1422" w:type="dxa"/>
            <w:vAlign w:val="center"/>
          </w:tcPr>
          <w:p>
            <w:pPr>
              <w:widowControl w:val="0"/>
              <w:jc w:val="both"/>
            </w:pPr>
            <w:r>
              <w:t>6–35</w:t>
            </w:r>
          </w:p>
        </w:tc>
        <w:tc>
          <w:tcPr>
            <w:tcW w:w="1953" w:type="dxa"/>
            <w:vAlign w:val="center"/>
          </w:tcPr>
          <w:p>
            <w:pPr>
              <w:widowControl w:val="0"/>
              <w:jc w:val="both"/>
            </w:pPr>
            <w:r>
              <w:t xml:space="preserve">Linijos, transformatoriai </w:t>
            </w:r>
          </w:p>
        </w:tc>
        <w:tc>
          <w:tcPr>
            <w:tcW w:w="5833" w:type="dxa"/>
            <w:vAlign w:val="center"/>
          </w:tcPr>
          <w:p>
            <w:pPr>
              <w:widowControl w:val="0"/>
            </w:pPr>
            <w:r>
              <w:t>Trijų fazių srovės ir šynų įtampos. Apsaugų, automatikos įrenginių veikimas</w:t>
            </w:r>
          </w:p>
        </w:tc>
      </w:tr>
      <w:tr>
        <w:trPr>
          <w:cantSplit/>
          <w:trHeight w:val="20"/>
        </w:trPr>
        <w:tc>
          <w:tcPr>
            <w:tcW w:w="1422" w:type="dxa"/>
            <w:vAlign w:val="center"/>
          </w:tcPr>
          <w:p>
            <w:pPr>
              <w:widowControl w:val="0"/>
              <w:jc w:val="both"/>
            </w:pPr>
            <w:r>
              <w:t>110–400</w:t>
            </w:r>
          </w:p>
        </w:tc>
        <w:tc>
          <w:tcPr>
            <w:tcW w:w="1953" w:type="dxa"/>
            <w:vAlign w:val="center"/>
          </w:tcPr>
          <w:p>
            <w:pPr>
              <w:widowControl w:val="0"/>
              <w:jc w:val="both"/>
            </w:pPr>
            <w:r>
              <w:t>Linijos,</w:t>
            </w:r>
          </w:p>
          <w:p>
            <w:pPr>
              <w:widowControl w:val="0"/>
              <w:jc w:val="both"/>
            </w:pPr>
            <w:r>
              <w:t xml:space="preserve">(auto) transformatoriai </w:t>
            </w:r>
          </w:p>
        </w:tc>
        <w:tc>
          <w:tcPr>
            <w:tcW w:w="5833" w:type="dxa"/>
            <w:vAlign w:val="center"/>
          </w:tcPr>
          <w:p>
            <w:pPr>
              <w:widowControl w:val="0"/>
            </w:pPr>
            <w:r>
              <w:t>Trijų fazių srovės ir (šynų) įtampos. Nulinės sekos srovė ir įtampa. Apsaugų, automatikos įrenginių veikimas, kai kurių apsaugų parametrai (aukšto dažnio imtuvų perdavimo ir siųstuvų išėjimo srovės)</w:t>
            </w:r>
          </w:p>
        </w:tc>
      </w:tr>
      <w:tr>
        <w:trPr>
          <w:cantSplit/>
          <w:trHeight w:val="20"/>
        </w:trPr>
        <w:tc>
          <w:tcPr>
            <w:tcW w:w="1422" w:type="dxa"/>
            <w:vAlign w:val="center"/>
          </w:tcPr>
          <w:p>
            <w:pPr>
              <w:widowControl w:val="0"/>
              <w:jc w:val="both"/>
            </w:pPr>
            <w:r>
              <w:t>110–400</w:t>
            </w:r>
          </w:p>
        </w:tc>
        <w:tc>
          <w:tcPr>
            <w:tcW w:w="1953" w:type="dxa"/>
            <w:vAlign w:val="center"/>
          </w:tcPr>
          <w:p>
            <w:pPr>
              <w:widowControl w:val="0"/>
              <w:jc w:val="both"/>
            </w:pPr>
            <w:r>
              <w:t>Šynos*</w:t>
            </w:r>
          </w:p>
        </w:tc>
        <w:tc>
          <w:tcPr>
            <w:tcW w:w="5833" w:type="dxa"/>
            <w:vAlign w:val="center"/>
          </w:tcPr>
          <w:p>
            <w:pPr>
              <w:widowControl w:val="0"/>
            </w:pPr>
            <w:r>
              <w:t>Darbinės šynų sekcijos arba sistemos fazinės įtampos. Šynų apsaugos veikimas ir diferencinė srovė</w:t>
            </w:r>
          </w:p>
        </w:tc>
      </w:tr>
    </w:tbl>
    <w:p>
      <w:pPr>
        <w:widowControl w:val="0"/>
        <w:jc w:val="both"/>
      </w:pPr>
    </w:p>
    <w:p>
      <w:pPr>
        <w:widowControl w:val="0"/>
        <w:ind w:firstLine="567"/>
        <w:jc w:val="both"/>
      </w:pPr>
      <w:r>
        <w:t>*Naudojant apsaugose integruotus registratorius.</w:t>
      </w:r>
    </w:p>
    <w:p>
      <w:pPr>
        <w:widowControl w:val="0"/>
        <w:jc w:val="center"/>
      </w:pPr>
      <w:r>
        <w:t>_________________</w:t>
      </w:r>
    </w:p>
    <w:p>
      <w:pPr>
        <w:widowControl w:val="0"/>
        <w:ind w:left="4535"/>
        <w:sectPr>
          <w:pgSz w:w="11907" w:h="16840" w:code="9"/>
          <w:pgMar w:top="1134" w:right="567" w:bottom="1134" w:left="1701" w:header="680" w:footer="680" w:gutter="0"/>
          <w:pgNumType w:start="1"/>
          <w:cols w:space="1296"/>
          <w:titlePg/>
          <w:docGrid w:linePitch="326"/>
        </w:sectPr>
      </w:pPr>
    </w:p>
    <w:p>
      <w:pPr>
        <w:widowControl w:val="0"/>
        <w:ind w:left="4535"/>
      </w:pPr>
      <w:r>
        <w:t>Elektros įrenginių įrengimo bendrųjų taisyklių</w:t>
      </w:r>
    </w:p>
    <w:p>
      <w:pPr>
        <w:widowControl w:val="0"/>
        <w:ind w:left="4535"/>
      </w:pPr>
      <w:r>
        <w:t>4</w:t>
      </w:r>
      <w:r>
        <w:t xml:space="preserve"> priedas</w:t>
      </w:r>
    </w:p>
    <w:p>
      <w:pPr>
        <w:widowControl w:val="0"/>
        <w:jc w:val="both"/>
      </w:pPr>
    </w:p>
    <w:p>
      <w:pPr>
        <w:widowControl w:val="0"/>
        <w:jc w:val="center"/>
        <w:rPr>
          <w:b/>
        </w:rPr>
      </w:pPr>
      <w:r>
        <w:rPr>
          <w:b/>
        </w:rPr>
        <w:t>ELEKTROS ĮRENGINIŲ ĮŽEMINIMAS IR</w:t>
      </w:r>
    </w:p>
    <w:p>
      <w:pPr>
        <w:widowControl w:val="0"/>
        <w:jc w:val="center"/>
      </w:pPr>
      <w:r>
        <w:rPr>
          <w:b/>
        </w:rPr>
        <w:t>APSAUGA NUO VIRŠĮTAMPIŲ</w:t>
      </w:r>
    </w:p>
    <w:p>
      <w:pPr>
        <w:widowControl w:val="0"/>
        <w:jc w:val="center"/>
        <w:rPr>
          <w:b/>
        </w:rPr>
      </w:pPr>
    </w:p>
    <w:p>
      <w:pPr>
        <w:widowControl w:val="0"/>
        <w:jc w:val="center"/>
      </w:pPr>
      <w:r>
        <w:rPr>
          <w:lang w:eastAsia="lt-LT"/>
        </w:rPr>
        <w:drawing>
          <wp:inline distT="0" distB="0" distL="0" distR="0">
            <wp:extent cx="3400425" cy="2324100"/>
            <wp:effectExtent l="0" t="0" r="0" b="0"/>
            <wp:docPr id="201" name="Picture 201" descr="TN-S ti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N-S tinklas"/>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400425" cy="2324100"/>
                    </a:xfrm>
                    <a:prstGeom prst="rect">
                      <a:avLst/>
                    </a:prstGeom>
                    <a:noFill/>
                    <a:ln>
                      <a:noFill/>
                    </a:ln>
                  </pic:spPr>
                </pic:pic>
              </a:graphicData>
            </a:graphic>
          </wp:inline>
        </w:drawing>
      </w:r>
    </w:p>
    <w:p>
      <w:pPr>
        <w:widowControl w:val="0"/>
        <w:jc w:val="center"/>
      </w:pPr>
      <w:r>
        <w:t>a) TN–S tinklo posistemė</w:t>
      </w:r>
    </w:p>
    <w:p>
      <w:pPr>
        <w:widowControl w:val="0"/>
        <w:jc w:val="center"/>
      </w:pPr>
    </w:p>
    <w:p>
      <w:pPr>
        <w:widowControl w:val="0"/>
        <w:jc w:val="center"/>
      </w:pPr>
      <w:r>
        <w:rPr>
          <w:lang w:eastAsia="lt-LT"/>
        </w:rPr>
        <w:drawing>
          <wp:inline distT="0" distB="0" distL="0" distR="0">
            <wp:extent cx="3419475" cy="2314575"/>
            <wp:effectExtent l="0" t="0" r="0" b="0"/>
            <wp:docPr id="202" name="Picture 202" descr="TN-C ti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N-C tinkla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19475" cy="2314575"/>
                    </a:xfrm>
                    <a:prstGeom prst="rect">
                      <a:avLst/>
                    </a:prstGeom>
                    <a:noFill/>
                    <a:ln>
                      <a:noFill/>
                    </a:ln>
                  </pic:spPr>
                </pic:pic>
              </a:graphicData>
            </a:graphic>
          </wp:inline>
        </w:drawing>
      </w:r>
    </w:p>
    <w:p>
      <w:pPr>
        <w:widowControl w:val="0"/>
        <w:jc w:val="center"/>
      </w:pPr>
    </w:p>
    <w:p>
      <w:pPr>
        <w:widowControl w:val="0"/>
        <w:jc w:val="center"/>
      </w:pPr>
      <w:r>
        <w:t>b) TN–C tinklo posistemė</w:t>
      </w:r>
    </w:p>
    <w:p>
      <w:pPr>
        <w:widowControl w:val="0"/>
        <w:jc w:val="center"/>
      </w:pPr>
    </w:p>
    <w:p>
      <w:pPr>
        <w:widowControl w:val="0"/>
        <w:jc w:val="center"/>
      </w:pPr>
      <w:r>
        <w:rPr>
          <w:lang w:eastAsia="lt-LT"/>
        </w:rPr>
        <w:drawing>
          <wp:inline distT="0" distB="0" distL="0" distR="0">
            <wp:extent cx="3914775" cy="2447925"/>
            <wp:effectExtent l="0" t="0" r="0" b="0"/>
            <wp:docPr id="203" name="Picture 203" descr="TN-S-C ti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N-S-C tinklas"/>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914775" cy="2447925"/>
                    </a:xfrm>
                    <a:prstGeom prst="rect">
                      <a:avLst/>
                    </a:prstGeom>
                    <a:noFill/>
                    <a:ln>
                      <a:noFill/>
                    </a:ln>
                  </pic:spPr>
                </pic:pic>
              </a:graphicData>
            </a:graphic>
          </wp:inline>
        </w:drawing>
      </w:r>
    </w:p>
    <w:p>
      <w:pPr>
        <w:widowControl w:val="0"/>
        <w:jc w:val="center"/>
        <w:rPr>
          <w:vanish/>
        </w:rPr>
      </w:pPr>
    </w:p>
    <w:p>
      <w:pPr>
        <w:widowControl w:val="0"/>
        <w:jc w:val="center"/>
      </w:pPr>
      <w:r>
        <w:t>c) TN–C–S tinklo posistemė</w:t>
      </w:r>
    </w:p>
    <w:p>
      <w:pPr>
        <w:widowControl w:val="0"/>
        <w:jc w:val="center"/>
      </w:pPr>
    </w:p>
    <w:p>
      <w:pPr>
        <w:widowControl w:val="0"/>
        <w:jc w:val="center"/>
      </w:pPr>
      <w:r>
        <w:t>1 pav. Iki 1000 V įtampos elektros tinklų TN sistemos</w:t>
      </w:r>
    </w:p>
    <w:p>
      <w:pPr>
        <w:widowControl w:val="0"/>
        <w:jc w:val="center"/>
      </w:pPr>
      <w:r>
        <w:rPr>
          <w:lang w:eastAsia="lt-LT"/>
        </w:rPr>
        <w:drawing>
          <wp:inline distT="0" distB="0" distL="0" distR="0">
            <wp:extent cx="3971925" cy="3200400"/>
            <wp:effectExtent l="0" t="0" r="0" b="0"/>
            <wp:docPr id="204" name="Picture 204" descr="TT ti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T tinklas"/>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971925" cy="3200400"/>
                    </a:xfrm>
                    <a:prstGeom prst="rect">
                      <a:avLst/>
                    </a:prstGeom>
                    <a:noFill/>
                    <a:ln>
                      <a:noFill/>
                    </a:ln>
                  </pic:spPr>
                </pic:pic>
              </a:graphicData>
            </a:graphic>
          </wp:inline>
        </w:drawing>
      </w:r>
    </w:p>
    <w:p>
      <w:pPr>
        <w:widowControl w:val="0"/>
        <w:jc w:val="center"/>
      </w:pPr>
    </w:p>
    <w:p>
      <w:pPr>
        <w:widowControl w:val="0"/>
        <w:jc w:val="center"/>
      </w:pPr>
    </w:p>
    <w:p>
      <w:pPr>
        <w:widowControl w:val="0"/>
        <w:jc w:val="center"/>
      </w:pPr>
      <w:r>
        <w:t>2 pav. Iki 1000 V įtampos elektros tinklų TT sistema</w:t>
      </w:r>
    </w:p>
    <w:p>
      <w:pPr>
        <w:widowControl w:val="0"/>
        <w:jc w:val="center"/>
      </w:pPr>
    </w:p>
    <w:p>
      <w:pPr>
        <w:widowControl w:val="0"/>
        <w:jc w:val="center"/>
      </w:pPr>
      <w:r>
        <w:rPr>
          <w:lang w:eastAsia="lt-LT"/>
        </w:rPr>
        <w:drawing>
          <wp:inline distT="0" distB="0" distL="0" distR="0">
            <wp:extent cx="4000500" cy="3171825"/>
            <wp:effectExtent l="0" t="0" r="0" b="0"/>
            <wp:docPr id="205" name="Picture 205" descr="IT ti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T tinklas"/>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000500" cy="3171825"/>
                    </a:xfrm>
                    <a:prstGeom prst="rect">
                      <a:avLst/>
                    </a:prstGeom>
                    <a:noFill/>
                    <a:ln>
                      <a:noFill/>
                    </a:ln>
                  </pic:spPr>
                </pic:pic>
              </a:graphicData>
            </a:graphic>
          </wp:inline>
        </w:drawing>
      </w:r>
    </w:p>
    <w:p>
      <w:pPr>
        <w:widowControl w:val="0"/>
        <w:jc w:val="center"/>
      </w:pPr>
    </w:p>
    <w:p>
      <w:pPr>
        <w:widowControl w:val="0"/>
        <w:jc w:val="center"/>
      </w:pPr>
      <w:r>
        <w:t>3 pav. Iki 1000 V įtampos elektros tinklų IT sistema</w:t>
      </w:r>
    </w:p>
    <w:p>
      <w:pPr>
        <w:ind w:firstLine="567"/>
        <w:jc w:val="both"/>
      </w:pPr>
    </w:p>
    <w:p>
      <w:pPr>
        <w:widowControl w:val="0"/>
        <w:suppressAutoHyphens/>
        <w:ind w:firstLine="567"/>
        <w:jc w:val="both"/>
        <w:rPr>
          <w:bCs/>
          <w:vanish/>
          <w:color w:val="000000"/>
          <w:lang w:val="en-GB"/>
        </w:rPr>
      </w:pPr>
      <w:r>
        <w:rPr>
          <w:bCs/>
          <w:vanish/>
          <w:color w:val="000000"/>
          <w:lang w:val="en-GB"/>
        </w:rPr>
        <w:t>_____________________</w:t>
      </w:r>
    </w:p>
    <w:p>
      <w:pPr>
        <w:ind w:firstLine="567"/>
        <w:jc w:val="both"/>
        <w:rPr>
          <w:lang w:val="en-GB"/>
        </w:rPr>
      </w:pPr>
    </w:p>
    <w:p>
      <w:pPr>
        <w:widowControl w:val="0"/>
        <w:ind w:firstLine="567"/>
        <w:jc w:val="both"/>
        <w:rPr>
          <w:b/>
        </w:rPr>
      </w:pPr>
      <w:r>
        <w:rPr>
          <w:b/>
        </w:rPr>
        <w:t xml:space="preserve">1 lentelė. Leistinoji prisilietimo įtampa </w:t>
      </w:r>
    </w:p>
    <w:p>
      <w:pPr>
        <w:widowControl w:val="0"/>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1" w:type="dxa"/>
          <w:right w:w="51" w:type="dxa"/>
        </w:tblCellMar>
        <w:tblLook w:val="0000" w:firstRow="0" w:lastRow="0" w:firstColumn="0" w:lastColumn="0" w:noHBand="0" w:noVBand="0"/>
      </w:tblPr>
      <w:tblGrid>
        <w:gridCol w:w="2446"/>
        <w:gridCol w:w="602"/>
        <w:gridCol w:w="602"/>
        <w:gridCol w:w="602"/>
        <w:gridCol w:w="602"/>
        <w:gridCol w:w="602"/>
        <w:gridCol w:w="603"/>
        <w:gridCol w:w="602"/>
        <w:gridCol w:w="602"/>
        <w:gridCol w:w="602"/>
        <w:gridCol w:w="602"/>
        <w:gridCol w:w="603"/>
      </w:tblGrid>
      <w:tr>
        <w:trPr>
          <w:cantSplit/>
          <w:trHeight w:val="20"/>
        </w:trPr>
        <w:tc>
          <w:tcPr>
            <w:tcW w:w="2266" w:type="dxa"/>
            <w:vAlign w:val="center"/>
          </w:tcPr>
          <w:p>
            <w:pPr>
              <w:widowControl w:val="0"/>
              <w:jc w:val="both"/>
            </w:pPr>
            <w:r>
              <w:t>Poveikio trukmė, s</w:t>
            </w:r>
          </w:p>
        </w:tc>
        <w:tc>
          <w:tcPr>
            <w:tcW w:w="558" w:type="dxa"/>
            <w:vAlign w:val="center"/>
          </w:tcPr>
          <w:p>
            <w:pPr>
              <w:widowControl w:val="0"/>
              <w:jc w:val="both"/>
            </w:pPr>
            <w:r>
              <w:t>10</w:t>
            </w:r>
          </w:p>
        </w:tc>
        <w:tc>
          <w:tcPr>
            <w:tcW w:w="558" w:type="dxa"/>
            <w:vAlign w:val="center"/>
          </w:tcPr>
          <w:p>
            <w:pPr>
              <w:widowControl w:val="0"/>
              <w:jc w:val="both"/>
            </w:pPr>
            <w:r>
              <w:t>1,1</w:t>
            </w:r>
          </w:p>
        </w:tc>
        <w:tc>
          <w:tcPr>
            <w:tcW w:w="558" w:type="dxa"/>
            <w:vAlign w:val="center"/>
          </w:tcPr>
          <w:p>
            <w:pPr>
              <w:widowControl w:val="0"/>
              <w:jc w:val="both"/>
            </w:pPr>
            <w:r>
              <w:t>0,72</w:t>
            </w:r>
          </w:p>
        </w:tc>
        <w:tc>
          <w:tcPr>
            <w:tcW w:w="558" w:type="dxa"/>
            <w:vAlign w:val="center"/>
          </w:tcPr>
          <w:p>
            <w:pPr>
              <w:widowControl w:val="0"/>
              <w:jc w:val="both"/>
            </w:pPr>
            <w:r>
              <w:t>0,64</w:t>
            </w:r>
          </w:p>
        </w:tc>
        <w:tc>
          <w:tcPr>
            <w:tcW w:w="558" w:type="dxa"/>
            <w:vAlign w:val="center"/>
          </w:tcPr>
          <w:p>
            <w:pPr>
              <w:widowControl w:val="0"/>
              <w:jc w:val="both"/>
            </w:pPr>
            <w:r>
              <w:t>0,49</w:t>
            </w:r>
          </w:p>
        </w:tc>
        <w:tc>
          <w:tcPr>
            <w:tcW w:w="559" w:type="dxa"/>
            <w:vAlign w:val="center"/>
          </w:tcPr>
          <w:p>
            <w:pPr>
              <w:widowControl w:val="0"/>
              <w:jc w:val="both"/>
            </w:pPr>
            <w:r>
              <w:t>0,39</w:t>
            </w:r>
          </w:p>
        </w:tc>
        <w:tc>
          <w:tcPr>
            <w:tcW w:w="558" w:type="dxa"/>
            <w:vAlign w:val="center"/>
          </w:tcPr>
          <w:p>
            <w:pPr>
              <w:widowControl w:val="0"/>
              <w:jc w:val="both"/>
            </w:pPr>
            <w:r>
              <w:t>0,29</w:t>
            </w:r>
          </w:p>
        </w:tc>
        <w:tc>
          <w:tcPr>
            <w:tcW w:w="558" w:type="dxa"/>
            <w:vAlign w:val="center"/>
          </w:tcPr>
          <w:p>
            <w:pPr>
              <w:widowControl w:val="0"/>
              <w:jc w:val="both"/>
            </w:pPr>
            <w:r>
              <w:t>0,2</w:t>
            </w:r>
          </w:p>
        </w:tc>
        <w:tc>
          <w:tcPr>
            <w:tcW w:w="558" w:type="dxa"/>
            <w:vAlign w:val="center"/>
          </w:tcPr>
          <w:p>
            <w:pPr>
              <w:widowControl w:val="0"/>
              <w:jc w:val="both"/>
            </w:pPr>
            <w:r>
              <w:t>0,14</w:t>
            </w:r>
          </w:p>
        </w:tc>
        <w:tc>
          <w:tcPr>
            <w:tcW w:w="558" w:type="dxa"/>
            <w:vAlign w:val="center"/>
          </w:tcPr>
          <w:p>
            <w:pPr>
              <w:widowControl w:val="0"/>
              <w:jc w:val="both"/>
            </w:pPr>
            <w:r>
              <w:t>0,08</w:t>
            </w:r>
          </w:p>
        </w:tc>
        <w:tc>
          <w:tcPr>
            <w:tcW w:w="559" w:type="dxa"/>
            <w:vAlign w:val="center"/>
          </w:tcPr>
          <w:p>
            <w:pPr>
              <w:widowControl w:val="0"/>
              <w:jc w:val="both"/>
            </w:pPr>
            <w:r>
              <w:t>0,04</w:t>
            </w:r>
          </w:p>
        </w:tc>
      </w:tr>
      <w:tr>
        <w:trPr>
          <w:cantSplit/>
          <w:trHeight w:val="20"/>
        </w:trPr>
        <w:tc>
          <w:tcPr>
            <w:tcW w:w="2266" w:type="dxa"/>
            <w:vAlign w:val="center"/>
          </w:tcPr>
          <w:p>
            <w:pPr>
              <w:widowControl w:val="0"/>
              <w:jc w:val="both"/>
            </w:pPr>
            <w:r>
              <w:t>Prisilietimo įtampa, V</w:t>
            </w:r>
          </w:p>
        </w:tc>
        <w:tc>
          <w:tcPr>
            <w:tcW w:w="558" w:type="dxa"/>
            <w:vAlign w:val="center"/>
          </w:tcPr>
          <w:p>
            <w:pPr>
              <w:widowControl w:val="0"/>
              <w:jc w:val="both"/>
            </w:pPr>
            <w:r>
              <w:t>80</w:t>
            </w:r>
          </w:p>
        </w:tc>
        <w:tc>
          <w:tcPr>
            <w:tcW w:w="558" w:type="dxa"/>
            <w:vAlign w:val="center"/>
          </w:tcPr>
          <w:p>
            <w:pPr>
              <w:widowControl w:val="0"/>
              <w:jc w:val="both"/>
            </w:pPr>
            <w:r>
              <w:t>100</w:t>
            </w:r>
          </w:p>
        </w:tc>
        <w:tc>
          <w:tcPr>
            <w:tcW w:w="558" w:type="dxa"/>
            <w:vAlign w:val="center"/>
          </w:tcPr>
          <w:p>
            <w:pPr>
              <w:widowControl w:val="0"/>
              <w:jc w:val="both"/>
            </w:pPr>
            <w:r>
              <w:t>125</w:t>
            </w:r>
          </w:p>
        </w:tc>
        <w:tc>
          <w:tcPr>
            <w:tcW w:w="558" w:type="dxa"/>
            <w:vAlign w:val="center"/>
          </w:tcPr>
          <w:p>
            <w:pPr>
              <w:widowControl w:val="0"/>
              <w:jc w:val="both"/>
            </w:pPr>
            <w:r>
              <w:t>150</w:t>
            </w:r>
          </w:p>
        </w:tc>
        <w:tc>
          <w:tcPr>
            <w:tcW w:w="558" w:type="dxa"/>
            <w:vAlign w:val="center"/>
          </w:tcPr>
          <w:p>
            <w:pPr>
              <w:widowControl w:val="0"/>
              <w:jc w:val="both"/>
            </w:pPr>
            <w:r>
              <w:t>220</w:t>
            </w:r>
          </w:p>
        </w:tc>
        <w:tc>
          <w:tcPr>
            <w:tcW w:w="559" w:type="dxa"/>
            <w:vAlign w:val="center"/>
          </w:tcPr>
          <w:p>
            <w:pPr>
              <w:widowControl w:val="0"/>
              <w:jc w:val="both"/>
            </w:pPr>
            <w:r>
              <w:t>300</w:t>
            </w:r>
          </w:p>
        </w:tc>
        <w:tc>
          <w:tcPr>
            <w:tcW w:w="558" w:type="dxa"/>
            <w:vAlign w:val="center"/>
          </w:tcPr>
          <w:p>
            <w:pPr>
              <w:widowControl w:val="0"/>
              <w:jc w:val="both"/>
            </w:pPr>
            <w:r>
              <w:t>400</w:t>
            </w:r>
          </w:p>
        </w:tc>
        <w:tc>
          <w:tcPr>
            <w:tcW w:w="558" w:type="dxa"/>
            <w:vAlign w:val="center"/>
          </w:tcPr>
          <w:p>
            <w:pPr>
              <w:widowControl w:val="0"/>
              <w:jc w:val="both"/>
            </w:pPr>
            <w:r>
              <w:t>500</w:t>
            </w:r>
          </w:p>
        </w:tc>
        <w:tc>
          <w:tcPr>
            <w:tcW w:w="558" w:type="dxa"/>
            <w:vAlign w:val="center"/>
          </w:tcPr>
          <w:p>
            <w:pPr>
              <w:widowControl w:val="0"/>
              <w:jc w:val="both"/>
            </w:pPr>
            <w:r>
              <w:t>600</w:t>
            </w:r>
          </w:p>
        </w:tc>
        <w:tc>
          <w:tcPr>
            <w:tcW w:w="558" w:type="dxa"/>
            <w:vAlign w:val="center"/>
          </w:tcPr>
          <w:p>
            <w:pPr>
              <w:widowControl w:val="0"/>
              <w:jc w:val="both"/>
            </w:pPr>
            <w:r>
              <w:t>700</w:t>
            </w:r>
          </w:p>
        </w:tc>
        <w:tc>
          <w:tcPr>
            <w:tcW w:w="559" w:type="dxa"/>
            <w:vAlign w:val="center"/>
          </w:tcPr>
          <w:p>
            <w:pPr>
              <w:widowControl w:val="0"/>
              <w:jc w:val="both"/>
            </w:pPr>
            <w:r>
              <w:t>800</w:t>
            </w:r>
          </w:p>
        </w:tc>
      </w:tr>
    </w:tbl>
    <w:p>
      <w:pPr>
        <w:widowControl w:val="0"/>
        <w:ind w:firstLine="284"/>
        <w:jc w:val="both"/>
        <w:rPr>
          <w:b/>
        </w:rPr>
      </w:pPr>
    </w:p>
    <w:p>
      <w:pPr>
        <w:widowControl w:val="0"/>
        <w:ind w:firstLine="567"/>
        <w:jc w:val="both"/>
        <w:rPr>
          <w:b/>
        </w:rPr>
      </w:pPr>
      <w:r>
        <w:rPr>
          <w:b/>
        </w:rPr>
        <w:t>2 lentelė. Mažiausi įžemintuvų, įžeminimo ir apsauginių laidininkų matmenys</w:t>
      </w:r>
    </w:p>
    <w:p>
      <w:pPr>
        <w:widowControl w:val="0"/>
        <w:ind w:firstLine="284"/>
        <w:jc w:val="both"/>
        <w:rPr>
          <w:b/>
        </w:rPr>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636"/>
        <w:gridCol w:w="1144"/>
        <w:gridCol w:w="1145"/>
        <w:gridCol w:w="1145"/>
      </w:tblGrid>
      <w:tr>
        <w:trPr>
          <w:trHeight w:val="366"/>
          <w:tblHeader/>
        </w:trPr>
        <w:tc>
          <w:tcPr>
            <w:tcW w:w="5628" w:type="dxa"/>
            <w:vAlign w:val="center"/>
          </w:tcPr>
          <w:p>
            <w:pPr>
              <w:widowControl w:val="0"/>
              <w:jc w:val="center"/>
            </w:pPr>
            <w:r>
              <w:t>Pavadinimas</w:t>
            </w:r>
          </w:p>
        </w:tc>
        <w:tc>
          <w:tcPr>
            <w:tcW w:w="1143" w:type="dxa"/>
            <w:vAlign w:val="center"/>
          </w:tcPr>
          <w:p>
            <w:pPr>
              <w:widowControl w:val="0"/>
              <w:jc w:val="center"/>
            </w:pPr>
            <w:r>
              <w:t>Varis</w:t>
            </w:r>
          </w:p>
        </w:tc>
        <w:tc>
          <w:tcPr>
            <w:tcW w:w="1144" w:type="dxa"/>
            <w:vAlign w:val="center"/>
          </w:tcPr>
          <w:p>
            <w:pPr>
              <w:widowControl w:val="0"/>
              <w:jc w:val="center"/>
            </w:pPr>
            <w:r>
              <w:t>Aliuminis</w:t>
            </w:r>
          </w:p>
        </w:tc>
        <w:tc>
          <w:tcPr>
            <w:tcW w:w="1144" w:type="dxa"/>
            <w:vAlign w:val="center"/>
          </w:tcPr>
          <w:p>
            <w:pPr>
              <w:widowControl w:val="0"/>
              <w:jc w:val="center"/>
            </w:pPr>
            <w:r>
              <w:t>Plienas</w:t>
            </w:r>
          </w:p>
        </w:tc>
      </w:tr>
      <w:tr>
        <w:tc>
          <w:tcPr>
            <w:tcW w:w="5628" w:type="dxa"/>
          </w:tcPr>
          <w:p>
            <w:pPr>
              <w:widowControl w:val="0"/>
            </w:pPr>
            <w:r>
              <w:t>Neizoliuoto laidininko skerspjūvis, mm</w:t>
            </w:r>
            <w:r>
              <w:rPr>
                <w:vertAlign w:val="superscript"/>
              </w:rPr>
              <w:t>2</w:t>
            </w:r>
          </w:p>
        </w:tc>
        <w:tc>
          <w:tcPr>
            <w:tcW w:w="1143" w:type="dxa"/>
            <w:vAlign w:val="center"/>
          </w:tcPr>
          <w:p>
            <w:pPr>
              <w:widowControl w:val="0"/>
              <w:jc w:val="center"/>
            </w:pPr>
            <w:r>
              <w:t>4</w:t>
            </w:r>
          </w:p>
        </w:tc>
        <w:tc>
          <w:tcPr>
            <w:tcW w:w="1144" w:type="dxa"/>
            <w:vAlign w:val="center"/>
          </w:tcPr>
          <w:p>
            <w:pPr>
              <w:widowControl w:val="0"/>
              <w:jc w:val="center"/>
            </w:pPr>
            <w:r>
              <w:t>6</w:t>
            </w:r>
          </w:p>
        </w:tc>
        <w:tc>
          <w:tcPr>
            <w:tcW w:w="1144" w:type="dxa"/>
            <w:vAlign w:val="center"/>
          </w:tcPr>
          <w:p>
            <w:pPr>
              <w:widowControl w:val="0"/>
              <w:jc w:val="center"/>
            </w:pPr>
            <w:r>
              <w:t>–</w:t>
            </w:r>
          </w:p>
        </w:tc>
      </w:tr>
      <w:tr>
        <w:tc>
          <w:tcPr>
            <w:tcW w:w="5628" w:type="dxa"/>
          </w:tcPr>
          <w:p>
            <w:pPr>
              <w:widowControl w:val="0"/>
            </w:pPr>
            <w:r>
              <w:t>Neizoliuoto necinkuoto laidininko skersmuo, mm</w:t>
            </w:r>
          </w:p>
        </w:tc>
        <w:tc>
          <w:tcPr>
            <w:tcW w:w="1143" w:type="dxa"/>
            <w:vAlign w:val="center"/>
          </w:tcPr>
          <w:p>
            <w:pPr>
              <w:widowControl w:val="0"/>
              <w:jc w:val="center"/>
            </w:pPr>
            <w:r>
              <w:t>–</w:t>
            </w:r>
          </w:p>
        </w:tc>
        <w:tc>
          <w:tcPr>
            <w:tcW w:w="1144" w:type="dxa"/>
            <w:vAlign w:val="center"/>
          </w:tcPr>
          <w:p>
            <w:pPr>
              <w:widowControl w:val="0"/>
              <w:jc w:val="center"/>
            </w:pPr>
            <w:r>
              <w:t>–</w:t>
            </w:r>
          </w:p>
        </w:tc>
        <w:tc>
          <w:tcPr>
            <w:tcW w:w="1144" w:type="dxa"/>
            <w:vAlign w:val="center"/>
          </w:tcPr>
          <w:p>
            <w:pPr>
              <w:widowControl w:val="0"/>
              <w:jc w:val="center"/>
            </w:pPr>
            <w:r>
              <w:t>6</w:t>
            </w:r>
            <w:r>
              <w:rPr>
                <w:vertAlign w:val="superscript"/>
              </w:rPr>
              <w:sym w:font="Symbol" w:char="F02A"/>
              <w:t xml:space="preserve"> </w:t>
            </w:r>
            <w:r>
              <w:t>(10)</w:t>
            </w:r>
          </w:p>
        </w:tc>
      </w:tr>
      <w:tr>
        <w:tc>
          <w:tcPr>
            <w:tcW w:w="5628" w:type="dxa"/>
          </w:tcPr>
          <w:p>
            <w:pPr>
              <w:widowControl w:val="0"/>
            </w:pPr>
            <w:r>
              <w:t>Izoliuotas laidininkas, kurio skerspjūvis, mm</w:t>
            </w:r>
            <w:r>
              <w:rPr>
                <w:vertAlign w:val="superscript"/>
              </w:rPr>
              <w:t>2</w:t>
            </w:r>
          </w:p>
        </w:tc>
        <w:tc>
          <w:tcPr>
            <w:tcW w:w="1143" w:type="dxa"/>
            <w:vAlign w:val="center"/>
          </w:tcPr>
          <w:p>
            <w:pPr>
              <w:widowControl w:val="0"/>
              <w:jc w:val="center"/>
            </w:pPr>
            <w:r>
              <w:t>1,5</w:t>
            </w:r>
            <w:r>
              <w:rPr>
                <w:vertAlign w:val="superscript"/>
              </w:rPr>
              <w:sym w:font="Symbol" w:char="F02A"/>
              <w:sym w:font="Symbol" w:char="F02A"/>
            </w:r>
          </w:p>
        </w:tc>
        <w:tc>
          <w:tcPr>
            <w:tcW w:w="1144" w:type="dxa"/>
            <w:vAlign w:val="center"/>
          </w:tcPr>
          <w:p>
            <w:pPr>
              <w:widowControl w:val="0"/>
              <w:jc w:val="center"/>
            </w:pPr>
            <w:r>
              <w:t>2,5</w:t>
            </w:r>
          </w:p>
        </w:tc>
        <w:tc>
          <w:tcPr>
            <w:tcW w:w="1144" w:type="dxa"/>
            <w:vAlign w:val="center"/>
          </w:tcPr>
          <w:p>
            <w:pPr>
              <w:widowControl w:val="0"/>
              <w:jc w:val="center"/>
            </w:pPr>
            <w:r>
              <w:t>–</w:t>
            </w:r>
          </w:p>
        </w:tc>
      </w:tr>
      <w:tr>
        <w:tc>
          <w:tcPr>
            <w:tcW w:w="5628" w:type="dxa"/>
          </w:tcPr>
          <w:p>
            <w:pPr>
              <w:widowControl w:val="0"/>
            </w:pPr>
            <w:r>
              <w:t>Kabeliai ir daugiagysliai laidai, esantys bendrame su fazinėmis gyslomis apsauginiame apvalkale, kurių nulinės ir įžeminimo gyslos skerspjūvis, mm</w:t>
            </w:r>
            <w:r>
              <w:rPr>
                <w:vertAlign w:val="superscript"/>
              </w:rPr>
              <w:t>2</w:t>
            </w:r>
            <w:r>
              <w:t xml:space="preserve"> </w:t>
            </w:r>
          </w:p>
        </w:tc>
        <w:tc>
          <w:tcPr>
            <w:tcW w:w="1143" w:type="dxa"/>
            <w:vAlign w:val="center"/>
          </w:tcPr>
          <w:p>
            <w:pPr>
              <w:widowControl w:val="0"/>
              <w:jc w:val="center"/>
            </w:pPr>
            <w:r>
              <w:t>1</w:t>
            </w:r>
          </w:p>
        </w:tc>
        <w:tc>
          <w:tcPr>
            <w:tcW w:w="1144" w:type="dxa"/>
            <w:vAlign w:val="center"/>
          </w:tcPr>
          <w:p>
            <w:pPr>
              <w:widowControl w:val="0"/>
              <w:jc w:val="center"/>
            </w:pPr>
            <w:r>
              <w:t>2,5</w:t>
            </w:r>
          </w:p>
        </w:tc>
        <w:tc>
          <w:tcPr>
            <w:tcW w:w="1144" w:type="dxa"/>
            <w:vAlign w:val="center"/>
          </w:tcPr>
          <w:p>
            <w:pPr>
              <w:widowControl w:val="0"/>
              <w:jc w:val="center"/>
            </w:pPr>
            <w:r>
              <w:t>–</w:t>
            </w:r>
          </w:p>
        </w:tc>
      </w:tr>
      <w:tr>
        <w:tc>
          <w:tcPr>
            <w:tcW w:w="5628" w:type="dxa"/>
          </w:tcPr>
          <w:p>
            <w:pPr>
              <w:widowControl w:val="0"/>
            </w:pPr>
            <w:r>
              <w:t>Metalinės juostos skerspjūvis, mm</w:t>
            </w:r>
            <w:r>
              <w:rPr>
                <w:vertAlign w:val="superscript"/>
              </w:rPr>
              <w:t>2</w:t>
            </w:r>
            <w:r>
              <w:t xml:space="preserve"> </w:t>
            </w:r>
          </w:p>
          <w:p>
            <w:pPr>
              <w:widowControl w:val="0"/>
            </w:pPr>
            <w:r>
              <w:t>Metalinės juostos storis, mm</w:t>
            </w:r>
          </w:p>
        </w:tc>
        <w:tc>
          <w:tcPr>
            <w:tcW w:w="1143" w:type="dxa"/>
            <w:vAlign w:val="center"/>
          </w:tcPr>
          <w:p>
            <w:pPr>
              <w:widowControl w:val="0"/>
              <w:jc w:val="center"/>
            </w:pPr>
            <w:r>
              <w:t>16 (25)</w:t>
            </w:r>
          </w:p>
          <w:p>
            <w:pPr>
              <w:widowControl w:val="0"/>
              <w:jc w:val="center"/>
            </w:pPr>
            <w:r>
              <w:t>2</w:t>
            </w:r>
          </w:p>
        </w:tc>
        <w:tc>
          <w:tcPr>
            <w:tcW w:w="1144" w:type="dxa"/>
            <w:vAlign w:val="center"/>
          </w:tcPr>
          <w:p>
            <w:pPr>
              <w:widowControl w:val="0"/>
              <w:jc w:val="center"/>
            </w:pPr>
            <w:r>
              <w:t>35</w:t>
            </w:r>
          </w:p>
          <w:p>
            <w:pPr>
              <w:widowControl w:val="0"/>
              <w:jc w:val="center"/>
            </w:pPr>
            <w:r>
              <w:t>3</w:t>
            </w:r>
          </w:p>
        </w:tc>
        <w:tc>
          <w:tcPr>
            <w:tcW w:w="1144" w:type="dxa"/>
            <w:vAlign w:val="center"/>
          </w:tcPr>
          <w:p>
            <w:pPr>
              <w:widowControl w:val="0"/>
              <w:jc w:val="center"/>
            </w:pPr>
            <w:r>
              <w:t>36 (48)</w:t>
            </w:r>
          </w:p>
          <w:p>
            <w:pPr>
              <w:widowControl w:val="0"/>
              <w:jc w:val="center"/>
            </w:pPr>
            <w:r>
              <w:t>3 (4)</w:t>
            </w:r>
          </w:p>
        </w:tc>
      </w:tr>
      <w:tr>
        <w:tc>
          <w:tcPr>
            <w:tcW w:w="5628" w:type="dxa"/>
          </w:tcPr>
          <w:p>
            <w:pPr>
              <w:widowControl w:val="0"/>
            </w:pPr>
            <w:r>
              <w:t>Plieninis kampuotis, kurio sienelės storis, mm</w:t>
            </w:r>
          </w:p>
        </w:tc>
        <w:tc>
          <w:tcPr>
            <w:tcW w:w="1143" w:type="dxa"/>
            <w:vAlign w:val="center"/>
          </w:tcPr>
          <w:p>
            <w:pPr>
              <w:widowControl w:val="0"/>
              <w:jc w:val="center"/>
            </w:pPr>
            <w:r>
              <w:t>–</w:t>
            </w:r>
          </w:p>
        </w:tc>
        <w:tc>
          <w:tcPr>
            <w:tcW w:w="1144" w:type="dxa"/>
            <w:vAlign w:val="center"/>
          </w:tcPr>
          <w:p>
            <w:pPr>
              <w:widowControl w:val="0"/>
              <w:jc w:val="center"/>
            </w:pPr>
            <w:r>
              <w:t>–</w:t>
            </w:r>
          </w:p>
        </w:tc>
        <w:tc>
          <w:tcPr>
            <w:tcW w:w="1144" w:type="dxa"/>
            <w:vAlign w:val="center"/>
          </w:tcPr>
          <w:p>
            <w:pPr>
              <w:widowControl w:val="0"/>
              <w:jc w:val="center"/>
            </w:pPr>
            <w:r>
              <w:t>2,5 (4)</w:t>
            </w:r>
          </w:p>
        </w:tc>
      </w:tr>
      <w:tr>
        <w:tc>
          <w:tcPr>
            <w:tcW w:w="5628" w:type="dxa"/>
          </w:tcPr>
          <w:p>
            <w:pPr>
              <w:widowControl w:val="0"/>
            </w:pPr>
            <w:r>
              <w:t>Plieninis vamzdis, kurio sienelės storis, mm</w:t>
            </w:r>
          </w:p>
        </w:tc>
        <w:tc>
          <w:tcPr>
            <w:tcW w:w="1143" w:type="dxa"/>
            <w:vAlign w:val="center"/>
          </w:tcPr>
          <w:p>
            <w:pPr>
              <w:widowControl w:val="0"/>
              <w:jc w:val="center"/>
            </w:pPr>
            <w:r>
              <w:t>–</w:t>
            </w:r>
          </w:p>
        </w:tc>
        <w:tc>
          <w:tcPr>
            <w:tcW w:w="1144" w:type="dxa"/>
            <w:vAlign w:val="center"/>
          </w:tcPr>
          <w:p>
            <w:pPr>
              <w:widowControl w:val="0"/>
              <w:jc w:val="center"/>
            </w:pPr>
            <w:r>
              <w:t>–</w:t>
            </w:r>
          </w:p>
        </w:tc>
        <w:tc>
          <w:tcPr>
            <w:tcW w:w="1144" w:type="dxa"/>
            <w:vAlign w:val="center"/>
          </w:tcPr>
          <w:p>
            <w:pPr>
              <w:widowControl w:val="0"/>
              <w:jc w:val="center"/>
            </w:pPr>
            <w:r>
              <w:t>2,5 (3)</w:t>
            </w:r>
          </w:p>
        </w:tc>
      </w:tr>
      <w:tr>
        <w:tc>
          <w:tcPr>
            <w:tcW w:w="5628" w:type="dxa"/>
          </w:tcPr>
          <w:p>
            <w:pPr>
              <w:widowControl w:val="0"/>
              <w:rPr>
                <w:spacing w:val="-4"/>
              </w:rPr>
            </w:pPr>
            <w:r>
              <w:rPr>
                <w:spacing w:val="-4"/>
              </w:rPr>
              <w:t>Variuotas arba cinkuotas strypas, kurio skersmuo, mm</w:t>
            </w:r>
          </w:p>
        </w:tc>
        <w:tc>
          <w:tcPr>
            <w:tcW w:w="1143" w:type="dxa"/>
            <w:vAlign w:val="center"/>
          </w:tcPr>
          <w:p>
            <w:pPr>
              <w:widowControl w:val="0"/>
              <w:jc w:val="center"/>
            </w:pPr>
            <w:r>
              <w:t>–</w:t>
            </w:r>
          </w:p>
        </w:tc>
        <w:tc>
          <w:tcPr>
            <w:tcW w:w="1144" w:type="dxa"/>
            <w:vAlign w:val="center"/>
          </w:tcPr>
          <w:p>
            <w:pPr>
              <w:widowControl w:val="0"/>
              <w:jc w:val="center"/>
            </w:pPr>
            <w:r>
              <w:t>–</w:t>
            </w:r>
          </w:p>
        </w:tc>
        <w:tc>
          <w:tcPr>
            <w:tcW w:w="1144" w:type="dxa"/>
            <w:vAlign w:val="center"/>
          </w:tcPr>
          <w:p>
            <w:pPr>
              <w:widowControl w:val="0"/>
              <w:jc w:val="center"/>
            </w:pPr>
            <w:r>
              <w:t>6 (10)</w:t>
            </w:r>
          </w:p>
        </w:tc>
      </w:tr>
    </w:tbl>
    <w:p>
      <w:pPr>
        <w:widowControl w:val="0"/>
        <w:ind w:firstLine="567"/>
        <w:jc w:val="both"/>
      </w:pPr>
    </w:p>
    <w:p>
      <w:pPr>
        <w:widowControl w:val="0"/>
        <w:ind w:firstLine="567"/>
        <w:jc w:val="both"/>
      </w:pPr>
      <w:r>
        <w:t>*Lauke naudojamų neizoliuotų necinkuotų laidininkų skersmuo turi būti ne mažesnis kaip 10 mm.</w:t>
      </w:r>
    </w:p>
    <w:p>
      <w:pPr>
        <w:widowControl w:val="0"/>
        <w:ind w:firstLine="567"/>
        <w:jc w:val="both"/>
      </w:pPr>
      <w:r>
        <w:t>**Vamzdžiuose tiesiamų apsauginių laidininkų skerspjūvis turi būti ne mažesnis kaip 1 mm</w:t>
      </w:r>
      <w:r>
        <w:rPr>
          <w:vertAlign w:val="superscript"/>
        </w:rPr>
        <w:t>2</w:t>
      </w:r>
      <w:r>
        <w:t>, jeigu faziniai laidininkai yra tokio pat skerspjūvio.</w:t>
      </w:r>
    </w:p>
    <w:p>
      <w:pPr>
        <w:widowControl w:val="0"/>
        <w:ind w:firstLine="567"/>
        <w:jc w:val="both"/>
      </w:pPr>
      <w:r>
        <w:t>PASTABA. Skliausteliuose pateikti mažiausi grunte</w:t>
      </w:r>
      <w:r>
        <w:rPr>
          <w:color w:val="FF0000"/>
        </w:rPr>
        <w:t xml:space="preserve"> </w:t>
      </w:r>
      <w:r>
        <w:t>klojamų laidininkų matmenys.</w:t>
      </w:r>
    </w:p>
    <w:p>
      <w:pPr>
        <w:widowControl w:val="0"/>
        <w:ind w:firstLine="567"/>
        <w:jc w:val="both"/>
      </w:pPr>
    </w:p>
    <w:p>
      <w:pPr>
        <w:widowControl w:val="0"/>
        <w:ind w:firstLine="567"/>
        <w:jc w:val="both"/>
        <w:rPr>
          <w:b/>
        </w:rPr>
      </w:pPr>
      <w:r>
        <w:rPr>
          <w:b/>
        </w:rPr>
        <w:t>3 lentelė. Mažiausi atstumai tarp troso ir laido tarpatramio viduryje</w:t>
      </w:r>
    </w:p>
    <w:p>
      <w:pPr>
        <w:widowControl w:val="0"/>
        <w:ind w:firstLine="567"/>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19"/>
        <w:gridCol w:w="2516"/>
        <w:gridCol w:w="1619"/>
        <w:gridCol w:w="3316"/>
      </w:tblGrid>
      <w:tr>
        <w:trPr>
          <w:cantSplit/>
          <w:trHeight w:val="20"/>
        </w:trPr>
        <w:tc>
          <w:tcPr>
            <w:tcW w:w="1626" w:type="dxa"/>
            <w:vAlign w:val="center"/>
          </w:tcPr>
          <w:p>
            <w:pPr>
              <w:widowControl w:val="0"/>
              <w:jc w:val="center"/>
            </w:pPr>
            <w:r>
              <w:t>Tarpatramio</w:t>
            </w:r>
          </w:p>
          <w:p>
            <w:pPr>
              <w:widowControl w:val="0"/>
              <w:jc w:val="center"/>
            </w:pPr>
            <w:r>
              <w:t>ilgis, m</w:t>
            </w:r>
          </w:p>
        </w:tc>
        <w:tc>
          <w:tcPr>
            <w:tcW w:w="2527" w:type="dxa"/>
            <w:tcBorders>
              <w:right w:val="double" w:sz="4" w:space="0" w:color="auto"/>
            </w:tcBorders>
            <w:vAlign w:val="center"/>
          </w:tcPr>
          <w:p>
            <w:pPr>
              <w:widowControl w:val="0"/>
              <w:jc w:val="center"/>
            </w:pPr>
            <w:r>
              <w:t>Mažiausias vertikalusis</w:t>
            </w:r>
          </w:p>
          <w:p>
            <w:pPr>
              <w:widowControl w:val="0"/>
              <w:jc w:val="center"/>
            </w:pPr>
            <w:r>
              <w:t>atstumas tarp troso ir laido, m</w:t>
            </w:r>
          </w:p>
        </w:tc>
        <w:tc>
          <w:tcPr>
            <w:tcW w:w="1625" w:type="dxa"/>
            <w:tcBorders>
              <w:left w:val="nil"/>
            </w:tcBorders>
            <w:vAlign w:val="center"/>
          </w:tcPr>
          <w:p>
            <w:pPr>
              <w:widowControl w:val="0"/>
              <w:jc w:val="center"/>
            </w:pPr>
            <w:r>
              <w:t>Tarpatramio ilgis, m</w:t>
            </w:r>
          </w:p>
        </w:tc>
        <w:tc>
          <w:tcPr>
            <w:tcW w:w="3330" w:type="dxa"/>
            <w:vAlign w:val="center"/>
          </w:tcPr>
          <w:p>
            <w:pPr>
              <w:widowControl w:val="0"/>
              <w:jc w:val="center"/>
            </w:pPr>
            <w:r>
              <w:t>Mažiausias vertikalusis</w:t>
            </w:r>
          </w:p>
          <w:p>
            <w:pPr>
              <w:widowControl w:val="0"/>
              <w:jc w:val="center"/>
            </w:pPr>
            <w:r>
              <w:t>atstumas tarp troso ir laido, m</w:t>
            </w:r>
          </w:p>
        </w:tc>
      </w:tr>
      <w:tr>
        <w:trPr>
          <w:cantSplit/>
          <w:trHeight w:val="20"/>
        </w:trPr>
        <w:tc>
          <w:tcPr>
            <w:tcW w:w="1626" w:type="dxa"/>
            <w:vAlign w:val="center"/>
          </w:tcPr>
          <w:p>
            <w:pPr>
              <w:widowControl w:val="0"/>
              <w:jc w:val="center"/>
            </w:pPr>
            <w:r>
              <w:t>100</w:t>
            </w:r>
          </w:p>
        </w:tc>
        <w:tc>
          <w:tcPr>
            <w:tcW w:w="2527" w:type="dxa"/>
            <w:tcBorders>
              <w:right w:val="double" w:sz="4" w:space="0" w:color="auto"/>
            </w:tcBorders>
            <w:vAlign w:val="center"/>
          </w:tcPr>
          <w:p>
            <w:pPr>
              <w:widowControl w:val="0"/>
              <w:jc w:val="center"/>
            </w:pPr>
            <w:r>
              <w:t>2,0</w:t>
            </w:r>
          </w:p>
        </w:tc>
        <w:tc>
          <w:tcPr>
            <w:tcW w:w="1625" w:type="dxa"/>
            <w:tcBorders>
              <w:left w:val="nil"/>
            </w:tcBorders>
            <w:vAlign w:val="center"/>
          </w:tcPr>
          <w:p>
            <w:pPr>
              <w:widowControl w:val="0"/>
              <w:jc w:val="center"/>
            </w:pPr>
            <w:r>
              <w:t>700</w:t>
            </w:r>
          </w:p>
        </w:tc>
        <w:tc>
          <w:tcPr>
            <w:tcW w:w="3330" w:type="dxa"/>
            <w:vAlign w:val="center"/>
          </w:tcPr>
          <w:p>
            <w:pPr>
              <w:widowControl w:val="0"/>
              <w:jc w:val="center"/>
            </w:pPr>
            <w:r>
              <w:t>11,5</w:t>
            </w:r>
          </w:p>
        </w:tc>
      </w:tr>
      <w:tr>
        <w:trPr>
          <w:cantSplit/>
          <w:trHeight w:val="20"/>
        </w:trPr>
        <w:tc>
          <w:tcPr>
            <w:tcW w:w="1626" w:type="dxa"/>
            <w:vAlign w:val="center"/>
          </w:tcPr>
          <w:p>
            <w:pPr>
              <w:widowControl w:val="0"/>
              <w:jc w:val="center"/>
            </w:pPr>
            <w:r>
              <w:t>150</w:t>
            </w:r>
          </w:p>
        </w:tc>
        <w:tc>
          <w:tcPr>
            <w:tcW w:w="2527" w:type="dxa"/>
            <w:tcBorders>
              <w:right w:val="double" w:sz="4" w:space="0" w:color="auto"/>
            </w:tcBorders>
            <w:vAlign w:val="center"/>
          </w:tcPr>
          <w:p>
            <w:pPr>
              <w:widowControl w:val="0"/>
              <w:jc w:val="center"/>
            </w:pPr>
            <w:r>
              <w:t>3,2</w:t>
            </w:r>
          </w:p>
        </w:tc>
        <w:tc>
          <w:tcPr>
            <w:tcW w:w="1625" w:type="dxa"/>
            <w:tcBorders>
              <w:left w:val="nil"/>
            </w:tcBorders>
            <w:vAlign w:val="center"/>
          </w:tcPr>
          <w:p>
            <w:pPr>
              <w:widowControl w:val="0"/>
              <w:jc w:val="center"/>
            </w:pPr>
            <w:r>
              <w:t>800</w:t>
            </w:r>
          </w:p>
        </w:tc>
        <w:tc>
          <w:tcPr>
            <w:tcW w:w="3330" w:type="dxa"/>
            <w:vAlign w:val="center"/>
          </w:tcPr>
          <w:p>
            <w:pPr>
              <w:widowControl w:val="0"/>
              <w:jc w:val="center"/>
            </w:pPr>
            <w:r>
              <w:t>13,0</w:t>
            </w:r>
          </w:p>
        </w:tc>
      </w:tr>
      <w:tr>
        <w:trPr>
          <w:cantSplit/>
          <w:trHeight w:val="20"/>
        </w:trPr>
        <w:tc>
          <w:tcPr>
            <w:tcW w:w="1626" w:type="dxa"/>
            <w:vAlign w:val="center"/>
          </w:tcPr>
          <w:p>
            <w:pPr>
              <w:widowControl w:val="0"/>
              <w:jc w:val="center"/>
            </w:pPr>
            <w:r>
              <w:t>200</w:t>
            </w:r>
          </w:p>
        </w:tc>
        <w:tc>
          <w:tcPr>
            <w:tcW w:w="2527" w:type="dxa"/>
            <w:tcBorders>
              <w:right w:val="double" w:sz="4" w:space="0" w:color="auto"/>
            </w:tcBorders>
            <w:vAlign w:val="center"/>
          </w:tcPr>
          <w:p>
            <w:pPr>
              <w:widowControl w:val="0"/>
              <w:jc w:val="center"/>
            </w:pPr>
            <w:r>
              <w:t>4,0</w:t>
            </w:r>
          </w:p>
        </w:tc>
        <w:tc>
          <w:tcPr>
            <w:tcW w:w="1625" w:type="dxa"/>
            <w:tcBorders>
              <w:left w:val="nil"/>
            </w:tcBorders>
            <w:vAlign w:val="center"/>
          </w:tcPr>
          <w:p>
            <w:pPr>
              <w:widowControl w:val="0"/>
              <w:jc w:val="center"/>
            </w:pPr>
            <w:r>
              <w:t>900</w:t>
            </w:r>
          </w:p>
        </w:tc>
        <w:tc>
          <w:tcPr>
            <w:tcW w:w="3330" w:type="dxa"/>
            <w:vAlign w:val="center"/>
          </w:tcPr>
          <w:p>
            <w:pPr>
              <w:widowControl w:val="0"/>
              <w:jc w:val="center"/>
            </w:pPr>
            <w:r>
              <w:t>14,5</w:t>
            </w:r>
          </w:p>
        </w:tc>
      </w:tr>
      <w:tr>
        <w:trPr>
          <w:cantSplit/>
          <w:trHeight w:val="20"/>
        </w:trPr>
        <w:tc>
          <w:tcPr>
            <w:tcW w:w="1626" w:type="dxa"/>
            <w:vAlign w:val="center"/>
          </w:tcPr>
          <w:p>
            <w:pPr>
              <w:widowControl w:val="0"/>
              <w:jc w:val="center"/>
            </w:pPr>
            <w:r>
              <w:t>300</w:t>
            </w:r>
          </w:p>
        </w:tc>
        <w:tc>
          <w:tcPr>
            <w:tcW w:w="2527" w:type="dxa"/>
            <w:tcBorders>
              <w:right w:val="double" w:sz="4" w:space="0" w:color="auto"/>
            </w:tcBorders>
            <w:vAlign w:val="center"/>
          </w:tcPr>
          <w:p>
            <w:pPr>
              <w:widowControl w:val="0"/>
              <w:jc w:val="center"/>
            </w:pPr>
            <w:r>
              <w:t>5,5</w:t>
            </w:r>
          </w:p>
        </w:tc>
        <w:tc>
          <w:tcPr>
            <w:tcW w:w="1625" w:type="dxa"/>
            <w:tcBorders>
              <w:left w:val="nil"/>
            </w:tcBorders>
            <w:vAlign w:val="center"/>
          </w:tcPr>
          <w:p>
            <w:pPr>
              <w:widowControl w:val="0"/>
              <w:jc w:val="center"/>
            </w:pPr>
            <w:r>
              <w:t>1000</w:t>
            </w:r>
          </w:p>
        </w:tc>
        <w:tc>
          <w:tcPr>
            <w:tcW w:w="3330" w:type="dxa"/>
            <w:vAlign w:val="center"/>
          </w:tcPr>
          <w:p>
            <w:pPr>
              <w:widowControl w:val="0"/>
              <w:jc w:val="center"/>
            </w:pPr>
            <w:r>
              <w:t>16,0</w:t>
            </w:r>
          </w:p>
        </w:tc>
      </w:tr>
      <w:tr>
        <w:trPr>
          <w:cantSplit/>
          <w:trHeight w:val="20"/>
        </w:trPr>
        <w:tc>
          <w:tcPr>
            <w:tcW w:w="1626" w:type="dxa"/>
            <w:vAlign w:val="center"/>
          </w:tcPr>
          <w:p>
            <w:pPr>
              <w:widowControl w:val="0"/>
              <w:jc w:val="center"/>
            </w:pPr>
            <w:r>
              <w:t>400</w:t>
            </w:r>
          </w:p>
        </w:tc>
        <w:tc>
          <w:tcPr>
            <w:tcW w:w="2527" w:type="dxa"/>
            <w:tcBorders>
              <w:right w:val="double" w:sz="4" w:space="0" w:color="auto"/>
            </w:tcBorders>
            <w:vAlign w:val="center"/>
          </w:tcPr>
          <w:p>
            <w:pPr>
              <w:widowControl w:val="0"/>
              <w:jc w:val="center"/>
            </w:pPr>
            <w:r>
              <w:t>7,0</w:t>
            </w:r>
          </w:p>
        </w:tc>
        <w:tc>
          <w:tcPr>
            <w:tcW w:w="1625" w:type="dxa"/>
            <w:tcBorders>
              <w:left w:val="nil"/>
            </w:tcBorders>
            <w:vAlign w:val="center"/>
          </w:tcPr>
          <w:p>
            <w:pPr>
              <w:widowControl w:val="0"/>
              <w:jc w:val="center"/>
            </w:pPr>
            <w:r>
              <w:t>1200</w:t>
            </w:r>
          </w:p>
        </w:tc>
        <w:tc>
          <w:tcPr>
            <w:tcW w:w="3330" w:type="dxa"/>
            <w:vAlign w:val="center"/>
          </w:tcPr>
          <w:p>
            <w:pPr>
              <w:widowControl w:val="0"/>
              <w:jc w:val="center"/>
            </w:pPr>
            <w:r>
              <w:t>18,0</w:t>
            </w:r>
          </w:p>
        </w:tc>
      </w:tr>
      <w:tr>
        <w:trPr>
          <w:cantSplit/>
          <w:trHeight w:val="20"/>
        </w:trPr>
        <w:tc>
          <w:tcPr>
            <w:tcW w:w="1626" w:type="dxa"/>
            <w:vAlign w:val="center"/>
          </w:tcPr>
          <w:p>
            <w:pPr>
              <w:widowControl w:val="0"/>
              <w:jc w:val="center"/>
            </w:pPr>
            <w:r>
              <w:t>500</w:t>
            </w:r>
          </w:p>
        </w:tc>
        <w:tc>
          <w:tcPr>
            <w:tcW w:w="2527" w:type="dxa"/>
            <w:tcBorders>
              <w:right w:val="double" w:sz="4" w:space="0" w:color="auto"/>
            </w:tcBorders>
            <w:vAlign w:val="center"/>
          </w:tcPr>
          <w:p>
            <w:pPr>
              <w:widowControl w:val="0"/>
              <w:jc w:val="center"/>
            </w:pPr>
            <w:r>
              <w:t>8,5</w:t>
            </w:r>
          </w:p>
        </w:tc>
        <w:tc>
          <w:tcPr>
            <w:tcW w:w="1625" w:type="dxa"/>
            <w:tcBorders>
              <w:left w:val="nil"/>
            </w:tcBorders>
            <w:vAlign w:val="center"/>
          </w:tcPr>
          <w:p>
            <w:pPr>
              <w:widowControl w:val="0"/>
              <w:jc w:val="center"/>
            </w:pPr>
            <w:r>
              <w:t>1500</w:t>
            </w:r>
          </w:p>
        </w:tc>
        <w:tc>
          <w:tcPr>
            <w:tcW w:w="3330" w:type="dxa"/>
            <w:vAlign w:val="center"/>
          </w:tcPr>
          <w:p>
            <w:pPr>
              <w:widowControl w:val="0"/>
              <w:jc w:val="center"/>
            </w:pPr>
            <w:r>
              <w:t>21,0</w:t>
            </w:r>
          </w:p>
        </w:tc>
      </w:tr>
      <w:tr>
        <w:trPr>
          <w:cantSplit/>
          <w:trHeight w:val="20"/>
        </w:trPr>
        <w:tc>
          <w:tcPr>
            <w:tcW w:w="1626" w:type="dxa"/>
            <w:vAlign w:val="center"/>
          </w:tcPr>
          <w:p>
            <w:pPr>
              <w:widowControl w:val="0"/>
              <w:jc w:val="center"/>
            </w:pPr>
            <w:r>
              <w:t>600</w:t>
            </w:r>
          </w:p>
        </w:tc>
        <w:tc>
          <w:tcPr>
            <w:tcW w:w="2527" w:type="dxa"/>
            <w:tcBorders>
              <w:right w:val="double" w:sz="4" w:space="0" w:color="auto"/>
            </w:tcBorders>
            <w:vAlign w:val="center"/>
          </w:tcPr>
          <w:p>
            <w:pPr>
              <w:widowControl w:val="0"/>
              <w:jc w:val="center"/>
            </w:pPr>
            <w:r>
              <w:t>10,0</w:t>
            </w:r>
          </w:p>
        </w:tc>
        <w:tc>
          <w:tcPr>
            <w:tcW w:w="1625" w:type="dxa"/>
            <w:tcBorders>
              <w:left w:val="nil"/>
            </w:tcBorders>
            <w:vAlign w:val="center"/>
          </w:tcPr>
          <w:p>
            <w:pPr>
              <w:widowControl w:val="0"/>
              <w:jc w:val="center"/>
            </w:pPr>
          </w:p>
        </w:tc>
        <w:tc>
          <w:tcPr>
            <w:tcW w:w="3330" w:type="dxa"/>
            <w:vAlign w:val="center"/>
          </w:tcPr>
          <w:p>
            <w:pPr>
              <w:widowControl w:val="0"/>
              <w:jc w:val="center"/>
            </w:pPr>
          </w:p>
        </w:tc>
      </w:tr>
    </w:tbl>
    <w:p>
      <w:pPr>
        <w:widowControl w:val="0"/>
        <w:jc w:val="both"/>
      </w:pPr>
    </w:p>
    <w:p>
      <w:pPr>
        <w:ind w:firstLine="567"/>
        <w:jc w:val="both"/>
        <w:rPr>
          <w:b/>
          <w:szCs w:val="24"/>
          <w:lang w:eastAsia="lt-LT"/>
        </w:rPr>
      </w:pPr>
      <w:r>
        <w:rPr>
          <w:b/>
          <w:szCs w:val="24"/>
          <w:lang w:eastAsia="lt-LT"/>
        </w:rPr>
        <w:t>4</w:t>
      </w:r>
      <w:r>
        <w:rPr>
          <w:b/>
          <w:szCs w:val="24"/>
          <w:lang w:eastAsia="lt-LT"/>
        </w:rPr>
        <w:t xml:space="preserve"> lentelė. Mažiausi atstumai tarp oro linijos laidų ir įžemintų jos dalių</w:t>
      </w:r>
    </w:p>
    <w:p>
      <w:pPr>
        <w:ind w:firstLine="62"/>
        <w:jc w:val="both"/>
        <w:rPr>
          <w:szCs w:val="24"/>
          <w:lang w:eastAsia="lt-LT"/>
        </w:rPr>
      </w:pPr>
    </w:p>
    <w:tbl>
      <w:tblPr>
        <w:tblW w:w="93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9"/>
        <w:gridCol w:w="1230"/>
        <w:gridCol w:w="1010"/>
        <w:gridCol w:w="1013"/>
        <w:gridCol w:w="1013"/>
        <w:gridCol w:w="1291"/>
      </w:tblGrid>
      <w:tr>
        <w:trPr>
          <w:cantSplit/>
          <w:trHeight w:val="20"/>
        </w:trPr>
        <w:tc>
          <w:tcPr>
            <w:tcW w:w="378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both"/>
              <w:rPr>
                <w:szCs w:val="24"/>
                <w:lang w:eastAsia="lt-LT"/>
              </w:rPr>
            </w:pPr>
            <w:r>
              <w:rPr>
                <w:szCs w:val="24"/>
                <w:lang w:eastAsia="lt-LT"/>
              </w:rPr>
              <w:t>Skaičiuojamoji sąlyga</w:t>
            </w:r>
          </w:p>
        </w:tc>
        <w:tc>
          <w:tcPr>
            <w:tcW w:w="555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Atstumai, cm, esant oro linijos įtampai</w:t>
            </w:r>
          </w:p>
        </w:tc>
      </w:tr>
      <w:tr>
        <w:trPr>
          <w:cantSplit/>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pPr>
              <w:rPr>
                <w:szCs w:val="24"/>
                <w:lang w:eastAsia="lt-LT"/>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iki 10 kV</w:t>
            </w:r>
          </w:p>
        </w:tc>
        <w:tc>
          <w:tcPr>
            <w:tcW w:w="1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35 kV</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110 kV</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330 kV</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400 kV</w:t>
            </w:r>
          </w:p>
        </w:tc>
      </w:tr>
      <w:tr>
        <w:trPr>
          <w:cantSplit/>
          <w:trHeight w:val="20"/>
        </w:trPr>
        <w:tc>
          <w:tcPr>
            <w:tcW w:w="37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rPr>
                <w:szCs w:val="24"/>
                <w:lang w:eastAsia="lt-LT"/>
              </w:rPr>
            </w:pPr>
            <w:r>
              <w:rPr>
                <w:szCs w:val="24"/>
                <w:lang w:eastAsia="lt-LT"/>
              </w:rPr>
              <w:t>Atmosferiniai viršįtampiai</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20 (15)</w:t>
            </w:r>
          </w:p>
        </w:tc>
        <w:tc>
          <w:tcPr>
            <w:tcW w:w="1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40</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100</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260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trike/>
                <w:szCs w:val="24"/>
                <w:lang w:eastAsia="lt-LT"/>
              </w:rPr>
            </w:pPr>
            <w:r>
              <w:rPr>
                <w:szCs w:val="24"/>
                <w:lang w:eastAsia="lt-LT"/>
              </w:rPr>
              <w:t>300</w:t>
            </w:r>
          </w:p>
        </w:tc>
      </w:tr>
      <w:tr>
        <w:trPr>
          <w:cantSplit/>
          <w:trHeight w:val="20"/>
        </w:trPr>
        <w:tc>
          <w:tcPr>
            <w:tcW w:w="37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rPr>
                <w:szCs w:val="24"/>
                <w:lang w:eastAsia="lt-LT"/>
              </w:rPr>
            </w:pPr>
            <w:r>
              <w:rPr>
                <w:szCs w:val="24"/>
                <w:lang w:eastAsia="lt-LT"/>
              </w:rPr>
              <w:t>Vidiniai viršįtampiai</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w:t>
            </w:r>
          </w:p>
        </w:tc>
        <w:tc>
          <w:tcPr>
            <w:tcW w:w="1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30</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80</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215</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trike/>
                <w:szCs w:val="24"/>
                <w:lang w:eastAsia="lt-LT"/>
              </w:rPr>
            </w:pPr>
            <w:r>
              <w:rPr>
                <w:szCs w:val="24"/>
                <w:lang w:eastAsia="lt-LT"/>
              </w:rPr>
              <w:t>280</w:t>
            </w:r>
          </w:p>
        </w:tc>
      </w:tr>
      <w:tr>
        <w:trPr>
          <w:cantSplit/>
          <w:trHeight w:val="20"/>
        </w:trPr>
        <w:tc>
          <w:tcPr>
            <w:tcW w:w="37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rPr>
                <w:szCs w:val="24"/>
                <w:lang w:eastAsia="lt-LT"/>
              </w:rPr>
            </w:pPr>
            <w:r>
              <w:rPr>
                <w:szCs w:val="24"/>
                <w:lang w:eastAsia="lt-LT"/>
              </w:rPr>
              <w:t>Darbo įtampa</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w:t>
            </w:r>
          </w:p>
        </w:tc>
        <w:tc>
          <w:tcPr>
            <w:tcW w:w="1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25</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80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24"/>
              <w:jc w:val="center"/>
              <w:rPr>
                <w:strike/>
                <w:szCs w:val="24"/>
                <w:lang w:eastAsia="lt-LT"/>
              </w:rPr>
            </w:pPr>
            <w:r>
              <w:rPr>
                <w:szCs w:val="24"/>
                <w:lang w:eastAsia="lt-LT"/>
              </w:rPr>
              <w:t>100</w:t>
            </w:r>
          </w:p>
        </w:tc>
      </w:tr>
    </w:tbl>
    <w:p>
      <w:pPr>
        <w:ind w:firstLine="567"/>
        <w:jc w:val="both"/>
      </w:pP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747730ce0e11e8bea9885f77677ec1">
        <w:r w:rsidRPr="00532B9F">
          <w:rPr>
            <w:rFonts w:ascii="Times New Roman" w:eastAsia="MS Mincho" w:hAnsi="Times New Roman"/>
            <w:sz w:val="20"/>
            <w:i/>
            <w:iCs/>
            <w:color w:val="0000FF" w:themeColor="hyperlink"/>
            <w:u w:val="single"/>
          </w:rPr>
          <w:t>1-276</w:t>
        </w:r>
      </w:fldSimple>
      <w:r>
        <w:rPr>
          <w:rFonts w:ascii="Times New Roman" w:eastAsia="MS Mincho" w:hAnsi="Times New Roman"/>
          <w:sz w:val="20"/>
          <w:i/>
          <w:iCs/>
        </w:rPr>
        <w:t>,
2018-10-12,
paskelbta TAR 2018-10-15, i. k. 2018-16210            </w:t>
      </w:r>
    </w:p>
    <w:p/>
    <w:p>
      <w:pPr>
        <w:widowControl w:val="0"/>
        <w:ind w:firstLine="567"/>
        <w:jc w:val="both"/>
        <w:rPr>
          <w:b/>
        </w:rPr>
      </w:pPr>
      <w:r>
        <w:rPr>
          <w:b/>
        </w:rPr>
        <w:t>5 lentelė. Mažiausi atstumai tarp oro linijos fazinių laidų atramoje</w:t>
      </w:r>
    </w:p>
    <w:p>
      <w:pPr>
        <w:widowControl w:val="0"/>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90"/>
        <w:gridCol w:w="1232"/>
        <w:gridCol w:w="1012"/>
        <w:gridCol w:w="1012"/>
        <w:gridCol w:w="1012"/>
        <w:gridCol w:w="1012"/>
      </w:tblGrid>
      <w:tr>
        <w:trPr>
          <w:cantSplit/>
        </w:trPr>
        <w:tc>
          <w:tcPr>
            <w:tcW w:w="3908" w:type="dxa"/>
            <w:vMerge w:val="restart"/>
            <w:vAlign w:val="center"/>
          </w:tcPr>
          <w:p>
            <w:pPr>
              <w:widowControl w:val="0"/>
            </w:pPr>
            <w:r>
              <w:t>Skaičiuojamoji sąlyga</w:t>
            </w:r>
          </w:p>
        </w:tc>
        <w:tc>
          <w:tcPr>
            <w:tcW w:w="5417" w:type="dxa"/>
            <w:gridSpan w:val="5"/>
          </w:tcPr>
          <w:p>
            <w:pPr>
              <w:widowControl w:val="0"/>
              <w:jc w:val="center"/>
            </w:pPr>
            <w:r>
              <w:t>Atstumai, cm, esant oro linijos įtampai</w:t>
            </w:r>
          </w:p>
        </w:tc>
      </w:tr>
      <w:tr>
        <w:trPr>
          <w:cantSplit/>
        </w:trPr>
        <w:tc>
          <w:tcPr>
            <w:tcW w:w="3908" w:type="dxa"/>
            <w:vMerge/>
          </w:tcPr>
          <w:p>
            <w:pPr>
              <w:widowControl w:val="0"/>
            </w:pPr>
          </w:p>
        </w:tc>
        <w:tc>
          <w:tcPr>
            <w:tcW w:w="1265" w:type="dxa"/>
            <w:vAlign w:val="center"/>
          </w:tcPr>
          <w:p>
            <w:pPr>
              <w:widowControl w:val="0"/>
              <w:jc w:val="center"/>
            </w:pPr>
            <w:r>
              <w:t>iki 10 kV</w:t>
            </w:r>
          </w:p>
        </w:tc>
        <w:tc>
          <w:tcPr>
            <w:tcW w:w="1038" w:type="dxa"/>
            <w:vAlign w:val="center"/>
          </w:tcPr>
          <w:p>
            <w:pPr>
              <w:widowControl w:val="0"/>
              <w:jc w:val="center"/>
            </w:pPr>
            <w:r>
              <w:t>35 kV</w:t>
            </w:r>
          </w:p>
        </w:tc>
        <w:tc>
          <w:tcPr>
            <w:tcW w:w="1038" w:type="dxa"/>
            <w:vAlign w:val="center"/>
          </w:tcPr>
          <w:p>
            <w:pPr>
              <w:widowControl w:val="0"/>
              <w:jc w:val="center"/>
            </w:pPr>
            <w:r>
              <w:t>110 kV</w:t>
            </w:r>
          </w:p>
        </w:tc>
        <w:tc>
          <w:tcPr>
            <w:tcW w:w="1038" w:type="dxa"/>
            <w:vAlign w:val="center"/>
          </w:tcPr>
          <w:p>
            <w:pPr>
              <w:widowControl w:val="0"/>
              <w:jc w:val="center"/>
            </w:pPr>
            <w:r>
              <w:t>330 kV</w:t>
            </w:r>
          </w:p>
        </w:tc>
        <w:tc>
          <w:tcPr>
            <w:tcW w:w="1038" w:type="dxa"/>
            <w:vAlign w:val="center"/>
          </w:tcPr>
          <w:p>
            <w:pPr>
              <w:widowControl w:val="0"/>
              <w:jc w:val="center"/>
            </w:pPr>
            <w:r>
              <w:t>400 kV</w:t>
            </w:r>
          </w:p>
        </w:tc>
      </w:tr>
      <w:tr>
        <w:trPr>
          <w:trHeight w:val="285"/>
        </w:trPr>
        <w:tc>
          <w:tcPr>
            <w:tcW w:w="3908" w:type="dxa"/>
            <w:vAlign w:val="center"/>
          </w:tcPr>
          <w:p>
            <w:pPr>
              <w:widowControl w:val="0"/>
            </w:pPr>
            <w:r>
              <w:t>Atmosferiniai viršįtampiai</w:t>
            </w:r>
          </w:p>
        </w:tc>
        <w:tc>
          <w:tcPr>
            <w:tcW w:w="1265" w:type="dxa"/>
            <w:vAlign w:val="center"/>
          </w:tcPr>
          <w:p>
            <w:pPr>
              <w:widowControl w:val="0"/>
              <w:jc w:val="center"/>
            </w:pPr>
            <w:r>
              <w:t>20</w:t>
            </w:r>
          </w:p>
        </w:tc>
        <w:tc>
          <w:tcPr>
            <w:tcW w:w="1038" w:type="dxa"/>
            <w:vAlign w:val="center"/>
          </w:tcPr>
          <w:p>
            <w:pPr>
              <w:widowControl w:val="0"/>
              <w:jc w:val="center"/>
            </w:pPr>
            <w:r>
              <w:t>50</w:t>
            </w:r>
          </w:p>
        </w:tc>
        <w:tc>
          <w:tcPr>
            <w:tcW w:w="1038" w:type="dxa"/>
            <w:vAlign w:val="center"/>
          </w:tcPr>
          <w:p>
            <w:pPr>
              <w:widowControl w:val="0"/>
              <w:jc w:val="center"/>
            </w:pPr>
            <w:r>
              <w:t>135</w:t>
            </w:r>
          </w:p>
        </w:tc>
        <w:tc>
          <w:tcPr>
            <w:tcW w:w="1038" w:type="dxa"/>
            <w:vAlign w:val="center"/>
          </w:tcPr>
          <w:p>
            <w:pPr>
              <w:widowControl w:val="0"/>
              <w:jc w:val="center"/>
            </w:pPr>
            <w:r>
              <w:t>310</w:t>
            </w:r>
          </w:p>
        </w:tc>
        <w:tc>
          <w:tcPr>
            <w:tcW w:w="1038" w:type="dxa"/>
            <w:vAlign w:val="center"/>
          </w:tcPr>
          <w:p>
            <w:pPr>
              <w:widowControl w:val="0"/>
              <w:jc w:val="center"/>
            </w:pPr>
            <w:r>
              <w:t>400</w:t>
            </w:r>
          </w:p>
        </w:tc>
      </w:tr>
      <w:tr>
        <w:trPr>
          <w:trHeight w:val="285"/>
        </w:trPr>
        <w:tc>
          <w:tcPr>
            <w:tcW w:w="3908" w:type="dxa"/>
            <w:vAlign w:val="center"/>
          </w:tcPr>
          <w:p>
            <w:pPr>
              <w:widowControl w:val="0"/>
            </w:pPr>
            <w:r>
              <w:t>Vidiniai viršįtampiai</w:t>
            </w:r>
          </w:p>
        </w:tc>
        <w:tc>
          <w:tcPr>
            <w:tcW w:w="1265" w:type="dxa"/>
            <w:vAlign w:val="center"/>
          </w:tcPr>
          <w:p>
            <w:pPr>
              <w:widowControl w:val="0"/>
              <w:jc w:val="center"/>
            </w:pPr>
            <w:r>
              <w:t>22</w:t>
            </w:r>
          </w:p>
        </w:tc>
        <w:tc>
          <w:tcPr>
            <w:tcW w:w="1038" w:type="dxa"/>
            <w:vAlign w:val="center"/>
          </w:tcPr>
          <w:p>
            <w:pPr>
              <w:widowControl w:val="0"/>
              <w:jc w:val="center"/>
            </w:pPr>
            <w:r>
              <w:t>44</w:t>
            </w:r>
          </w:p>
        </w:tc>
        <w:tc>
          <w:tcPr>
            <w:tcW w:w="1038" w:type="dxa"/>
            <w:vAlign w:val="center"/>
          </w:tcPr>
          <w:p>
            <w:pPr>
              <w:widowControl w:val="0"/>
              <w:jc w:val="center"/>
            </w:pPr>
            <w:r>
              <w:t>100</w:t>
            </w:r>
          </w:p>
        </w:tc>
        <w:tc>
          <w:tcPr>
            <w:tcW w:w="1038" w:type="dxa"/>
            <w:vAlign w:val="center"/>
          </w:tcPr>
          <w:p>
            <w:pPr>
              <w:widowControl w:val="0"/>
              <w:jc w:val="center"/>
            </w:pPr>
            <w:r>
              <w:t>280</w:t>
            </w:r>
          </w:p>
        </w:tc>
        <w:tc>
          <w:tcPr>
            <w:tcW w:w="1038" w:type="dxa"/>
            <w:vAlign w:val="center"/>
          </w:tcPr>
          <w:p>
            <w:pPr>
              <w:widowControl w:val="0"/>
              <w:jc w:val="center"/>
            </w:pPr>
            <w:r>
              <w:t>420</w:t>
            </w:r>
          </w:p>
        </w:tc>
      </w:tr>
      <w:tr>
        <w:trPr>
          <w:trHeight w:val="285"/>
        </w:trPr>
        <w:tc>
          <w:tcPr>
            <w:tcW w:w="3908" w:type="dxa"/>
            <w:vAlign w:val="center"/>
          </w:tcPr>
          <w:p>
            <w:pPr>
              <w:widowControl w:val="0"/>
            </w:pPr>
            <w:r>
              <w:t>Darbo įtampa</w:t>
            </w:r>
          </w:p>
        </w:tc>
        <w:tc>
          <w:tcPr>
            <w:tcW w:w="1265" w:type="dxa"/>
            <w:vAlign w:val="center"/>
          </w:tcPr>
          <w:p>
            <w:pPr>
              <w:widowControl w:val="0"/>
              <w:jc w:val="center"/>
            </w:pPr>
            <w:r>
              <w:t>–</w:t>
            </w:r>
          </w:p>
        </w:tc>
        <w:tc>
          <w:tcPr>
            <w:tcW w:w="1038" w:type="dxa"/>
            <w:vAlign w:val="center"/>
          </w:tcPr>
          <w:p>
            <w:pPr>
              <w:widowControl w:val="0"/>
              <w:jc w:val="center"/>
            </w:pPr>
            <w:r>
              <w:t>20</w:t>
            </w:r>
          </w:p>
        </w:tc>
        <w:tc>
          <w:tcPr>
            <w:tcW w:w="1038" w:type="dxa"/>
            <w:vAlign w:val="center"/>
          </w:tcPr>
          <w:p>
            <w:pPr>
              <w:widowControl w:val="0"/>
              <w:jc w:val="center"/>
            </w:pPr>
            <w:r>
              <w:t>45</w:t>
            </w:r>
          </w:p>
        </w:tc>
        <w:tc>
          <w:tcPr>
            <w:tcW w:w="1038" w:type="dxa"/>
            <w:vAlign w:val="center"/>
          </w:tcPr>
          <w:p>
            <w:pPr>
              <w:widowControl w:val="0"/>
              <w:jc w:val="center"/>
            </w:pPr>
            <w:r>
              <w:t>140</w:t>
            </w:r>
          </w:p>
        </w:tc>
        <w:tc>
          <w:tcPr>
            <w:tcW w:w="1038" w:type="dxa"/>
            <w:vAlign w:val="center"/>
          </w:tcPr>
          <w:p>
            <w:pPr>
              <w:widowControl w:val="0"/>
              <w:jc w:val="center"/>
            </w:pPr>
            <w:r>
              <w:t>200</w:t>
            </w:r>
          </w:p>
        </w:tc>
      </w:tr>
    </w:tbl>
    <w:p>
      <w:pPr>
        <w:widowControl w:val="0"/>
        <w:ind w:firstLine="284"/>
        <w:jc w:val="both"/>
        <w:rPr>
          <w:b/>
        </w:rPr>
      </w:pPr>
    </w:p>
    <w:p>
      <w:pPr>
        <w:widowControl w:val="0"/>
        <w:ind w:firstLine="567"/>
        <w:jc w:val="both"/>
        <w:rPr>
          <w:b/>
        </w:rPr>
      </w:pPr>
      <w:r>
        <w:rPr>
          <w:b/>
        </w:rPr>
        <w:t>6 lentelė. Didžiausios oro linijų atramų įžeminimo varžos</w:t>
      </w:r>
    </w:p>
    <w:p>
      <w:pPr>
        <w:widowControl w:val="0"/>
        <w:jc w:val="both"/>
      </w:pPr>
    </w:p>
    <w:tbl>
      <w:tblPr>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686"/>
        <w:gridCol w:w="4384"/>
      </w:tblGrid>
      <w:tr>
        <w:trPr>
          <w:trHeight w:val="270"/>
          <w:tblHeader/>
        </w:trPr>
        <w:tc>
          <w:tcPr>
            <w:tcW w:w="4654" w:type="dxa"/>
            <w:vAlign w:val="center"/>
          </w:tcPr>
          <w:p>
            <w:pPr>
              <w:widowControl w:val="0"/>
              <w:jc w:val="center"/>
            </w:pPr>
            <w:r>
              <w:t xml:space="preserve">Savitoji grunto varža </w:t>
            </w:r>
            <w:r>
              <w:rPr>
                <w:position w:val="-10"/>
              </w:rPr>
              <w:object w:dxaOrig="240" w:dyaOrig="255">
                <v:shape id="_x0000_i1119" type="#_x0000_t75" style="width:12pt;height:12.8pt" o:ole="">
                  <v:imagedata r:id="rId307" o:title=""/>
                </v:shape>
                <o:OLEObject Type="Embed" ProgID="Equation.3" ShapeID="_x0000_i1119" DrawAspect="Content" ObjectID="_0000000001" r:id="rId308"/>
              </w:object>
            </w:r>
            <w:r>
              <w:t xml:space="preserve">, </w:t>
            </w:r>
            <w:r>
              <w:rPr>
                <w:position w:val="-4"/>
              </w:rPr>
              <w:object w:dxaOrig="255" w:dyaOrig="255">
                <v:shape id="_x0000_i1120" type="#_x0000_t75" style="width:12.8pt;height:12.8pt" o:ole="">
                  <v:imagedata r:id="rId309" o:title=""/>
                </v:shape>
                <o:OLEObject Type="Embed" ProgID="Equation.3" ShapeID="_x0000_i1120" DrawAspect="Content" ObjectID="_0000000001" r:id="rId310"/>
              </w:object>
            </w:r>
            <w:r>
              <w:t xml:space="preserve"> m</w:t>
            </w:r>
          </w:p>
        </w:tc>
        <w:tc>
          <w:tcPr>
            <w:tcW w:w="4354" w:type="dxa"/>
            <w:vAlign w:val="center"/>
          </w:tcPr>
          <w:p>
            <w:pPr>
              <w:widowControl w:val="0"/>
              <w:jc w:val="center"/>
            </w:pPr>
            <w:r>
              <w:t xml:space="preserve">Įžeminimo varža, </w:t>
            </w:r>
            <w:r>
              <w:rPr>
                <w:position w:val="-4"/>
              </w:rPr>
              <w:object w:dxaOrig="255" w:dyaOrig="255">
                <v:shape id="_x0000_i1121" type="#_x0000_t75" style="width:12.8pt;height:12.8pt" o:ole="">
                  <v:imagedata r:id="rId311" o:title=""/>
                </v:shape>
                <o:OLEObject Type="Embed" ProgID="Equation.3" ShapeID="_x0000_i1121" DrawAspect="Content" ObjectID="_0000000001" r:id="rId312"/>
              </w:object>
            </w:r>
          </w:p>
        </w:tc>
      </w:tr>
      <w:tr>
        <w:trPr>
          <w:trHeight w:val="270"/>
        </w:trPr>
        <w:tc>
          <w:tcPr>
            <w:tcW w:w="4654" w:type="dxa"/>
            <w:vAlign w:val="center"/>
          </w:tcPr>
          <w:p>
            <w:pPr>
              <w:widowControl w:val="0"/>
              <w:jc w:val="center"/>
            </w:pPr>
            <w:r>
              <w:rPr>
                <w:position w:val="-10"/>
              </w:rPr>
              <w:object w:dxaOrig="240" w:dyaOrig="255">
                <v:shape id="_x0000_i1122" type="#_x0000_t75" style="width:12pt;height:12.8pt" o:ole="">
                  <v:imagedata r:id="rId313" o:title=""/>
                </v:shape>
                <o:OLEObject Type="Embed" ProgID="Equation.3" ShapeID="_x0000_i1122" DrawAspect="Content" ObjectID="_0000000001" r:id="rId314"/>
              </w:object>
            </w:r>
            <w:r>
              <w:t xml:space="preserve"> </w:t>
            </w:r>
            <w:r>
              <w:rPr>
                <w:position w:val="-4"/>
              </w:rPr>
              <w:object w:dxaOrig="195" w:dyaOrig="240">
                <v:shape id="_x0000_i1123" type="#_x0000_t75" style="width:9.6pt;height:12pt" o:ole="">
                  <v:imagedata r:id="rId315" o:title=""/>
                </v:shape>
                <o:OLEObject Type="Embed" ProgID="Equation.3" ShapeID="_x0000_i1123" DrawAspect="Content" ObjectID="_0000000001" r:id="rId316"/>
              </w:object>
            </w:r>
            <w:r>
              <w:t xml:space="preserve"> 100</w:t>
            </w:r>
          </w:p>
        </w:tc>
        <w:tc>
          <w:tcPr>
            <w:tcW w:w="4354" w:type="dxa"/>
            <w:vAlign w:val="center"/>
          </w:tcPr>
          <w:p>
            <w:pPr>
              <w:widowControl w:val="0"/>
              <w:jc w:val="center"/>
            </w:pPr>
            <w:r>
              <w:t>10</w:t>
            </w:r>
          </w:p>
        </w:tc>
      </w:tr>
      <w:tr>
        <w:trPr>
          <w:trHeight w:val="270"/>
        </w:trPr>
        <w:tc>
          <w:tcPr>
            <w:tcW w:w="4654" w:type="dxa"/>
            <w:vAlign w:val="center"/>
          </w:tcPr>
          <w:p>
            <w:pPr>
              <w:widowControl w:val="0"/>
              <w:jc w:val="center"/>
            </w:pPr>
            <w:r>
              <w:t xml:space="preserve">100 &lt; </w:t>
            </w:r>
            <w:r>
              <w:rPr>
                <w:position w:val="-10"/>
              </w:rPr>
              <w:object w:dxaOrig="240" w:dyaOrig="255">
                <v:shape id="_x0000_i1124" type="#_x0000_t75" style="width:12pt;height:12.8pt" o:ole="">
                  <v:imagedata r:id="rId317" o:title=""/>
                </v:shape>
                <o:OLEObject Type="Embed" ProgID="Equation.3" ShapeID="_x0000_i1124" DrawAspect="Content" ObjectID="_0000000001" r:id="rId318"/>
              </w:object>
            </w:r>
            <w:r>
              <w:t xml:space="preserve"> </w:t>
            </w:r>
            <w:r>
              <w:rPr>
                <w:position w:val="-4"/>
              </w:rPr>
              <w:object w:dxaOrig="195" w:dyaOrig="240">
                <v:shape id="_x0000_i1125" type="#_x0000_t75" style="width:9.6pt;height:12pt" o:ole="">
                  <v:imagedata r:id="rId319" o:title=""/>
                </v:shape>
                <o:OLEObject Type="Embed" ProgID="Equation.3" ShapeID="_x0000_i1125" DrawAspect="Content" ObjectID="_0000000001" r:id="rId320"/>
              </w:object>
            </w:r>
            <w:r>
              <w:t xml:space="preserve"> 500</w:t>
            </w:r>
          </w:p>
        </w:tc>
        <w:tc>
          <w:tcPr>
            <w:tcW w:w="4354" w:type="dxa"/>
            <w:vAlign w:val="center"/>
          </w:tcPr>
          <w:p>
            <w:pPr>
              <w:widowControl w:val="0"/>
              <w:jc w:val="center"/>
            </w:pPr>
            <w:r>
              <w:t>15</w:t>
            </w:r>
          </w:p>
        </w:tc>
      </w:tr>
      <w:tr>
        <w:trPr>
          <w:trHeight w:val="270"/>
        </w:trPr>
        <w:tc>
          <w:tcPr>
            <w:tcW w:w="4654" w:type="dxa"/>
            <w:vAlign w:val="center"/>
          </w:tcPr>
          <w:p>
            <w:pPr>
              <w:widowControl w:val="0"/>
              <w:jc w:val="center"/>
            </w:pPr>
            <w:r>
              <w:t xml:space="preserve">500 &lt; </w:t>
            </w:r>
            <w:r>
              <w:rPr>
                <w:position w:val="-10"/>
              </w:rPr>
              <w:object w:dxaOrig="240" w:dyaOrig="255">
                <v:shape id="_x0000_i1126" type="#_x0000_t75" style="width:12pt;height:12.8pt" o:ole="">
                  <v:imagedata r:id="rId321" o:title=""/>
                </v:shape>
                <o:OLEObject Type="Embed" ProgID="Equation.3" ShapeID="_x0000_i1126" DrawAspect="Content" ObjectID="_0000000001" r:id="rId322"/>
              </w:object>
            </w:r>
            <w:r>
              <w:t xml:space="preserve"> </w:t>
            </w:r>
            <w:r>
              <w:rPr>
                <w:position w:val="-4"/>
              </w:rPr>
              <w:object w:dxaOrig="195" w:dyaOrig="240">
                <v:shape id="_x0000_i1127" type="#_x0000_t75" style="width:9.6pt;height:12pt" o:ole="">
                  <v:imagedata r:id="rId323" o:title=""/>
                </v:shape>
                <o:OLEObject Type="Embed" ProgID="Equation.3" ShapeID="_x0000_i1127" DrawAspect="Content" ObjectID="_0000000001" r:id="rId324"/>
              </w:object>
            </w:r>
            <w:r>
              <w:t xml:space="preserve"> 1000</w:t>
            </w:r>
          </w:p>
        </w:tc>
        <w:tc>
          <w:tcPr>
            <w:tcW w:w="4354" w:type="dxa"/>
            <w:vAlign w:val="center"/>
          </w:tcPr>
          <w:p>
            <w:pPr>
              <w:widowControl w:val="0"/>
              <w:jc w:val="center"/>
            </w:pPr>
            <w:r>
              <w:t>20</w:t>
            </w:r>
          </w:p>
        </w:tc>
      </w:tr>
      <w:tr>
        <w:trPr>
          <w:trHeight w:val="270"/>
        </w:trPr>
        <w:tc>
          <w:tcPr>
            <w:tcW w:w="4654" w:type="dxa"/>
            <w:vAlign w:val="center"/>
          </w:tcPr>
          <w:p>
            <w:pPr>
              <w:widowControl w:val="0"/>
              <w:jc w:val="center"/>
            </w:pPr>
            <w:r>
              <w:t xml:space="preserve">1000 &lt; </w:t>
            </w:r>
            <w:r>
              <w:rPr>
                <w:position w:val="-10"/>
              </w:rPr>
              <w:object w:dxaOrig="240" w:dyaOrig="255">
                <v:shape id="_x0000_i1128" type="#_x0000_t75" style="width:12pt;height:12.8pt" o:ole="">
                  <v:imagedata r:id="rId325" o:title=""/>
                </v:shape>
                <o:OLEObject Type="Embed" ProgID="Equation.3" ShapeID="_x0000_i1128" DrawAspect="Content" ObjectID="_0000000001" r:id="rId326"/>
              </w:object>
            </w:r>
            <w:r>
              <w:t xml:space="preserve"> </w:t>
            </w:r>
            <w:r>
              <w:rPr>
                <w:position w:val="-4"/>
              </w:rPr>
              <w:object w:dxaOrig="195" w:dyaOrig="240">
                <v:shape id="_x0000_i1129" type="#_x0000_t75" style="width:9.6pt;height:12pt" o:ole="">
                  <v:imagedata r:id="rId327" o:title=""/>
                </v:shape>
                <o:OLEObject Type="Embed" ProgID="Equation.3" ShapeID="_x0000_i1129" DrawAspect="Content" ObjectID="_0000000001" r:id="rId328"/>
              </w:object>
            </w:r>
            <w:r>
              <w:t xml:space="preserve"> 5000</w:t>
            </w:r>
          </w:p>
        </w:tc>
        <w:tc>
          <w:tcPr>
            <w:tcW w:w="4354" w:type="dxa"/>
            <w:vAlign w:val="center"/>
          </w:tcPr>
          <w:p>
            <w:pPr>
              <w:widowControl w:val="0"/>
              <w:jc w:val="center"/>
            </w:pPr>
            <w:r>
              <w:t>30</w:t>
            </w:r>
          </w:p>
        </w:tc>
      </w:tr>
      <w:tr>
        <w:trPr>
          <w:trHeight w:val="270"/>
        </w:trPr>
        <w:tc>
          <w:tcPr>
            <w:tcW w:w="4654" w:type="dxa"/>
            <w:vAlign w:val="center"/>
          </w:tcPr>
          <w:p>
            <w:pPr>
              <w:widowControl w:val="0"/>
              <w:jc w:val="center"/>
            </w:pPr>
            <w:r>
              <w:rPr>
                <w:position w:val="-10"/>
              </w:rPr>
              <w:object w:dxaOrig="240" w:dyaOrig="255">
                <v:shape id="_x0000_i1130" type="#_x0000_t75" style="width:12pt;height:12.8pt" o:ole="">
                  <v:imagedata r:id="rId329" o:title=""/>
                </v:shape>
                <o:OLEObject Type="Embed" ProgID="Equation.3" ShapeID="_x0000_i1130" DrawAspect="Content" ObjectID="_0000000001" r:id="rId330"/>
              </w:object>
            </w:r>
            <w:r>
              <w:t xml:space="preserve"> &gt; 5000</w:t>
            </w:r>
          </w:p>
        </w:tc>
        <w:tc>
          <w:tcPr>
            <w:tcW w:w="4354" w:type="dxa"/>
            <w:vAlign w:val="center"/>
          </w:tcPr>
          <w:p>
            <w:pPr>
              <w:widowControl w:val="0"/>
              <w:jc w:val="center"/>
            </w:pPr>
            <w:r>
              <w:t>6 * 10</w:t>
            </w:r>
            <w:r>
              <w:rPr>
                <w:vertAlign w:val="superscript"/>
              </w:rPr>
              <w:t>–3</w:t>
            </w:r>
            <w:r>
              <w:rPr>
                <w:position w:val="-10"/>
              </w:rPr>
              <w:object w:dxaOrig="240" w:dyaOrig="255">
                <v:shape id="_x0000_i1131" type="#_x0000_t75" style="width:12pt;height:12.8pt" o:ole="">
                  <v:imagedata r:id="rId331" o:title=""/>
                </v:shape>
                <o:OLEObject Type="Embed" ProgID="Equation.3" ShapeID="_x0000_i1131" DrawAspect="Content" ObjectID="_0000000001" r:id="rId332"/>
              </w:object>
            </w:r>
          </w:p>
        </w:tc>
      </w:tr>
    </w:tbl>
    <w:p>
      <w:pPr>
        <w:widowControl w:val="0"/>
        <w:jc w:val="both"/>
      </w:pPr>
    </w:p>
    <w:p>
      <w:pPr>
        <w:widowControl w:val="0"/>
        <w:ind w:firstLine="567"/>
        <w:jc w:val="both"/>
        <w:rPr>
          <w:b/>
        </w:rPr>
      </w:pPr>
      <w:r>
        <w:rPr>
          <w:b/>
        </w:rPr>
        <w:t>7 lentelė. Oro linijų apsauga nuo žaibų pastočių ir skirstyklų prieigose</w:t>
      </w:r>
    </w:p>
    <w:p>
      <w:pPr>
        <w:widowControl w:val="0"/>
        <w:jc w:val="both"/>
      </w:pPr>
    </w:p>
    <w:tbl>
      <w:tblPr>
        <w:tblW w:w="9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 w:type="dxa"/>
          <w:right w:w="11" w:type="dxa"/>
        </w:tblCellMar>
        <w:tblLook w:val="0000" w:firstRow="0" w:lastRow="0" w:firstColumn="0" w:lastColumn="0" w:noHBand="0" w:noVBand="0"/>
      </w:tblPr>
      <w:tblGrid>
        <w:gridCol w:w="987"/>
        <w:gridCol w:w="1184"/>
        <w:gridCol w:w="1205"/>
        <w:gridCol w:w="1113"/>
        <w:gridCol w:w="929"/>
        <w:gridCol w:w="928"/>
        <w:gridCol w:w="693"/>
        <w:gridCol w:w="1239"/>
        <w:gridCol w:w="792"/>
      </w:tblGrid>
      <w:tr>
        <w:trPr>
          <w:cantSplit/>
          <w:jc w:val="center"/>
        </w:trPr>
        <w:tc>
          <w:tcPr>
            <w:tcW w:w="904" w:type="dxa"/>
            <w:vMerge w:val="restart"/>
            <w:vAlign w:val="center"/>
          </w:tcPr>
          <w:p>
            <w:pPr>
              <w:widowControl w:val="0"/>
              <w:jc w:val="center"/>
            </w:pPr>
            <w:r>
              <w:t>Linijos įtampa, k</w:t>
            </w:r>
          </w:p>
        </w:tc>
        <w:tc>
          <w:tcPr>
            <w:tcW w:w="2188" w:type="dxa"/>
            <w:gridSpan w:val="2"/>
            <w:vAlign w:val="center"/>
          </w:tcPr>
          <w:p>
            <w:pPr>
              <w:widowControl w:val="0"/>
              <w:jc w:val="center"/>
            </w:pPr>
            <w:r>
              <w:t>Linijos portalinėmis atramomis su dviem apsaugos trosais</w:t>
            </w:r>
          </w:p>
        </w:tc>
        <w:tc>
          <w:tcPr>
            <w:tcW w:w="2720" w:type="dxa"/>
            <w:gridSpan w:val="3"/>
            <w:vAlign w:val="center"/>
          </w:tcPr>
          <w:p>
            <w:pPr>
              <w:widowControl w:val="0"/>
              <w:jc w:val="center"/>
            </w:pPr>
            <w:r>
              <w:t>Linijos vienstiebėmis</w:t>
            </w:r>
          </w:p>
          <w:p>
            <w:pPr>
              <w:widowControl w:val="0"/>
              <w:jc w:val="center"/>
            </w:pPr>
            <w:r>
              <w:t>atramomis</w:t>
            </w:r>
          </w:p>
        </w:tc>
        <w:tc>
          <w:tcPr>
            <w:tcW w:w="2495" w:type="dxa"/>
            <w:gridSpan w:val="3"/>
            <w:vAlign w:val="center"/>
          </w:tcPr>
          <w:p>
            <w:pPr>
              <w:widowControl w:val="0"/>
              <w:jc w:val="center"/>
            </w:pPr>
            <w:r>
              <w:t>Didžiausia atramų</w:t>
            </w:r>
          </w:p>
          <w:p>
            <w:pPr>
              <w:widowControl w:val="0"/>
              <w:jc w:val="center"/>
            </w:pPr>
            <w:r>
              <w:t xml:space="preserve">įžeminimo varža, </w:t>
            </w:r>
            <w:r>
              <w:rPr>
                <w:position w:val="-4"/>
              </w:rPr>
              <w:object w:dxaOrig="255" w:dyaOrig="255">
                <v:shape id="_x0000_i1132" type="#_x0000_t75" style="width:12.8pt;height:12.8pt" o:ole="">
                  <v:imagedata r:id="rId333" o:title=""/>
                </v:shape>
                <o:OLEObject Type="Embed" ProgID="Equation.3" ShapeID="_x0000_i1132" DrawAspect="Content" ObjectID="_0000000001" r:id="rId334"/>
              </w:object>
            </w:r>
            <w:r>
              <w:t xml:space="preserve">, esant savitajai grunto varžai, </w:t>
            </w:r>
            <w:r>
              <w:rPr>
                <w:position w:val="-4"/>
              </w:rPr>
              <w:object w:dxaOrig="255" w:dyaOrig="255">
                <v:shape id="_x0000_i1133" type="#_x0000_t75" style="width:12.8pt;height:12.8pt" o:ole="">
                  <v:imagedata r:id="rId335" o:title=""/>
                </v:shape>
                <o:OLEObject Type="Embed" ProgID="Equation.3" ShapeID="_x0000_i1133" DrawAspect="Content" ObjectID="_0000000001" r:id="rId336"/>
              </w:object>
            </w:r>
            <w:r>
              <w:t xml:space="preserve"> m</w:t>
            </w:r>
          </w:p>
        </w:tc>
      </w:tr>
      <w:tr>
        <w:trPr>
          <w:cantSplit/>
          <w:jc w:val="center"/>
        </w:trPr>
        <w:tc>
          <w:tcPr>
            <w:tcW w:w="904" w:type="dxa"/>
            <w:vMerge/>
            <w:vAlign w:val="center"/>
          </w:tcPr>
          <w:p>
            <w:pPr>
              <w:widowControl w:val="0"/>
              <w:jc w:val="center"/>
            </w:pPr>
          </w:p>
        </w:tc>
        <w:tc>
          <w:tcPr>
            <w:tcW w:w="1084" w:type="dxa"/>
            <w:vAlign w:val="center"/>
          </w:tcPr>
          <w:p>
            <w:pPr>
              <w:widowControl w:val="0"/>
              <w:jc w:val="center"/>
            </w:pPr>
            <w:r>
              <w:t>saugomos prieigos ruožo ilgis, km</w:t>
            </w:r>
          </w:p>
        </w:tc>
        <w:tc>
          <w:tcPr>
            <w:tcW w:w="1104" w:type="dxa"/>
            <w:vAlign w:val="center"/>
          </w:tcPr>
          <w:p>
            <w:pPr>
              <w:widowControl w:val="0"/>
              <w:jc w:val="center"/>
            </w:pPr>
            <w:r>
              <w:t>troso apsaugos kampas, laipsniais</w:t>
            </w:r>
          </w:p>
        </w:tc>
        <w:tc>
          <w:tcPr>
            <w:tcW w:w="1019" w:type="dxa"/>
            <w:vAlign w:val="center"/>
          </w:tcPr>
          <w:p>
            <w:pPr>
              <w:widowControl w:val="0"/>
              <w:jc w:val="center"/>
            </w:pPr>
            <w:r>
              <w:t>saugomos prieigos ruožo ilgis, km</w:t>
            </w:r>
          </w:p>
        </w:tc>
        <w:tc>
          <w:tcPr>
            <w:tcW w:w="851" w:type="dxa"/>
            <w:vAlign w:val="center"/>
          </w:tcPr>
          <w:p>
            <w:pPr>
              <w:widowControl w:val="0"/>
              <w:jc w:val="center"/>
            </w:pPr>
            <w:r>
              <w:t>apsaugos trosų skaičius, vnt.</w:t>
            </w:r>
          </w:p>
        </w:tc>
        <w:tc>
          <w:tcPr>
            <w:tcW w:w="850" w:type="dxa"/>
            <w:vAlign w:val="center"/>
          </w:tcPr>
          <w:p>
            <w:pPr>
              <w:widowControl w:val="0"/>
              <w:jc w:val="center"/>
            </w:pPr>
            <w:r>
              <w:t>troso apsaugos kampas, laipsniais</w:t>
            </w:r>
          </w:p>
        </w:tc>
        <w:tc>
          <w:tcPr>
            <w:tcW w:w="635" w:type="dxa"/>
            <w:vAlign w:val="center"/>
          </w:tcPr>
          <w:p>
            <w:pPr>
              <w:widowControl w:val="0"/>
              <w:jc w:val="center"/>
              <w:rPr>
                <w:spacing w:val="-2"/>
              </w:rPr>
            </w:pPr>
            <w:r>
              <w:rPr>
                <w:position w:val="-10"/>
              </w:rPr>
              <w:object w:dxaOrig="240" w:dyaOrig="255">
                <v:shape id="_x0000_i1134" type="#_x0000_t75" style="width:12pt;height:12.8pt" o:ole="">
                  <v:imagedata r:id="rId337" o:title=""/>
                </v:shape>
                <o:OLEObject Type="Embed" ProgID="Equation.3" ShapeID="_x0000_i1134" DrawAspect="Content" ObjectID="_0000000001" r:id="rId338"/>
              </w:object>
            </w:r>
            <w:r>
              <w:rPr>
                <w:position w:val="-4"/>
              </w:rPr>
              <w:object w:dxaOrig="195" w:dyaOrig="240">
                <v:shape id="_x0000_i1135" type="#_x0000_t75" style="width:9.6pt;height:12pt" o:ole="">
                  <v:imagedata r:id="rId339" o:title=""/>
                </v:shape>
                <o:OLEObject Type="Embed" ProgID="Equation.3" ShapeID="_x0000_i1135" DrawAspect="Content" ObjectID="_0000000001" r:id="rId340"/>
              </w:object>
            </w:r>
            <w:r>
              <w:rPr>
                <w:spacing w:val="-2"/>
              </w:rPr>
              <w:t>100</w:t>
            </w:r>
          </w:p>
        </w:tc>
        <w:tc>
          <w:tcPr>
            <w:tcW w:w="1135" w:type="dxa"/>
            <w:vAlign w:val="center"/>
          </w:tcPr>
          <w:p>
            <w:pPr>
              <w:widowControl w:val="0"/>
              <w:jc w:val="center"/>
              <w:rPr>
                <w:spacing w:val="-4"/>
              </w:rPr>
            </w:pPr>
            <w:r>
              <w:rPr>
                <w:spacing w:val="-4"/>
              </w:rPr>
              <w:t>100&lt;</w:t>
            </w:r>
            <w:r>
              <w:rPr>
                <w:position w:val="-10"/>
              </w:rPr>
              <w:object w:dxaOrig="240" w:dyaOrig="255">
                <v:shape id="_x0000_i1136" type="#_x0000_t75" style="width:12pt;height:12.8pt" o:ole="">
                  <v:imagedata r:id="rId341" o:title=""/>
                </v:shape>
                <o:OLEObject Type="Embed" ProgID="Equation.3" ShapeID="_x0000_i1136" DrawAspect="Content" ObjectID="_0000000001" r:id="rId342"/>
              </w:object>
            </w:r>
            <w:r>
              <w:rPr>
                <w:position w:val="-4"/>
              </w:rPr>
              <w:object w:dxaOrig="195" w:dyaOrig="240">
                <v:shape id="_x0000_i1137" type="#_x0000_t75" style="width:9.6pt;height:12pt" o:ole="">
                  <v:imagedata r:id="rId343" o:title=""/>
                </v:shape>
                <o:OLEObject Type="Embed" ProgID="Equation.3" ShapeID="_x0000_i1137" DrawAspect="Content" ObjectID="_0000000001" r:id="rId344"/>
              </w:object>
            </w:r>
            <w:r>
              <w:rPr>
                <w:spacing w:val="-4"/>
              </w:rPr>
              <w:t>500</w:t>
            </w:r>
          </w:p>
        </w:tc>
        <w:tc>
          <w:tcPr>
            <w:tcW w:w="725" w:type="dxa"/>
            <w:vAlign w:val="center"/>
          </w:tcPr>
          <w:p>
            <w:pPr>
              <w:widowControl w:val="0"/>
              <w:jc w:val="center"/>
              <w:rPr>
                <w:spacing w:val="-2"/>
              </w:rPr>
            </w:pPr>
            <w:r>
              <w:rPr>
                <w:position w:val="-10"/>
              </w:rPr>
              <w:object w:dxaOrig="240" w:dyaOrig="255">
                <v:shape id="_x0000_i1138" type="#_x0000_t75" style="width:12pt;height:12.8pt" o:ole="">
                  <v:imagedata r:id="rId345" o:title=""/>
                </v:shape>
                <o:OLEObject Type="Embed" ProgID="Equation.3" ShapeID="_x0000_i1138" DrawAspect="Content" ObjectID="_0000000001" r:id="rId346"/>
              </w:object>
            </w:r>
            <w:r>
              <w:rPr>
                <w:spacing w:val="-2"/>
              </w:rPr>
              <w:t>&gt;500</w:t>
            </w:r>
          </w:p>
        </w:tc>
      </w:tr>
      <w:tr>
        <w:trPr>
          <w:cantSplit/>
          <w:trHeight w:val="360"/>
          <w:jc w:val="center"/>
        </w:trPr>
        <w:tc>
          <w:tcPr>
            <w:tcW w:w="904" w:type="dxa"/>
            <w:vAlign w:val="center"/>
          </w:tcPr>
          <w:p>
            <w:pPr>
              <w:widowControl w:val="0"/>
              <w:jc w:val="center"/>
            </w:pPr>
            <w:r>
              <w:t>35</w:t>
            </w:r>
          </w:p>
        </w:tc>
        <w:tc>
          <w:tcPr>
            <w:tcW w:w="1084" w:type="dxa"/>
            <w:vAlign w:val="center"/>
          </w:tcPr>
          <w:p>
            <w:pPr>
              <w:widowControl w:val="0"/>
              <w:jc w:val="center"/>
            </w:pPr>
            <w:r>
              <w:t>0,5–2</w:t>
            </w:r>
          </w:p>
        </w:tc>
        <w:tc>
          <w:tcPr>
            <w:tcW w:w="1104" w:type="dxa"/>
            <w:vAlign w:val="center"/>
          </w:tcPr>
          <w:p>
            <w:pPr>
              <w:widowControl w:val="0"/>
              <w:jc w:val="center"/>
            </w:pPr>
            <w:r>
              <w:t>25–30</w:t>
            </w:r>
          </w:p>
        </w:tc>
        <w:tc>
          <w:tcPr>
            <w:tcW w:w="1019" w:type="dxa"/>
            <w:vAlign w:val="center"/>
          </w:tcPr>
          <w:p>
            <w:pPr>
              <w:widowControl w:val="0"/>
              <w:jc w:val="center"/>
            </w:pPr>
            <w:r>
              <w:t>1–2</w:t>
            </w:r>
          </w:p>
        </w:tc>
        <w:tc>
          <w:tcPr>
            <w:tcW w:w="851" w:type="dxa"/>
            <w:vAlign w:val="center"/>
          </w:tcPr>
          <w:p>
            <w:pPr>
              <w:widowControl w:val="0"/>
              <w:jc w:val="center"/>
            </w:pPr>
            <w:r>
              <w:t>1–2</w:t>
            </w:r>
          </w:p>
        </w:tc>
        <w:tc>
          <w:tcPr>
            <w:tcW w:w="850" w:type="dxa"/>
            <w:vAlign w:val="center"/>
          </w:tcPr>
          <w:p>
            <w:pPr>
              <w:widowControl w:val="0"/>
              <w:jc w:val="center"/>
            </w:pPr>
            <w:r>
              <w:t>30</w:t>
            </w:r>
          </w:p>
        </w:tc>
        <w:tc>
          <w:tcPr>
            <w:tcW w:w="635" w:type="dxa"/>
            <w:vAlign w:val="center"/>
          </w:tcPr>
          <w:p>
            <w:pPr>
              <w:widowControl w:val="0"/>
              <w:jc w:val="center"/>
            </w:pPr>
            <w:r>
              <w:t>10</w:t>
            </w:r>
          </w:p>
        </w:tc>
        <w:tc>
          <w:tcPr>
            <w:tcW w:w="1135" w:type="dxa"/>
            <w:vAlign w:val="center"/>
          </w:tcPr>
          <w:p>
            <w:pPr>
              <w:widowControl w:val="0"/>
              <w:jc w:val="center"/>
            </w:pPr>
            <w:r>
              <w:t>15</w:t>
            </w:r>
          </w:p>
        </w:tc>
        <w:tc>
          <w:tcPr>
            <w:tcW w:w="725" w:type="dxa"/>
            <w:vAlign w:val="center"/>
          </w:tcPr>
          <w:p>
            <w:pPr>
              <w:widowControl w:val="0"/>
              <w:jc w:val="center"/>
            </w:pPr>
            <w:r>
              <w:t>20</w:t>
            </w:r>
          </w:p>
        </w:tc>
      </w:tr>
      <w:tr>
        <w:trPr>
          <w:cantSplit/>
          <w:trHeight w:val="360"/>
          <w:jc w:val="center"/>
        </w:trPr>
        <w:tc>
          <w:tcPr>
            <w:tcW w:w="904" w:type="dxa"/>
            <w:vAlign w:val="center"/>
          </w:tcPr>
          <w:p>
            <w:pPr>
              <w:widowControl w:val="0"/>
              <w:jc w:val="center"/>
            </w:pPr>
            <w:r>
              <w:t>110</w:t>
            </w:r>
          </w:p>
        </w:tc>
        <w:tc>
          <w:tcPr>
            <w:tcW w:w="1084" w:type="dxa"/>
            <w:vAlign w:val="center"/>
          </w:tcPr>
          <w:p>
            <w:pPr>
              <w:widowControl w:val="0"/>
              <w:jc w:val="center"/>
            </w:pPr>
            <w:r>
              <w:t>1–3</w:t>
            </w:r>
          </w:p>
        </w:tc>
        <w:tc>
          <w:tcPr>
            <w:tcW w:w="1104" w:type="dxa"/>
            <w:vAlign w:val="center"/>
          </w:tcPr>
          <w:p>
            <w:pPr>
              <w:widowControl w:val="0"/>
              <w:jc w:val="center"/>
            </w:pPr>
            <w:r>
              <w:t>25–30</w:t>
            </w:r>
          </w:p>
        </w:tc>
        <w:tc>
          <w:tcPr>
            <w:tcW w:w="1019" w:type="dxa"/>
            <w:vAlign w:val="center"/>
          </w:tcPr>
          <w:p>
            <w:pPr>
              <w:widowControl w:val="0"/>
              <w:jc w:val="center"/>
            </w:pPr>
            <w:r>
              <w:t>1–3</w:t>
            </w:r>
          </w:p>
        </w:tc>
        <w:tc>
          <w:tcPr>
            <w:tcW w:w="851" w:type="dxa"/>
            <w:vAlign w:val="center"/>
          </w:tcPr>
          <w:p>
            <w:pPr>
              <w:widowControl w:val="0"/>
              <w:jc w:val="center"/>
            </w:pPr>
            <w:r>
              <w:t>1–2</w:t>
            </w:r>
          </w:p>
        </w:tc>
        <w:tc>
          <w:tcPr>
            <w:tcW w:w="850" w:type="dxa"/>
            <w:vAlign w:val="center"/>
          </w:tcPr>
          <w:p>
            <w:pPr>
              <w:widowControl w:val="0"/>
              <w:jc w:val="center"/>
            </w:pPr>
            <w:r>
              <w:t>25–30</w:t>
            </w:r>
          </w:p>
        </w:tc>
        <w:tc>
          <w:tcPr>
            <w:tcW w:w="635" w:type="dxa"/>
            <w:vAlign w:val="center"/>
          </w:tcPr>
          <w:p>
            <w:pPr>
              <w:widowControl w:val="0"/>
              <w:jc w:val="center"/>
            </w:pPr>
            <w:r>
              <w:t>10</w:t>
            </w:r>
          </w:p>
        </w:tc>
        <w:tc>
          <w:tcPr>
            <w:tcW w:w="1135" w:type="dxa"/>
            <w:vAlign w:val="center"/>
          </w:tcPr>
          <w:p>
            <w:pPr>
              <w:widowControl w:val="0"/>
              <w:jc w:val="center"/>
            </w:pPr>
            <w:r>
              <w:t>15</w:t>
            </w:r>
          </w:p>
        </w:tc>
        <w:tc>
          <w:tcPr>
            <w:tcW w:w="725" w:type="dxa"/>
            <w:vAlign w:val="center"/>
          </w:tcPr>
          <w:p>
            <w:pPr>
              <w:widowControl w:val="0"/>
              <w:jc w:val="center"/>
            </w:pPr>
            <w:r>
              <w:t>20(30)</w:t>
            </w:r>
          </w:p>
        </w:tc>
      </w:tr>
      <w:tr>
        <w:trPr>
          <w:cantSplit/>
          <w:trHeight w:val="360"/>
          <w:jc w:val="center"/>
        </w:trPr>
        <w:tc>
          <w:tcPr>
            <w:tcW w:w="904" w:type="dxa"/>
            <w:vAlign w:val="center"/>
          </w:tcPr>
          <w:p>
            <w:pPr>
              <w:widowControl w:val="0"/>
              <w:jc w:val="center"/>
            </w:pPr>
            <w:r>
              <w:t>330</w:t>
            </w:r>
          </w:p>
        </w:tc>
        <w:tc>
          <w:tcPr>
            <w:tcW w:w="1084" w:type="dxa"/>
            <w:vAlign w:val="center"/>
          </w:tcPr>
          <w:p>
            <w:pPr>
              <w:widowControl w:val="0"/>
              <w:jc w:val="center"/>
            </w:pPr>
            <w:r>
              <w:t>2–4</w:t>
            </w:r>
          </w:p>
        </w:tc>
        <w:tc>
          <w:tcPr>
            <w:tcW w:w="1104" w:type="dxa"/>
            <w:vAlign w:val="center"/>
          </w:tcPr>
          <w:p>
            <w:pPr>
              <w:widowControl w:val="0"/>
              <w:jc w:val="center"/>
            </w:pPr>
            <w:r>
              <w:t>25</w:t>
            </w:r>
          </w:p>
        </w:tc>
        <w:tc>
          <w:tcPr>
            <w:tcW w:w="1019" w:type="dxa"/>
            <w:vAlign w:val="center"/>
          </w:tcPr>
          <w:p>
            <w:pPr>
              <w:widowControl w:val="0"/>
              <w:jc w:val="center"/>
            </w:pPr>
            <w:r>
              <w:t>2–4</w:t>
            </w:r>
          </w:p>
        </w:tc>
        <w:tc>
          <w:tcPr>
            <w:tcW w:w="851" w:type="dxa"/>
            <w:vAlign w:val="center"/>
          </w:tcPr>
          <w:p>
            <w:pPr>
              <w:widowControl w:val="0"/>
              <w:jc w:val="center"/>
            </w:pPr>
            <w:r>
              <w:t>2</w:t>
            </w:r>
          </w:p>
        </w:tc>
        <w:tc>
          <w:tcPr>
            <w:tcW w:w="850" w:type="dxa"/>
            <w:vAlign w:val="center"/>
          </w:tcPr>
          <w:p>
            <w:pPr>
              <w:widowControl w:val="0"/>
              <w:jc w:val="center"/>
            </w:pPr>
            <w:r>
              <w:t>20</w:t>
            </w:r>
          </w:p>
        </w:tc>
        <w:tc>
          <w:tcPr>
            <w:tcW w:w="635" w:type="dxa"/>
            <w:vAlign w:val="center"/>
          </w:tcPr>
          <w:p>
            <w:pPr>
              <w:widowControl w:val="0"/>
              <w:jc w:val="center"/>
            </w:pPr>
            <w:r>
              <w:t>10</w:t>
            </w:r>
          </w:p>
        </w:tc>
        <w:tc>
          <w:tcPr>
            <w:tcW w:w="1135" w:type="dxa"/>
            <w:vAlign w:val="center"/>
          </w:tcPr>
          <w:p>
            <w:pPr>
              <w:widowControl w:val="0"/>
              <w:jc w:val="center"/>
            </w:pPr>
            <w:r>
              <w:t>15</w:t>
            </w:r>
          </w:p>
        </w:tc>
        <w:tc>
          <w:tcPr>
            <w:tcW w:w="725" w:type="dxa"/>
            <w:vAlign w:val="center"/>
          </w:tcPr>
          <w:p>
            <w:pPr>
              <w:widowControl w:val="0"/>
              <w:jc w:val="center"/>
            </w:pPr>
            <w:r>
              <w:t>20(30)</w:t>
            </w:r>
          </w:p>
        </w:tc>
      </w:tr>
      <w:tr>
        <w:trPr>
          <w:cantSplit/>
          <w:trHeight w:val="360"/>
          <w:jc w:val="center"/>
        </w:trPr>
        <w:tc>
          <w:tcPr>
            <w:tcW w:w="904" w:type="dxa"/>
            <w:vAlign w:val="center"/>
          </w:tcPr>
          <w:p>
            <w:pPr>
              <w:widowControl w:val="0"/>
              <w:jc w:val="center"/>
            </w:pPr>
            <w:r>
              <w:t>400</w:t>
            </w:r>
          </w:p>
        </w:tc>
        <w:tc>
          <w:tcPr>
            <w:tcW w:w="1084" w:type="dxa"/>
            <w:vAlign w:val="center"/>
          </w:tcPr>
          <w:p>
            <w:pPr>
              <w:widowControl w:val="0"/>
              <w:jc w:val="center"/>
            </w:pPr>
            <w:r>
              <w:t>3–4</w:t>
            </w:r>
          </w:p>
        </w:tc>
        <w:tc>
          <w:tcPr>
            <w:tcW w:w="1104" w:type="dxa"/>
            <w:vAlign w:val="center"/>
          </w:tcPr>
          <w:p>
            <w:pPr>
              <w:widowControl w:val="0"/>
              <w:jc w:val="center"/>
            </w:pPr>
            <w:r>
              <w:t>25</w:t>
            </w:r>
          </w:p>
        </w:tc>
        <w:tc>
          <w:tcPr>
            <w:tcW w:w="1019" w:type="dxa"/>
            <w:vAlign w:val="center"/>
          </w:tcPr>
          <w:p>
            <w:pPr>
              <w:widowControl w:val="0"/>
              <w:jc w:val="center"/>
            </w:pPr>
            <w:r>
              <w:t>–</w:t>
            </w:r>
          </w:p>
        </w:tc>
        <w:tc>
          <w:tcPr>
            <w:tcW w:w="851" w:type="dxa"/>
            <w:vAlign w:val="center"/>
          </w:tcPr>
          <w:p>
            <w:pPr>
              <w:widowControl w:val="0"/>
              <w:jc w:val="center"/>
            </w:pPr>
            <w:r>
              <w:t>–</w:t>
            </w:r>
          </w:p>
        </w:tc>
        <w:tc>
          <w:tcPr>
            <w:tcW w:w="850" w:type="dxa"/>
            <w:vAlign w:val="center"/>
          </w:tcPr>
          <w:p>
            <w:pPr>
              <w:widowControl w:val="0"/>
              <w:jc w:val="center"/>
            </w:pPr>
            <w:r>
              <w:t>–</w:t>
            </w:r>
          </w:p>
        </w:tc>
        <w:tc>
          <w:tcPr>
            <w:tcW w:w="635" w:type="dxa"/>
            <w:vAlign w:val="center"/>
          </w:tcPr>
          <w:p>
            <w:pPr>
              <w:widowControl w:val="0"/>
              <w:jc w:val="center"/>
            </w:pPr>
            <w:r>
              <w:t>10</w:t>
            </w:r>
          </w:p>
        </w:tc>
        <w:tc>
          <w:tcPr>
            <w:tcW w:w="1135" w:type="dxa"/>
            <w:vAlign w:val="center"/>
          </w:tcPr>
          <w:p>
            <w:pPr>
              <w:widowControl w:val="0"/>
              <w:jc w:val="center"/>
            </w:pPr>
            <w:r>
              <w:t>15</w:t>
            </w:r>
          </w:p>
        </w:tc>
        <w:tc>
          <w:tcPr>
            <w:tcW w:w="725" w:type="dxa"/>
            <w:vAlign w:val="center"/>
          </w:tcPr>
          <w:p>
            <w:pPr>
              <w:widowControl w:val="0"/>
              <w:jc w:val="center"/>
            </w:pPr>
            <w:r>
              <w:t>20(30)</w:t>
            </w:r>
          </w:p>
        </w:tc>
      </w:tr>
    </w:tbl>
    <w:p>
      <w:pPr>
        <w:widowControl w:val="0"/>
        <w:ind w:firstLine="567"/>
        <w:jc w:val="both"/>
      </w:pPr>
    </w:p>
    <w:p>
      <w:pPr>
        <w:widowControl w:val="0"/>
        <w:ind w:firstLine="567"/>
        <w:jc w:val="both"/>
      </w:pPr>
      <w:r>
        <w:t>PASTABOS:</w:t>
      </w:r>
    </w:p>
    <w:p>
      <w:pPr>
        <w:widowControl w:val="0"/>
        <w:ind w:firstLine="567"/>
        <w:jc w:val="both"/>
      </w:pPr>
      <w:r>
        <w:t>1</w:t>
      </w:r>
      <w:r>
        <w:t xml:space="preserve">. Skliausteliuose nurodytos didžiausios portalinių gelžbetoninių atramų įžeminimo varžos gruntuose, kurių savitoji varža </w:t>
      </w:r>
      <w:r>
        <w:rPr>
          <w:position w:val="-10"/>
        </w:rPr>
        <w:object w:dxaOrig="240" w:dyaOrig="255">
          <v:shape id="_x0000_i1139" type="#_x0000_t75" style="width:12pt;height:12.8pt" o:ole="">
            <v:imagedata r:id="rId347" o:title=""/>
          </v:shape>
          <o:OLEObject Type="Embed" ProgID="Equation.3" ShapeID="_x0000_i1139" DrawAspect="Content" ObjectID="_0000000001" r:id="rId348"/>
        </w:object>
      </w:r>
      <w:r>
        <w:t xml:space="preserve"> </w:t>
        <w:sym w:font="Symbol" w:char="F03E"/>
        <w:t xml:space="preserve">1000 </w:t>
      </w:r>
      <w:r>
        <w:rPr>
          <w:position w:val="-4"/>
        </w:rPr>
        <w:object w:dxaOrig="255" w:dyaOrig="255">
          <v:shape id="_x0000_i1140" type="#_x0000_t75" style="width:12.8pt;height:12.8pt" o:ole="">
            <v:imagedata r:id="rId349" o:title=""/>
          </v:shape>
          <o:OLEObject Type="Embed" ProgID="Equation.3" ShapeID="_x0000_i1140" DrawAspect="Content" ObjectID="_0000000001" r:id="rId350"/>
        </w:object>
      </w:r>
      <w:r>
        <w:t xml:space="preserve"> m.</w:t>
      </w:r>
    </w:p>
    <w:p>
      <w:pPr>
        <w:widowControl w:val="0"/>
        <w:ind w:firstLine="567"/>
        <w:jc w:val="both"/>
      </w:pPr>
      <w:r>
        <w:t>2</w:t>
      </w:r>
      <w:r>
        <w:t xml:space="preserve">. Skirstyklų ir pastočių prieigose dvigrandžių vienstiebių atramų įžeminimo įrenginio varža turi būti ne didesnė kaip 5, 10 ir 15 </w:t>
      </w:r>
      <w:r>
        <w:rPr>
          <w:position w:val="-4"/>
        </w:rPr>
        <w:object w:dxaOrig="255" w:dyaOrig="255">
          <v:shape id="_x0000_i1141" type="#_x0000_t75" style="width:12.8pt;height:12.8pt" o:ole="">
            <v:imagedata r:id="rId351" o:title=""/>
          </v:shape>
          <o:OLEObject Type="Embed" ProgID="Equation.3" ShapeID="_x0000_i1141" DrawAspect="Content" ObjectID="_0000000001" r:id="rId352"/>
        </w:object>
      </w:r>
      <w:r>
        <w:t xml:space="preserve"> gruntuose, kurių savitoji varža atitinkamai </w:t>
      </w:r>
      <w:r>
        <w:rPr>
          <w:position w:val="-10"/>
        </w:rPr>
        <w:object w:dxaOrig="240" w:dyaOrig="255">
          <v:shape id="_x0000_i1142" type="#_x0000_t75" style="width:12pt;height:12.8pt" o:ole="">
            <v:imagedata r:id="rId353" o:title=""/>
          </v:shape>
          <o:OLEObject Type="Embed" ProgID="Equation.3" ShapeID="_x0000_i1142" DrawAspect="Content" ObjectID="_0000000001" r:id="rId354"/>
        </w:object>
      </w:r>
      <w:r>
        <w:t xml:space="preserve"> &lt; 100, 100 &lt; </w:t>
      </w:r>
      <w:r>
        <w:rPr>
          <w:position w:val="-10"/>
        </w:rPr>
        <w:object w:dxaOrig="240" w:dyaOrig="255">
          <v:shape id="_x0000_i1143" type="#_x0000_t75" style="width:12pt;height:12.8pt" o:ole="">
            <v:imagedata r:id="rId355" o:title=""/>
          </v:shape>
          <o:OLEObject Type="Embed" ProgID="Equation.3" ShapeID="_x0000_i1143" DrawAspect="Content" ObjectID="_0000000001" r:id="rId356"/>
        </w:object>
      </w:r>
      <w:r>
        <w:t xml:space="preserve"> </w:t>
      </w:r>
      <w:r>
        <w:rPr>
          <w:position w:val="-4"/>
        </w:rPr>
        <w:object w:dxaOrig="195" w:dyaOrig="240">
          <v:shape id="_x0000_i1144" type="#_x0000_t75" style="width:9.6pt;height:12pt" o:ole="">
            <v:imagedata r:id="rId357" o:title=""/>
          </v:shape>
          <o:OLEObject Type="Embed" ProgID="Equation.3" ShapeID="_x0000_i1144" DrawAspect="Content" ObjectID="_0000000001" r:id="rId358"/>
        </w:object>
      </w:r>
      <w:r>
        <w:t xml:space="preserve"> 500 ir </w:t>
      </w:r>
      <w:r>
        <w:rPr>
          <w:position w:val="-10"/>
        </w:rPr>
        <w:object w:dxaOrig="240" w:dyaOrig="255">
          <v:shape id="_x0000_i1145" type="#_x0000_t75" style="width:12pt;height:12.8pt" o:ole="">
            <v:imagedata r:id="rId359" o:title=""/>
          </v:shape>
          <o:OLEObject Type="Embed" ProgID="Equation.3" ShapeID="_x0000_i1145" DrawAspect="Content" ObjectID="_0000000001" r:id="rId360"/>
        </w:object>
      </w:r>
      <w:r>
        <w:t xml:space="preserve"> &gt; 500 </w:t>
      </w:r>
      <w:r>
        <w:rPr>
          <w:position w:val="-4"/>
        </w:rPr>
        <w:object w:dxaOrig="255" w:dyaOrig="255">
          <v:shape id="_x0000_i1146" type="#_x0000_t75" style="width:12.8pt;height:12.8pt" o:ole="">
            <v:imagedata r:id="rId361" o:title=""/>
          </v:shape>
          <o:OLEObject Type="Embed" ProgID="Equation.3" ShapeID="_x0000_i1146" DrawAspect="Content" ObjectID="_0000000001" r:id="rId362"/>
        </w:object>
      </w:r>
      <w:r>
        <w:t xml:space="preserve"> m.</w:t>
      </w:r>
    </w:p>
    <w:p>
      <w:pPr>
        <w:widowControl w:val="0"/>
        <w:ind w:firstLine="567"/>
        <w:jc w:val="both"/>
      </w:pPr>
    </w:p>
    <w:p>
      <w:pPr>
        <w:widowControl w:val="0"/>
        <w:jc w:val="center"/>
      </w:pPr>
      <w:r>
        <w:t>_________________</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fcbf060a66011e69ad4c8713b612d0f">
        <w:r w:rsidRPr="00532B9F">
          <w:rPr>
            <w:rFonts w:ascii="Times New Roman" w:eastAsia="MS Mincho" w:hAnsi="Times New Roman"/>
            <w:sz w:val="20"/>
            <w:iCs/>
            <w:color w:val="0000FF" w:themeColor="hyperlink"/>
            <w:u w:val="single"/>
          </w:rPr>
          <w:t>1-294</w:t>
        </w:r>
      </w:fldSimple>
      <w:r>
        <w:rPr>
          <w:rFonts w:ascii="Times New Roman" w:eastAsia="MS Mincho" w:hAnsi="Times New Roman"/>
          <w:sz w:val="20"/>
          <w:iCs/>
        </w:rPr>
        <w:t>,
2016-11-04,
paskelbta TAR 2016-11-09, i. k. 2016-26483                </w:t>
      </w:r>
    </w:p>
    <w:p>
      <w:pPr>
        <w:jc w:val="both"/>
        <w:rPr>
          <w:rFonts w:ascii="Times New Roman" w:hAnsi="Times New Roman"/>
        </w:rPr>
      </w:pPr>
      <w:r>
        <w:rPr>
          <w:rFonts w:ascii="Times New Roman" w:hAnsi="Times New Roman"/>
          <w:sz w:val="20"/>
        </w:rPr>
        <w:t>Dėl Lietuvos Respublikos energetikos ministro 2012 m. vasario 3 d. įsakymo Nr. 1-22 „Dėl Elektros įrenginių įrengimo bendrųjų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e08acd0d96811e68d79c2033f194657">
        <w:r w:rsidRPr="00532B9F">
          <w:rPr>
            <w:rFonts w:ascii="Times New Roman" w:eastAsia="MS Mincho" w:hAnsi="Times New Roman"/>
            <w:sz w:val="20"/>
            <w:iCs/>
            <w:color w:val="0000FF" w:themeColor="hyperlink"/>
            <w:u w:val="single"/>
          </w:rPr>
          <w:t>1-9</w:t>
        </w:r>
      </w:fldSimple>
      <w:r>
        <w:rPr>
          <w:rFonts w:ascii="Times New Roman" w:eastAsia="MS Mincho" w:hAnsi="Times New Roman"/>
          <w:sz w:val="20"/>
          <w:iCs/>
        </w:rPr>
        <w:t>,
2017-01-13,
paskelbta TAR 2017-01-16, i. k. 2017-00932                </w:t>
      </w:r>
    </w:p>
    <w:p>
      <w:pPr>
        <w:jc w:val="both"/>
        <w:rPr>
          <w:rFonts w:ascii="Times New Roman" w:hAnsi="Times New Roman"/>
        </w:rPr>
      </w:pPr>
      <w:r>
        <w:rPr>
          <w:rFonts w:ascii="Times New Roman" w:hAnsi="Times New Roman"/>
          <w:sz w:val="20"/>
        </w:rPr>
        <w:t>Dėl Lietuvos Respublikos energetikos ministro 2012 m. vasario 3 d. įsakymo Nr. 1-22 „Dėl Elektros įrenginių įrengimo bendrųjų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43e2d02b4c11e78397ae072f58c508">
        <w:r w:rsidRPr="00532B9F">
          <w:rPr>
            <w:rFonts w:ascii="Times New Roman" w:eastAsia="MS Mincho" w:hAnsi="Times New Roman"/>
            <w:sz w:val="20"/>
            <w:iCs/>
            <w:color w:val="0000FF" w:themeColor="hyperlink"/>
            <w:u w:val="single"/>
          </w:rPr>
          <w:t>1-125</w:t>
        </w:r>
      </w:fldSimple>
      <w:r>
        <w:rPr>
          <w:rFonts w:ascii="Times New Roman" w:eastAsia="MS Mincho" w:hAnsi="Times New Roman"/>
          <w:sz w:val="20"/>
          <w:iCs/>
        </w:rPr>
        <w:t>,
2017-04-27,
paskelbta TAR 2017-04-28, i. k. 2017-07114                </w:t>
      </w:r>
    </w:p>
    <w:p>
      <w:pPr>
        <w:jc w:val="both"/>
        <w:rPr>
          <w:rFonts w:ascii="Times New Roman" w:hAnsi="Times New Roman"/>
        </w:rPr>
      </w:pPr>
      <w:r>
        <w:rPr>
          <w:rFonts w:ascii="Times New Roman" w:hAnsi="Times New Roman"/>
          <w:sz w:val="20"/>
        </w:rPr>
        <w:t>Dėl Lietuvos Respublikos energetikos ministro 2012 m. vasario 3 d. įsakymo Nr. 1-22 „Dėl Elektros įrenginių įrengimo bendrųjų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6b71d20b3cd11e791568c9e74529e76">
        <w:r w:rsidRPr="00532B9F">
          <w:rPr>
            <w:rFonts w:ascii="Times New Roman" w:eastAsia="MS Mincho" w:hAnsi="Times New Roman"/>
            <w:sz w:val="20"/>
            <w:iCs/>
            <w:color w:val="0000FF" w:themeColor="hyperlink"/>
            <w:u w:val="single"/>
          </w:rPr>
          <w:t>1-265</w:t>
        </w:r>
      </w:fldSimple>
      <w:r>
        <w:rPr>
          <w:rFonts w:ascii="Times New Roman" w:eastAsia="MS Mincho" w:hAnsi="Times New Roman"/>
          <w:sz w:val="20"/>
          <w:iCs/>
        </w:rPr>
        <w:t>,
2017-10-18,
paskelbta TAR 2017-10-23, i. k. 2017-16648                </w:t>
      </w:r>
    </w:p>
    <w:p>
      <w:pPr>
        <w:jc w:val="both"/>
        <w:rPr>
          <w:rFonts w:ascii="Times New Roman" w:hAnsi="Times New Roman"/>
        </w:rPr>
      </w:pPr>
      <w:r>
        <w:rPr>
          <w:rFonts w:ascii="Times New Roman" w:hAnsi="Times New Roman"/>
          <w:sz w:val="20"/>
        </w:rPr>
        <w:t>Dėl Lietuvos Respublikos energetikos ministro 2012 m. vasario 3 d. įsakymo Nr. 1-22 „Dėl Elektros įrenginių įrengimo bendrųjų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8747730ce0e11e8bea9885f77677ec1">
        <w:r w:rsidRPr="00532B9F">
          <w:rPr>
            <w:rFonts w:ascii="Times New Roman" w:eastAsia="MS Mincho" w:hAnsi="Times New Roman"/>
            <w:sz w:val="20"/>
            <w:iCs/>
            <w:color w:val="0000FF" w:themeColor="hyperlink"/>
            <w:u w:val="single"/>
          </w:rPr>
          <w:t>1-276</w:t>
        </w:r>
      </w:fldSimple>
      <w:r>
        <w:rPr>
          <w:rFonts w:ascii="Times New Roman" w:eastAsia="MS Mincho" w:hAnsi="Times New Roman"/>
          <w:sz w:val="20"/>
          <w:iCs/>
        </w:rPr>
        <w:t>,
2018-10-12,
paskelbta TAR 2018-10-15, i. k. 2018-16210                </w:t>
      </w:r>
    </w:p>
    <w:p>
      <w:pPr>
        <w:jc w:val="both"/>
        <w:rPr>
          <w:rFonts w:ascii="Times New Roman" w:hAnsi="Times New Roman"/>
        </w:rPr>
      </w:pPr>
      <w:r>
        <w:rPr>
          <w:rFonts w:ascii="Times New Roman" w:hAnsi="Times New Roman"/>
          <w:sz w:val="20"/>
        </w:rPr>
        <w:t>Dėl Lietuvos Respublikos energetikos ministro 2012 m. vasario 3 d. įsakymo Nr. 1-22 „Dėl Elektros įrenginių įrengimo bendrųjų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energetikos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8029900cf411e9a5eaf2cd290f1944">
        <w:r w:rsidRPr="00532B9F">
          <w:rPr>
            <w:rFonts w:ascii="Times New Roman" w:eastAsia="MS Mincho" w:hAnsi="Times New Roman"/>
            <w:sz w:val="20"/>
            <w:iCs/>
            <w:color w:val="0000FF" w:themeColor="hyperlink"/>
            <w:u w:val="single"/>
          </w:rPr>
          <w:t>1-443</w:t>
        </w:r>
      </w:fldSimple>
      <w:r>
        <w:rPr>
          <w:rFonts w:ascii="Times New Roman" w:eastAsia="MS Mincho" w:hAnsi="Times New Roman"/>
          <w:sz w:val="20"/>
          <w:iCs/>
        </w:rPr>
        <w:t>,
2018-12-31,
paskelbta TAR 2018-12-31, i. k. 2018-22118                </w:t>
      </w:r>
    </w:p>
    <w:p>
      <w:pPr>
        <w:jc w:val="both"/>
        <w:rPr>
          <w:rFonts w:ascii="Times New Roman" w:hAnsi="Times New Roman"/>
        </w:rPr>
      </w:pPr>
      <w:r>
        <w:rPr>
          <w:rFonts w:ascii="Times New Roman" w:hAnsi="Times New Roman"/>
          <w:sz w:val="20"/>
        </w:rPr>
        <w:t>Dėl Lietuvos Respublikos energetikos ministro 2012 m. vasario 3 d. įsakymo Nr. 1-22 „Dėl Elektros įrenginių įrengimo bendrųjų taisyklių patvirtinimo“ pakeitimo</w:t>
      </w:r>
    </w:p>
    <w:p>
      <w:pPr>
        <w:jc w:val="both"/>
        <w:rPr>
          <w:rFonts w:ascii="Times New Roman" w:hAnsi="Times New Roman"/>
          <w:sz w:val="20"/>
        </w:rPr>
      </w:pPr>
    </w:p>
    <w:p>
      <w:pPr>
        <w:widowControl w:val="0"/>
        <w:rPr>
          <w:rFonts w:ascii="Times New Roman" w:hAnsi="Times New Roman"/>
          <w:snapToGrid w:val="0"/>
        </w:rPr>
      </w:pPr>
    </w:p>
    <w:sectPr>
      <w:pgSz w:w="11907" w:h="16840" w:code="9"/>
      <w:pgMar w:top="1134" w:right="567" w:bottom="1134" w:left="1701" w:header="680" w:footer="680"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imesLT">
    <w:altName w:val="Times New Roman"/>
    <w:charset w:val="BA"/>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ind w:right="360" w:firstLine="360"/>
      <w:rPr>
        <w:sz w:val="18"/>
        <w:lang w:val="en-GB"/>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ind w:right="360" w:firstLine="360"/>
      <w:rPr>
        <w:sz w:val="18"/>
        <w:lang w:val="en-GB"/>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ind w:right="360" w:firstLine="360"/>
      <w:rPr>
        <w:sz w:val="18"/>
        <w:lang w:val="en-GB"/>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ind w:right="360" w:firstLine="360"/>
      <w:rPr>
        <w:sz w:val="18"/>
        <w:lang w:val="en-GB"/>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ind w:right="360" w:firstLine="360"/>
      <w:rPr>
        <w:sz w:val="18"/>
        <w:lang w:val="en-GB"/>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ind w:right="360" w:firstLine="360"/>
      <w:rPr>
        <w:sz w:val="18"/>
        <w:lang w:val="en-GB"/>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ind w:right="360" w:firstLine="360"/>
      <w:rPr>
        <w:sz w:val="18"/>
        <w:lang w:val="en-GB"/>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320"/>
        <w:tab w:val="right" w:pos="8640"/>
      </w:tabs>
      <w:rPr>
        <w:sz w:val="20"/>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320"/>
        <w:tab w:val="right" w:pos="8640"/>
      </w:tabs>
      <w:rPr>
        <w:sz w:val="20"/>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320"/>
        <w:tab w:val="right" w:pos="8640"/>
      </w:tabs>
      <w:rPr>
        <w:sz w:val="20"/>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320"/>
        <w:tab w:val="right" w:pos="8640"/>
      </w:tabs>
      <w:rPr>
        <w:sz w:val="20"/>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320"/>
        <w:tab w:val="right" w:pos="8640"/>
      </w:tabs>
      <w:rPr>
        <w:sz w:val="20"/>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320"/>
        <w:tab w:val="right" w:pos="8640"/>
      </w:tabs>
      <w:rPr>
        <w:sz w:val="20"/>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320"/>
        <w:tab w:val="right" w:pos="8640"/>
      </w:tabs>
      <w:rPr>
        <w:sz w:val="20"/>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396"/>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8E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87"/>
    <o:shapelayout v:ext="edit">
      <o:idmap v:ext="edit" data="1"/>
    </o:shapelayout>
  </w:shapeDefaults>
  <w:decimalSymbol w:val=","/>
  <w:listSeparator w:val=";"/>
  <w14:docId w14:val="6DA3160A"/>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62280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control" Target="activeX/activeX7.xml"/>
  <Relationship Id="rId100" Type="http://schemas.openxmlformats.org/officeDocument/2006/relationships/image" Target="media/image237.wmf"/>
  <Relationship Id="rId101" Type="http://schemas.openxmlformats.org/officeDocument/2006/relationships/oleObject" Target="embeddings/oleObject236.bin"/>
  <Relationship Id="rId102" Type="http://schemas.openxmlformats.org/officeDocument/2006/relationships/image" Target="media/image238.wmf"/>
  <Relationship Id="rId103" Type="http://schemas.openxmlformats.org/officeDocument/2006/relationships/oleObject" Target="embeddings/oleObject237.bin"/>
  <Relationship Id="rId104" Type="http://schemas.openxmlformats.org/officeDocument/2006/relationships/image" Target="media/image239.wmf"/>
  <Relationship Id="rId105" Type="http://schemas.openxmlformats.org/officeDocument/2006/relationships/oleObject" Target="embeddings/oleObject238.bin"/>
  <Relationship Id="rId106" Type="http://schemas.openxmlformats.org/officeDocument/2006/relationships/image" Target="media/image244.wmf"/>
  <Relationship Id="rId107" Type="http://schemas.openxmlformats.org/officeDocument/2006/relationships/oleObject" Target="embeddings/oleObject243.bin"/>
  <Relationship Id="rId108" Type="http://schemas.openxmlformats.org/officeDocument/2006/relationships/image" Target="media/image257.wmf"/>
  <Relationship Id="rId109" Type="http://schemas.openxmlformats.org/officeDocument/2006/relationships/oleObject" Target="embeddings/oleObject256.bin"/>
  <Relationship Id="rId11" Type="http://schemas.openxmlformats.org/officeDocument/2006/relationships/header" Target="header19.xml"/>
  <Relationship Id="rId110" Type="http://schemas.openxmlformats.org/officeDocument/2006/relationships/image" Target="media/image258.wmf"/>
  <Relationship Id="rId111" Type="http://schemas.openxmlformats.org/officeDocument/2006/relationships/oleObject" Target="embeddings/oleObject257.bin"/>
  <Relationship Id="rId112" Type="http://schemas.openxmlformats.org/officeDocument/2006/relationships/image" Target="media/image259.wmf"/>
  <Relationship Id="rId113" Type="http://schemas.openxmlformats.org/officeDocument/2006/relationships/oleObject" Target="embeddings/oleObject258.bin"/>
  <Relationship Id="rId114" Type="http://schemas.openxmlformats.org/officeDocument/2006/relationships/image" Target="media/image264.wmf"/>
  <Relationship Id="rId115" Type="http://schemas.openxmlformats.org/officeDocument/2006/relationships/oleObject" Target="embeddings/oleObject263.bin"/>
  <Relationship Id="rId116" Type="http://schemas.openxmlformats.org/officeDocument/2006/relationships/image" Target="media/image281.wmf"/>
  <Relationship Id="rId117" Type="http://schemas.openxmlformats.org/officeDocument/2006/relationships/oleObject" Target="embeddings/oleObject280.bin"/>
  <Relationship Id="rId118" Type="http://schemas.openxmlformats.org/officeDocument/2006/relationships/image" Target="media/image282.wmf"/>
  <Relationship Id="rId119" Type="http://schemas.openxmlformats.org/officeDocument/2006/relationships/oleObject" Target="embeddings/oleObject281.bin"/>
  <Relationship Id="rId12" Type="http://schemas.openxmlformats.org/officeDocument/2006/relationships/header" Target="header20.xml"/>
  <Relationship Id="rId120" Type="http://schemas.openxmlformats.org/officeDocument/2006/relationships/image" Target="media/image283.wmf"/>
  <Relationship Id="rId121" Type="http://schemas.openxmlformats.org/officeDocument/2006/relationships/oleObject" Target="embeddings/oleObject282.bin"/>
  <Relationship Id="rId122" Type="http://schemas.openxmlformats.org/officeDocument/2006/relationships/image" Target="media/image284.wmf"/>
  <Relationship Id="rId123" Type="http://schemas.openxmlformats.org/officeDocument/2006/relationships/oleObject" Target="embeddings/oleObject283.bin"/>
  <Relationship Id="rId124" Type="http://schemas.openxmlformats.org/officeDocument/2006/relationships/image" Target="media/image313.wmf"/>
  <Relationship Id="rId125" Type="http://schemas.openxmlformats.org/officeDocument/2006/relationships/oleObject" Target="embeddings/oleObject312.bin"/>
  <Relationship Id="rId126" Type="http://schemas.openxmlformats.org/officeDocument/2006/relationships/image" Target="media/image314.wmf"/>
  <Relationship Id="rId127" Type="http://schemas.openxmlformats.org/officeDocument/2006/relationships/oleObject" Target="embeddings/oleObject313.bin"/>
  <Relationship Id="rId128" Type="http://schemas.openxmlformats.org/officeDocument/2006/relationships/image" Target="media/image315.wmf"/>
  <Relationship Id="rId129" Type="http://schemas.openxmlformats.org/officeDocument/2006/relationships/oleObject" Target="embeddings/oleObject314.bin"/>
  <Relationship Id="rId13" Type="http://schemas.openxmlformats.org/officeDocument/2006/relationships/footer" Target="footer19.xml"/>
  <Relationship Id="rId130" Type="http://schemas.openxmlformats.org/officeDocument/2006/relationships/image" Target="media/image316.wmf"/>
  <Relationship Id="rId131" Type="http://schemas.openxmlformats.org/officeDocument/2006/relationships/oleObject" Target="embeddings/oleObject315.bin"/>
  <Relationship Id="rId132" Type="http://schemas.openxmlformats.org/officeDocument/2006/relationships/image" Target="media/image317.wmf"/>
  <Relationship Id="rId133" Type="http://schemas.openxmlformats.org/officeDocument/2006/relationships/oleObject" Target="embeddings/oleObject316.bin"/>
  <Relationship Id="rId134" Type="http://schemas.openxmlformats.org/officeDocument/2006/relationships/image" Target="media/image318.wmf"/>
  <Relationship Id="rId135" Type="http://schemas.openxmlformats.org/officeDocument/2006/relationships/oleObject" Target="embeddings/oleObject317.bin"/>
  <Relationship Id="rId136" Type="http://schemas.openxmlformats.org/officeDocument/2006/relationships/image" Target="media/image319.wmf"/>
  <Relationship Id="rId137" Type="http://schemas.openxmlformats.org/officeDocument/2006/relationships/oleObject" Target="embeddings/oleObject318.bin"/>
  <Relationship Id="rId138" Type="http://schemas.openxmlformats.org/officeDocument/2006/relationships/image" Target="media/image336.wmf"/>
  <Relationship Id="rId139" Type="http://schemas.openxmlformats.org/officeDocument/2006/relationships/oleObject" Target="embeddings/oleObject335.bin"/>
  <Relationship Id="rId14" Type="http://schemas.openxmlformats.org/officeDocument/2006/relationships/footer" Target="footer20.xml"/>
  <Relationship Id="rId140" Type="http://schemas.openxmlformats.org/officeDocument/2006/relationships/image" Target="media/image337.wmf"/>
  <Relationship Id="rId141" Type="http://schemas.openxmlformats.org/officeDocument/2006/relationships/oleObject" Target="embeddings/oleObject336.bin"/>
  <Relationship Id="rId142" Type="http://schemas.openxmlformats.org/officeDocument/2006/relationships/image" Target="media/image338.wmf"/>
  <Relationship Id="rId143" Type="http://schemas.openxmlformats.org/officeDocument/2006/relationships/oleObject" Target="embeddings/oleObject337.bin"/>
  <Relationship Id="rId144" Type="http://schemas.openxmlformats.org/officeDocument/2006/relationships/image" Target="media/image339.wmf"/>
  <Relationship Id="rId145" Type="http://schemas.openxmlformats.org/officeDocument/2006/relationships/oleObject" Target="embeddings/oleObject338.bin"/>
  <Relationship Id="rId146" Type="http://schemas.openxmlformats.org/officeDocument/2006/relationships/image" Target="media/image348.wmf"/>
  <Relationship Id="rId147" Type="http://schemas.openxmlformats.org/officeDocument/2006/relationships/oleObject" Target="embeddings/oleObject347.bin"/>
  <Relationship Id="rId148" Type="http://schemas.openxmlformats.org/officeDocument/2006/relationships/image" Target="media/image349.wmf"/>
  <Relationship Id="rId149" Type="http://schemas.openxmlformats.org/officeDocument/2006/relationships/oleObject" Target="embeddings/oleObject348.bin"/>
  <Relationship Id="rId15" Type="http://schemas.openxmlformats.org/officeDocument/2006/relationships/header" Target="header21.xml"/>
  <Relationship Id="rId150" Type="http://schemas.openxmlformats.org/officeDocument/2006/relationships/image" Target="media/image358.wmf"/>
  <Relationship Id="rId151" Type="http://schemas.openxmlformats.org/officeDocument/2006/relationships/oleObject" Target="embeddings/oleObject357.bin"/>
  <Relationship Id="rId152" Type="http://schemas.openxmlformats.org/officeDocument/2006/relationships/image" Target="media/image359.wmf"/>
  <Relationship Id="rId153" Type="http://schemas.openxmlformats.org/officeDocument/2006/relationships/oleObject" Target="embeddings/oleObject358.bin"/>
  <Relationship Id="rId154" Type="http://schemas.openxmlformats.org/officeDocument/2006/relationships/hyperlink" TargetMode="External" Target="https://www.e-tar.lt/portal/lt/legalAct/TAR.0539E2FEB29E"/>
  <Relationship Id="rId155" Type="http://schemas.openxmlformats.org/officeDocument/2006/relationships/image" Target="media/image368.wmf"/>
  <Relationship Id="rId156" Type="http://schemas.openxmlformats.org/officeDocument/2006/relationships/oleObject" Target="embeddings/oleObject367.bin"/>
  <Relationship Id="rId157" Type="http://schemas.openxmlformats.org/officeDocument/2006/relationships/image" Target="media/image369.wmf"/>
  <Relationship Id="rId158" Type="http://schemas.openxmlformats.org/officeDocument/2006/relationships/oleObject" Target="embeddings/oleObject368.bin"/>
  <Relationship Id="rId159" Type="http://schemas.openxmlformats.org/officeDocument/2006/relationships/image" Target="media/image378.wmf"/>
  <Relationship Id="rId16" Type="http://schemas.openxmlformats.org/officeDocument/2006/relationships/footer" Target="footer21.xml"/>
  <Relationship Id="rId160" Type="http://schemas.openxmlformats.org/officeDocument/2006/relationships/oleObject" Target="embeddings/oleObject377.bin"/>
  <Relationship Id="rId161" Type="http://schemas.openxmlformats.org/officeDocument/2006/relationships/image" Target="media/image379.wmf"/>
  <Relationship Id="rId162" Type="http://schemas.openxmlformats.org/officeDocument/2006/relationships/oleObject" Target="embeddings/oleObject378.bin"/>
  <Relationship Id="rId163" Type="http://schemas.openxmlformats.org/officeDocument/2006/relationships/image" Target="media/image388.wmf"/>
  <Relationship Id="rId164" Type="http://schemas.openxmlformats.org/officeDocument/2006/relationships/oleObject" Target="embeddings/oleObject387.bin"/>
  <Relationship Id="rId165" Type="http://schemas.openxmlformats.org/officeDocument/2006/relationships/image" Target="media/image389.wmf"/>
  <Relationship Id="rId166" Type="http://schemas.openxmlformats.org/officeDocument/2006/relationships/oleObject" Target="embeddings/oleObject388.bin"/>
  <Relationship Id="rId167" Type="http://schemas.openxmlformats.org/officeDocument/2006/relationships/image" Target="media/image394.wmf"/>
  <Relationship Id="rId168" Type="http://schemas.openxmlformats.org/officeDocument/2006/relationships/oleObject" Target="embeddings/oleObject393.bin"/>
  <Relationship Id="rId169" Type="http://schemas.openxmlformats.org/officeDocument/2006/relationships/image" Target="media/image1.png"/>
  <Relationship Id="rId17" Type="http://schemas.openxmlformats.org/officeDocument/2006/relationships/hyperlink" TargetMode="External" Target="https://www.e-tar.lt/portal/lt/legalAct/TAR.5152EF20FD0B"/>
  <Relationship Id="rId170" Type="http://schemas.openxmlformats.org/officeDocument/2006/relationships/image" Target="media/image2.png"/>
  <Relationship Id="rId171" Type="http://schemas.openxmlformats.org/officeDocument/2006/relationships/image" Target="media/image3.png"/>
  <Relationship Id="rId172" Type="http://schemas.openxmlformats.org/officeDocument/2006/relationships/image" Target="media/image4.png"/>
  <Relationship Id="rId173" Type="http://schemas.openxmlformats.org/officeDocument/2006/relationships/image" Target="media/image5.png"/>
  <Relationship Id="rId174" Type="http://schemas.openxmlformats.org/officeDocument/2006/relationships/image" Target="media/image6.png"/>
  <Relationship Id="rId175" Type="http://schemas.openxmlformats.org/officeDocument/2006/relationships/image" Target="media/image7.png"/>
  <Relationship Id="rId176" Type="http://schemas.openxmlformats.org/officeDocument/2006/relationships/image" Target="media/image8.png"/>
  <Relationship Id="rId177" Type="http://schemas.openxmlformats.org/officeDocument/2006/relationships/image" Target="media/image9.png"/>
  <Relationship Id="rId178" Type="http://schemas.openxmlformats.org/officeDocument/2006/relationships/image" Target="media/image244.png"/>
  <Relationship Id="rId179" Type="http://schemas.openxmlformats.org/officeDocument/2006/relationships/image" Target="media/image491.wmf"/>
  <Relationship Id="rId18" Type="http://schemas.openxmlformats.org/officeDocument/2006/relationships/hyperlink" TargetMode="External" Target="https://www.e-tar.lt/portal/lt/legalAct/TAR.F97BEABBEC2A"/>
  <Relationship Id="rId180" Type="http://schemas.openxmlformats.org/officeDocument/2006/relationships/oleObject" Target="embeddings/oleObject490.bin"/>
  <Relationship Id="rId181" Type="http://schemas.openxmlformats.org/officeDocument/2006/relationships/image" Target="media/image245.png"/>
  <Relationship Id="rId182" Type="http://schemas.openxmlformats.org/officeDocument/2006/relationships/image" Target="media/image246.png"/>
  <Relationship Id="rId183" Type="http://schemas.openxmlformats.org/officeDocument/2006/relationships/image" Target="media/image247.png"/>
  <Relationship Id="rId184" Type="http://schemas.openxmlformats.org/officeDocument/2006/relationships/image" Target="media/image248.png"/>
  <Relationship Id="rId185" Type="http://schemas.openxmlformats.org/officeDocument/2006/relationships/image" Target="media/image249.png"/>
  <Relationship Id="rId186" Type="http://schemas.openxmlformats.org/officeDocument/2006/relationships/image" Target="media/image250.png"/>
  <Relationship Id="rId187" Type="http://schemas.openxmlformats.org/officeDocument/2006/relationships/image" Target="media/image251.png"/>
  <Relationship Id="rId188" Type="http://schemas.openxmlformats.org/officeDocument/2006/relationships/image" Target="media/image252.png"/>
  <Relationship Id="rId189" Type="http://schemas.openxmlformats.org/officeDocument/2006/relationships/image" Target="media/image253.png"/>
  <Relationship Id="rId19" Type="http://schemas.openxmlformats.org/officeDocument/2006/relationships/hyperlink" TargetMode="External" Target="https://www.e-tar.lt/portal/lt/legalAct/TAR.77180231C700"/>
  <Relationship Id="rId190" Type="http://schemas.openxmlformats.org/officeDocument/2006/relationships/image" Target="media/image254.png"/>
  <Relationship Id="rId191" Type="http://schemas.openxmlformats.org/officeDocument/2006/relationships/image" Target="media/image255.png"/>
  <Relationship Id="rId192" Type="http://schemas.openxmlformats.org/officeDocument/2006/relationships/image" Target="media/image256.png"/>
  <Relationship Id="rId193" Type="http://schemas.openxmlformats.org/officeDocument/2006/relationships/image" Target="media/image257.png"/>
  <Relationship Id="rId194" Type="http://schemas.openxmlformats.org/officeDocument/2006/relationships/image" Target="media/image258.png"/>
  <Relationship Id="rId195" Type="http://schemas.openxmlformats.org/officeDocument/2006/relationships/image" Target="media/image259.png"/>
  <Relationship Id="rId196" Type="http://schemas.openxmlformats.org/officeDocument/2006/relationships/image" Target="media/image260.png"/>
  <Relationship Id="rId197" Type="http://schemas.openxmlformats.org/officeDocument/2006/relationships/image" Target="media/image261.png"/>
  <Relationship Id="rId198" Type="http://schemas.openxmlformats.org/officeDocument/2006/relationships/image" Target="media/image262.png"/>
  <Relationship Id="rId199" Type="http://schemas.openxmlformats.org/officeDocument/2006/relationships/image" Target="media/image263.png"/>
  <Relationship Id="rId2" Type="http://schemas.openxmlformats.org/officeDocument/2006/relationships/fontTable" Target="fontTable.xml"/>
  <Relationship Id="rId20" Type="http://schemas.openxmlformats.org/officeDocument/2006/relationships/image" Target="media/image11.wmf"/>
  <Relationship Id="rId200" Type="http://schemas.openxmlformats.org/officeDocument/2006/relationships/image" Target="media/image492.wmf"/>
  <Relationship Id="rId201" Type="http://schemas.openxmlformats.org/officeDocument/2006/relationships/oleObject" Target="embeddings/oleObject491.bin"/>
  <Relationship Id="rId202" Type="http://schemas.openxmlformats.org/officeDocument/2006/relationships/image" Target="media/image493.wmf"/>
  <Relationship Id="rId203" Type="http://schemas.openxmlformats.org/officeDocument/2006/relationships/oleObject" Target="embeddings/oleObject492.bin"/>
  <Relationship Id="rId204" Type="http://schemas.openxmlformats.org/officeDocument/2006/relationships/image" Target="media/image264.png"/>
  <Relationship Id="rId205" Type="http://schemas.openxmlformats.org/officeDocument/2006/relationships/image" Target="media/image494.wmf"/>
  <Relationship Id="rId206" Type="http://schemas.openxmlformats.org/officeDocument/2006/relationships/oleObject" Target="embeddings/oleObject493.bin"/>
  <Relationship Id="rId207" Type="http://schemas.openxmlformats.org/officeDocument/2006/relationships/image" Target="media/image495.wmf"/>
  <Relationship Id="rId208" Type="http://schemas.openxmlformats.org/officeDocument/2006/relationships/oleObject" Target="embeddings/oleObject494.bin"/>
  <Relationship Id="rId209" Type="http://schemas.openxmlformats.org/officeDocument/2006/relationships/image" Target="media/image265.png"/>
  <Relationship Id="rId21" Type="http://schemas.openxmlformats.org/officeDocument/2006/relationships/oleObject" Target="embeddings/oleObject4.bin"/>
  <Relationship Id="rId210" Type="http://schemas.openxmlformats.org/officeDocument/2006/relationships/image" Target="media/image266.png"/>
  <Relationship Id="rId211" Type="http://schemas.openxmlformats.org/officeDocument/2006/relationships/image" Target="media/image496.wmf"/>
  <Relationship Id="rId212" Type="http://schemas.openxmlformats.org/officeDocument/2006/relationships/oleObject" Target="embeddings/oleObject495.bin"/>
  <Relationship Id="rId213" Type="http://schemas.openxmlformats.org/officeDocument/2006/relationships/image" Target="media/image497.wmf"/>
  <Relationship Id="rId214" Type="http://schemas.openxmlformats.org/officeDocument/2006/relationships/oleObject" Target="embeddings/oleObject496.bin"/>
  <Relationship Id="rId215" Type="http://schemas.openxmlformats.org/officeDocument/2006/relationships/image" Target="media/image267.png"/>
  <Relationship Id="rId216" Type="http://schemas.openxmlformats.org/officeDocument/2006/relationships/image" Target="media/image268.png"/>
  <Relationship Id="rId217" Type="http://schemas.openxmlformats.org/officeDocument/2006/relationships/image" Target="media/image498.wmf"/>
  <Relationship Id="rId218" Type="http://schemas.openxmlformats.org/officeDocument/2006/relationships/oleObject" Target="embeddings/oleObject497.bin"/>
  <Relationship Id="rId219" Type="http://schemas.openxmlformats.org/officeDocument/2006/relationships/image" Target="media/image499.wmf"/>
  <Relationship Id="rId22" Type="http://schemas.openxmlformats.org/officeDocument/2006/relationships/image" Target="media/image16.wmf"/>
  <Relationship Id="rId220" Type="http://schemas.openxmlformats.org/officeDocument/2006/relationships/oleObject" Target="embeddings/oleObject498.bin"/>
  <Relationship Id="rId221" Type="http://schemas.openxmlformats.org/officeDocument/2006/relationships/image" Target="media/image500.wmf"/>
  <Relationship Id="rId222" Type="http://schemas.openxmlformats.org/officeDocument/2006/relationships/oleObject" Target="embeddings/oleObject499.bin"/>
  <Relationship Id="rId223" Type="http://schemas.openxmlformats.org/officeDocument/2006/relationships/image" Target="media/image269.png"/>
  <Relationship Id="rId224" Type="http://schemas.openxmlformats.org/officeDocument/2006/relationships/image" Target="media/image501.wmf"/>
  <Relationship Id="rId225" Type="http://schemas.openxmlformats.org/officeDocument/2006/relationships/oleObject" Target="embeddings/oleObject500.bin"/>
  <Relationship Id="rId226" Type="http://schemas.openxmlformats.org/officeDocument/2006/relationships/image" Target="media/image502.wmf"/>
  <Relationship Id="rId227" Type="http://schemas.openxmlformats.org/officeDocument/2006/relationships/oleObject" Target="embeddings/oleObject501.bin"/>
  <Relationship Id="rId228" Type="http://schemas.openxmlformats.org/officeDocument/2006/relationships/image" Target="media/image270.png"/>
  <Relationship Id="rId229" Type="http://schemas.openxmlformats.org/officeDocument/2006/relationships/image" Target="media/image271.png"/>
  <Relationship Id="rId23" Type="http://schemas.openxmlformats.org/officeDocument/2006/relationships/oleObject" Target="embeddings/oleObject8.bin"/>
  <Relationship Id="rId230" Type="http://schemas.openxmlformats.org/officeDocument/2006/relationships/image" Target="media/image272.png"/>
  <Relationship Id="rId231" Type="http://schemas.openxmlformats.org/officeDocument/2006/relationships/image" Target="media/image273.png"/>
  <Relationship Id="rId232" Type="http://schemas.openxmlformats.org/officeDocument/2006/relationships/image" Target="media/image503.wmf"/>
  <Relationship Id="rId233" Type="http://schemas.openxmlformats.org/officeDocument/2006/relationships/oleObject" Target="embeddings/oleObject502.bin"/>
  <Relationship Id="rId234" Type="http://schemas.openxmlformats.org/officeDocument/2006/relationships/image" Target="media/image504.wmf"/>
  <Relationship Id="rId235" Type="http://schemas.openxmlformats.org/officeDocument/2006/relationships/oleObject" Target="embeddings/oleObject503.bin"/>
  <Relationship Id="rId236" Type="http://schemas.openxmlformats.org/officeDocument/2006/relationships/image" Target="media/image274.png"/>
  <Relationship Id="rId237" Type="http://schemas.openxmlformats.org/officeDocument/2006/relationships/image" Target="media/image275.png"/>
  <Relationship Id="rId238" Type="http://schemas.openxmlformats.org/officeDocument/2006/relationships/image" Target="media/image505.wmf"/>
  <Relationship Id="rId239" Type="http://schemas.openxmlformats.org/officeDocument/2006/relationships/oleObject" Target="embeddings/oleObject504.bin"/>
  <Relationship Id="rId24" Type="http://schemas.openxmlformats.org/officeDocument/2006/relationships/hyperlink" TargetMode="External" Target="https://www.e-tar.lt/portal/lt/legalAct/TAR.A3C0EA6B2203"/>
  <Relationship Id="rId240" Type="http://schemas.openxmlformats.org/officeDocument/2006/relationships/image" Target="media/image276.png"/>
  <Relationship Id="rId241" Type="http://schemas.openxmlformats.org/officeDocument/2006/relationships/image" Target="media/image277.png"/>
  <Relationship Id="rId242" Type="http://schemas.openxmlformats.org/officeDocument/2006/relationships/image" Target="media/image506.wmf"/>
  <Relationship Id="rId243" Type="http://schemas.openxmlformats.org/officeDocument/2006/relationships/oleObject" Target="embeddings/oleObject505.bin"/>
  <Relationship Id="rId244" Type="http://schemas.openxmlformats.org/officeDocument/2006/relationships/image" Target="media/image278.png"/>
  <Relationship Id="rId245" Type="http://schemas.openxmlformats.org/officeDocument/2006/relationships/image" Target="media/image279.png"/>
  <Relationship Id="rId246" Type="http://schemas.openxmlformats.org/officeDocument/2006/relationships/image" Target="media/image280.png"/>
  <Relationship Id="rId247" Type="http://schemas.openxmlformats.org/officeDocument/2006/relationships/image" Target="media/image281.png"/>
  <Relationship Id="rId248" Type="http://schemas.openxmlformats.org/officeDocument/2006/relationships/image" Target="media/image282.png"/>
  <Relationship Id="rId249" Type="http://schemas.openxmlformats.org/officeDocument/2006/relationships/image" Target="media/image283.png"/>
  <Relationship Id="rId25" Type="http://schemas.openxmlformats.org/officeDocument/2006/relationships/image" Target="media/image37.wmf"/>
  <Relationship Id="rId250" Type="http://schemas.openxmlformats.org/officeDocument/2006/relationships/image" Target="media/image284.png"/>
  <Relationship Id="rId251" Type="http://schemas.openxmlformats.org/officeDocument/2006/relationships/image" Target="media/image285.png"/>
  <Relationship Id="rId252" Type="http://schemas.openxmlformats.org/officeDocument/2006/relationships/image" Target="media/image286.png"/>
  <Relationship Id="rId253" Type="http://schemas.openxmlformats.org/officeDocument/2006/relationships/image" Target="media/image287.png"/>
  <Relationship Id="rId254" Type="http://schemas.openxmlformats.org/officeDocument/2006/relationships/image" Target="media/image288.png"/>
  <Relationship Id="rId255" Type="http://schemas.openxmlformats.org/officeDocument/2006/relationships/image" Target="media/image289.png"/>
  <Relationship Id="rId256" Type="http://schemas.openxmlformats.org/officeDocument/2006/relationships/image" Target="media/image290.png"/>
  <Relationship Id="rId257" Type="http://schemas.openxmlformats.org/officeDocument/2006/relationships/image" Target="media/image291.png"/>
  <Relationship Id="rId258" Type="http://schemas.openxmlformats.org/officeDocument/2006/relationships/image" Target="media/image292.png"/>
  <Relationship Id="rId259" Type="http://schemas.openxmlformats.org/officeDocument/2006/relationships/image" Target="media/image293.png"/>
  <Relationship Id="rId26" Type="http://schemas.openxmlformats.org/officeDocument/2006/relationships/oleObject" Target="embeddings/oleObject36.bin"/>
  <Relationship Id="rId260" Type="http://schemas.openxmlformats.org/officeDocument/2006/relationships/image" Target="media/image294.png"/>
  <Relationship Id="rId261" Type="http://schemas.openxmlformats.org/officeDocument/2006/relationships/image" Target="media/image295.png"/>
  <Relationship Id="rId262" Type="http://schemas.openxmlformats.org/officeDocument/2006/relationships/image" Target="media/image296.png"/>
  <Relationship Id="rId263" Type="http://schemas.openxmlformats.org/officeDocument/2006/relationships/image" Target="media/image297.png"/>
  <Relationship Id="rId264" Type="http://schemas.openxmlformats.org/officeDocument/2006/relationships/image" Target="media/image298.png"/>
  <Relationship Id="rId265" Type="http://schemas.openxmlformats.org/officeDocument/2006/relationships/image" Target="media/image299.png"/>
  <Relationship Id="rId266" Type="http://schemas.openxmlformats.org/officeDocument/2006/relationships/image" Target="media/image300.png"/>
  <Relationship Id="rId267" Type="http://schemas.openxmlformats.org/officeDocument/2006/relationships/image" Target="media/image301.png"/>
  <Relationship Id="rId268" Type="http://schemas.openxmlformats.org/officeDocument/2006/relationships/image" Target="media/image302.png"/>
  <Relationship Id="rId269" Type="http://schemas.openxmlformats.org/officeDocument/2006/relationships/image" Target="media/image303.png"/>
  <Relationship Id="rId27" Type="http://schemas.openxmlformats.org/officeDocument/2006/relationships/image" Target="media/image38.wmf"/>
  <Relationship Id="rId270" Type="http://schemas.openxmlformats.org/officeDocument/2006/relationships/image" Target="media/image304.png"/>
  <Relationship Id="rId271" Type="http://schemas.openxmlformats.org/officeDocument/2006/relationships/image" Target="media/image305.png"/>
  <Relationship Id="rId272" Type="http://schemas.openxmlformats.org/officeDocument/2006/relationships/image" Target="media/image306.png"/>
  <Relationship Id="rId273" Type="http://schemas.openxmlformats.org/officeDocument/2006/relationships/image" Target="media/image307.png"/>
  <Relationship Id="rId274" Type="http://schemas.openxmlformats.org/officeDocument/2006/relationships/image" Target="media/image308.png"/>
  <Relationship Id="rId275" Type="http://schemas.openxmlformats.org/officeDocument/2006/relationships/image" Target="media/image309.png"/>
  <Relationship Id="rId276" Type="http://schemas.openxmlformats.org/officeDocument/2006/relationships/image" Target="media/image310.png"/>
  <Relationship Id="rId277" Type="http://schemas.openxmlformats.org/officeDocument/2006/relationships/image" Target="media/image311.png"/>
  <Relationship Id="rId278" Type="http://schemas.openxmlformats.org/officeDocument/2006/relationships/image" Target="media/image312.png"/>
  <Relationship Id="rId279" Type="http://schemas.openxmlformats.org/officeDocument/2006/relationships/image" Target="media/image313.png"/>
  <Relationship Id="rId28" Type="http://schemas.openxmlformats.org/officeDocument/2006/relationships/oleObject" Target="embeddings/oleObject37.bin"/>
  <Relationship Id="rId280" Type="http://schemas.openxmlformats.org/officeDocument/2006/relationships/image" Target="media/image314.png"/>
  <Relationship Id="rId281" Type="http://schemas.openxmlformats.org/officeDocument/2006/relationships/image" Target="media/image315.png"/>
  <Relationship Id="rId282" Type="http://schemas.openxmlformats.org/officeDocument/2006/relationships/image" Target="media/image316.png"/>
  <Relationship Id="rId283" Type="http://schemas.openxmlformats.org/officeDocument/2006/relationships/image" Target="media/image323.png"/>
  <Relationship Id="rId284" Type="http://schemas.openxmlformats.org/officeDocument/2006/relationships/image" Target="media/image513.wmf"/>
  <Relationship Id="rId285" Type="http://schemas.openxmlformats.org/officeDocument/2006/relationships/oleObject" Target="embeddings/oleObject512.bin"/>
  <Relationship Id="rId286" Type="http://schemas.openxmlformats.org/officeDocument/2006/relationships/image" Target="media/image354.png"/>
  <Relationship Id="rId287" Type="http://schemas.openxmlformats.org/officeDocument/2006/relationships/image" Target="media/image355.png"/>
  <Relationship Id="rId288" Type="http://schemas.openxmlformats.org/officeDocument/2006/relationships/image" Target="media/image356.png"/>
  <Relationship Id="rId289" Type="http://schemas.openxmlformats.org/officeDocument/2006/relationships/image" Target="media/image357.png"/>
  <Relationship Id="rId29" Type="http://schemas.openxmlformats.org/officeDocument/2006/relationships/image" Target="media/image39.wmf"/>
  <Relationship Id="rId290" Type="http://schemas.openxmlformats.org/officeDocument/2006/relationships/image" Target="media/image358.png"/>
  <Relationship Id="rId291" Type="http://schemas.openxmlformats.org/officeDocument/2006/relationships/image" Target="media/image520.wmf"/>
  <Relationship Id="rId292" Type="http://schemas.openxmlformats.org/officeDocument/2006/relationships/oleObject" Target="embeddings/oleObject519.bin"/>
  <Relationship Id="rId293" Type="http://schemas.openxmlformats.org/officeDocument/2006/relationships/image" Target="media/image389.png"/>
  <Relationship Id="rId294" Type="http://schemas.openxmlformats.org/officeDocument/2006/relationships/image" Target="media/image390.png"/>
  <Relationship Id="rId295" Type="http://schemas.openxmlformats.org/officeDocument/2006/relationships/image" Target="media/image391.png"/>
  <Relationship Id="rId296" Type="http://schemas.openxmlformats.org/officeDocument/2006/relationships/image" Target="media/image392.png"/>
  <Relationship Id="rId297" Type="http://schemas.openxmlformats.org/officeDocument/2006/relationships/image" Target="media/image393.png"/>
  <Relationship Id="rId298" Type="http://schemas.openxmlformats.org/officeDocument/2006/relationships/image" Target="media/image527.wmf"/>
  <Relationship Id="rId299" Type="http://schemas.openxmlformats.org/officeDocument/2006/relationships/oleObject" Target="embeddings/oleObject526.bin"/>
  <Relationship Id="rId3" Type="http://schemas.openxmlformats.org/officeDocument/2006/relationships/footnotes" Target="footnotes.xml"/>
  <Relationship Id="rId30" Type="http://schemas.openxmlformats.org/officeDocument/2006/relationships/oleObject" Target="embeddings/oleObject38.bin"/>
  <Relationship Id="rId300" Type="http://schemas.openxmlformats.org/officeDocument/2006/relationships/image" Target="media/image532.wmf"/>
  <Relationship Id="rId301" Type="http://schemas.openxmlformats.org/officeDocument/2006/relationships/oleObject" Target="embeddings/oleObject531.bin"/>
  <Relationship Id="rId302" Type="http://schemas.openxmlformats.org/officeDocument/2006/relationships/image" Target="media/image1.jpeg"/>
  <Relationship Id="rId303" Type="http://schemas.openxmlformats.org/officeDocument/2006/relationships/image" Target="media/image2.jpeg"/>
  <Relationship Id="rId304" Type="http://schemas.openxmlformats.org/officeDocument/2006/relationships/image" Target="media/image3.jpeg"/>
  <Relationship Id="rId305" Type="http://schemas.openxmlformats.org/officeDocument/2006/relationships/image" Target="media/image4.jpeg"/>
  <Relationship Id="rId306" Type="http://schemas.openxmlformats.org/officeDocument/2006/relationships/image" Target="media/image5.jpeg"/>
  <Relationship Id="rId307" Type="http://schemas.openxmlformats.org/officeDocument/2006/relationships/image" Target="media/image585.wmf"/>
  <Relationship Id="rId308" Type="http://schemas.openxmlformats.org/officeDocument/2006/relationships/oleObject" Target="embeddings/oleObject584.bin"/>
  <Relationship Id="rId309" Type="http://schemas.openxmlformats.org/officeDocument/2006/relationships/image" Target="media/image586.wmf"/>
  <Relationship Id="rId31" Type="http://schemas.openxmlformats.org/officeDocument/2006/relationships/image" Target="media/image40.wmf"/>
  <Relationship Id="rId310" Type="http://schemas.openxmlformats.org/officeDocument/2006/relationships/oleObject" Target="embeddings/oleObject585.bin"/>
  <Relationship Id="rId311" Type="http://schemas.openxmlformats.org/officeDocument/2006/relationships/image" Target="media/image587.wmf"/>
  <Relationship Id="rId312" Type="http://schemas.openxmlformats.org/officeDocument/2006/relationships/oleObject" Target="embeddings/oleObject586.bin"/>
  <Relationship Id="rId313" Type="http://schemas.openxmlformats.org/officeDocument/2006/relationships/image" Target="media/image588.wmf"/>
  <Relationship Id="rId314" Type="http://schemas.openxmlformats.org/officeDocument/2006/relationships/oleObject" Target="embeddings/oleObject587.bin"/>
  <Relationship Id="rId315" Type="http://schemas.openxmlformats.org/officeDocument/2006/relationships/image" Target="media/image589.wmf"/>
  <Relationship Id="rId316" Type="http://schemas.openxmlformats.org/officeDocument/2006/relationships/oleObject" Target="embeddings/oleObject588.bin"/>
  <Relationship Id="rId317" Type="http://schemas.openxmlformats.org/officeDocument/2006/relationships/image" Target="media/image590.wmf"/>
  <Relationship Id="rId318" Type="http://schemas.openxmlformats.org/officeDocument/2006/relationships/oleObject" Target="embeddings/oleObject589.bin"/>
  <Relationship Id="rId319" Type="http://schemas.openxmlformats.org/officeDocument/2006/relationships/image" Target="media/image591.wmf"/>
  <Relationship Id="rId32" Type="http://schemas.openxmlformats.org/officeDocument/2006/relationships/oleObject" Target="embeddings/oleObject39.bin"/>
  <Relationship Id="rId320" Type="http://schemas.openxmlformats.org/officeDocument/2006/relationships/oleObject" Target="embeddings/oleObject590.bin"/>
  <Relationship Id="rId321" Type="http://schemas.openxmlformats.org/officeDocument/2006/relationships/image" Target="media/image592.wmf"/>
  <Relationship Id="rId322" Type="http://schemas.openxmlformats.org/officeDocument/2006/relationships/oleObject" Target="embeddings/oleObject591.bin"/>
  <Relationship Id="rId323" Type="http://schemas.openxmlformats.org/officeDocument/2006/relationships/image" Target="media/image593.wmf"/>
  <Relationship Id="rId324" Type="http://schemas.openxmlformats.org/officeDocument/2006/relationships/oleObject" Target="embeddings/oleObject592.bin"/>
  <Relationship Id="rId325" Type="http://schemas.openxmlformats.org/officeDocument/2006/relationships/image" Target="media/image594.wmf"/>
  <Relationship Id="rId326" Type="http://schemas.openxmlformats.org/officeDocument/2006/relationships/oleObject" Target="embeddings/oleObject593.bin"/>
  <Relationship Id="rId327" Type="http://schemas.openxmlformats.org/officeDocument/2006/relationships/image" Target="media/image595.wmf"/>
  <Relationship Id="rId328" Type="http://schemas.openxmlformats.org/officeDocument/2006/relationships/oleObject" Target="embeddings/oleObject594.bin"/>
  <Relationship Id="rId329" Type="http://schemas.openxmlformats.org/officeDocument/2006/relationships/image" Target="media/image596.wmf"/>
  <Relationship Id="rId33" Type="http://schemas.openxmlformats.org/officeDocument/2006/relationships/image" Target="media/image41.wmf"/>
  <Relationship Id="rId330" Type="http://schemas.openxmlformats.org/officeDocument/2006/relationships/oleObject" Target="embeddings/oleObject595.bin"/>
  <Relationship Id="rId331" Type="http://schemas.openxmlformats.org/officeDocument/2006/relationships/image" Target="media/image597.wmf"/>
  <Relationship Id="rId332" Type="http://schemas.openxmlformats.org/officeDocument/2006/relationships/oleObject" Target="embeddings/oleObject596.bin"/>
  <Relationship Id="rId333" Type="http://schemas.openxmlformats.org/officeDocument/2006/relationships/image" Target="media/image626.wmf"/>
  <Relationship Id="rId334" Type="http://schemas.openxmlformats.org/officeDocument/2006/relationships/oleObject" Target="embeddings/oleObject625.bin"/>
  <Relationship Id="rId335" Type="http://schemas.openxmlformats.org/officeDocument/2006/relationships/image" Target="media/image627.wmf"/>
  <Relationship Id="rId336" Type="http://schemas.openxmlformats.org/officeDocument/2006/relationships/oleObject" Target="embeddings/oleObject626.bin"/>
  <Relationship Id="rId337" Type="http://schemas.openxmlformats.org/officeDocument/2006/relationships/image" Target="media/image628.wmf"/>
  <Relationship Id="rId338" Type="http://schemas.openxmlformats.org/officeDocument/2006/relationships/oleObject" Target="embeddings/oleObject627.bin"/>
  <Relationship Id="rId339" Type="http://schemas.openxmlformats.org/officeDocument/2006/relationships/image" Target="media/image629.wmf"/>
  <Relationship Id="rId34" Type="http://schemas.openxmlformats.org/officeDocument/2006/relationships/oleObject" Target="embeddings/oleObject40.bin"/>
  <Relationship Id="rId340" Type="http://schemas.openxmlformats.org/officeDocument/2006/relationships/oleObject" Target="embeddings/oleObject628.bin"/>
  <Relationship Id="rId341" Type="http://schemas.openxmlformats.org/officeDocument/2006/relationships/image" Target="media/image630.wmf"/>
  <Relationship Id="rId342" Type="http://schemas.openxmlformats.org/officeDocument/2006/relationships/oleObject" Target="embeddings/oleObject629.bin"/>
  <Relationship Id="rId343" Type="http://schemas.openxmlformats.org/officeDocument/2006/relationships/image" Target="media/image631.wmf"/>
  <Relationship Id="rId344" Type="http://schemas.openxmlformats.org/officeDocument/2006/relationships/oleObject" Target="embeddings/oleObject630.bin"/>
  <Relationship Id="rId345" Type="http://schemas.openxmlformats.org/officeDocument/2006/relationships/image" Target="media/image632.wmf"/>
  <Relationship Id="rId346" Type="http://schemas.openxmlformats.org/officeDocument/2006/relationships/oleObject" Target="embeddings/oleObject631.bin"/>
  <Relationship Id="rId347" Type="http://schemas.openxmlformats.org/officeDocument/2006/relationships/image" Target="media/image641.wmf"/>
  <Relationship Id="rId348" Type="http://schemas.openxmlformats.org/officeDocument/2006/relationships/oleObject" Target="embeddings/oleObject640.bin"/>
  <Relationship Id="rId349" Type="http://schemas.openxmlformats.org/officeDocument/2006/relationships/image" Target="media/image642.wmf"/>
  <Relationship Id="rId35" Type="http://schemas.openxmlformats.org/officeDocument/2006/relationships/image" Target="media/image50.wmf"/>
  <Relationship Id="rId350" Type="http://schemas.openxmlformats.org/officeDocument/2006/relationships/oleObject" Target="embeddings/oleObject641.bin"/>
  <Relationship Id="rId351" Type="http://schemas.openxmlformats.org/officeDocument/2006/relationships/image" Target="media/image667.wmf"/>
  <Relationship Id="rId352" Type="http://schemas.openxmlformats.org/officeDocument/2006/relationships/oleObject" Target="embeddings/oleObject666.bin"/>
  <Relationship Id="rId353" Type="http://schemas.openxmlformats.org/officeDocument/2006/relationships/image" Target="media/image668.wmf"/>
  <Relationship Id="rId354" Type="http://schemas.openxmlformats.org/officeDocument/2006/relationships/oleObject" Target="embeddings/oleObject667.bin"/>
  <Relationship Id="rId355" Type="http://schemas.openxmlformats.org/officeDocument/2006/relationships/image" Target="media/image669.wmf"/>
  <Relationship Id="rId356" Type="http://schemas.openxmlformats.org/officeDocument/2006/relationships/oleObject" Target="embeddings/oleObject668.bin"/>
  <Relationship Id="rId357" Type="http://schemas.openxmlformats.org/officeDocument/2006/relationships/image" Target="media/image670.wmf"/>
  <Relationship Id="rId358" Type="http://schemas.openxmlformats.org/officeDocument/2006/relationships/oleObject" Target="embeddings/oleObject669.bin"/>
  <Relationship Id="rId359" Type="http://schemas.openxmlformats.org/officeDocument/2006/relationships/image" Target="media/image671.wmf"/>
  <Relationship Id="rId36" Type="http://schemas.openxmlformats.org/officeDocument/2006/relationships/oleObject" Target="embeddings/oleObject49.bin"/>
  <Relationship Id="rId360" Type="http://schemas.openxmlformats.org/officeDocument/2006/relationships/oleObject" Target="embeddings/oleObject670.bin"/>
  <Relationship Id="rId361" Type="http://schemas.openxmlformats.org/officeDocument/2006/relationships/image" Target="media/image672.wmf"/>
  <Relationship Id="rId362" Type="http://schemas.openxmlformats.org/officeDocument/2006/relationships/oleObject" Target="embeddings/oleObject671.bin"/>
  <Relationship Id="rId37" Type="http://schemas.openxmlformats.org/officeDocument/2006/relationships/image" Target="media/image51.wmf"/>
  <Relationship Id="rId38" Type="http://schemas.openxmlformats.org/officeDocument/2006/relationships/oleObject" Target="embeddings/oleObject50.bin"/>
  <Relationship Id="rId39" Type="http://schemas.openxmlformats.org/officeDocument/2006/relationships/image" Target="media/image64.wmf"/>
  <Relationship Id="rId4" Type="http://schemas.openxmlformats.org/officeDocument/2006/relationships/settings" Target="settings.xml"/>
  <Relationship Id="rId40" Type="http://schemas.openxmlformats.org/officeDocument/2006/relationships/oleObject" Target="embeddings/oleObject63.bin"/>
  <Relationship Id="rId41" Type="http://schemas.openxmlformats.org/officeDocument/2006/relationships/image" Target="media/image65.wmf"/>
  <Relationship Id="rId42" Type="http://schemas.openxmlformats.org/officeDocument/2006/relationships/oleObject" Target="embeddings/oleObject64.bin"/>
  <Relationship Id="rId43" Type="http://schemas.openxmlformats.org/officeDocument/2006/relationships/image" Target="media/image66.wmf"/>
  <Relationship Id="rId44" Type="http://schemas.openxmlformats.org/officeDocument/2006/relationships/oleObject" Target="embeddings/oleObject65.bin"/>
  <Relationship Id="rId45" Type="http://schemas.openxmlformats.org/officeDocument/2006/relationships/image" Target="media/image70.wmf"/>
  <Relationship Id="rId46" Type="http://schemas.openxmlformats.org/officeDocument/2006/relationships/oleObject" Target="embeddings/oleObject69.bin"/>
  <Relationship Id="rId47" Type="http://schemas.openxmlformats.org/officeDocument/2006/relationships/image" Target="media/image75.wmf"/>
  <Relationship Id="rId48" Type="http://schemas.openxmlformats.org/officeDocument/2006/relationships/oleObject" Target="embeddings/oleObject74.bin"/>
  <Relationship Id="rId49" Type="http://schemas.openxmlformats.org/officeDocument/2006/relationships/image" Target="media/image79.wmf"/>
  <Relationship Id="rId5" Type="http://schemas.openxmlformats.org/officeDocument/2006/relationships/styles" Target="styles.xml"/>
  <Relationship Id="rId50" Type="http://schemas.openxmlformats.org/officeDocument/2006/relationships/oleObject" Target="embeddings/oleObject78.bin"/>
  <Relationship Id="rId51" Type="http://schemas.openxmlformats.org/officeDocument/2006/relationships/image" Target="media/image89.wmf"/>
  <Relationship Id="rId52" Type="http://schemas.openxmlformats.org/officeDocument/2006/relationships/oleObject" Target="embeddings/oleObject88.bin"/>
  <Relationship Id="rId53" Type="http://schemas.openxmlformats.org/officeDocument/2006/relationships/image" Target="media/image90.wmf"/>
  <Relationship Id="rId54" Type="http://schemas.openxmlformats.org/officeDocument/2006/relationships/oleObject" Target="embeddings/oleObject89.bin"/>
  <Relationship Id="rId55" Type="http://schemas.openxmlformats.org/officeDocument/2006/relationships/image" Target="media/image91.wmf"/>
  <Relationship Id="rId56" Type="http://schemas.openxmlformats.org/officeDocument/2006/relationships/oleObject" Target="embeddings/oleObject90.bin"/>
  <Relationship Id="rId57" Type="http://schemas.openxmlformats.org/officeDocument/2006/relationships/image" Target="media/image128.wmf"/>
  <Relationship Id="rId58" Type="http://schemas.openxmlformats.org/officeDocument/2006/relationships/oleObject" Target="embeddings/oleObject127.bin"/>
  <Relationship Id="rId59" Type="http://schemas.openxmlformats.org/officeDocument/2006/relationships/image" Target="media/image129.wmf"/>
  <Relationship Id="rId6" Type="http://schemas.microsoft.com/office/2007/relationships/stylesWithEffects" Target="stylesWithEffects.xml"/>
  <Relationship Id="rId60" Type="http://schemas.openxmlformats.org/officeDocument/2006/relationships/oleObject" Target="embeddings/oleObject128.bin"/>
  <Relationship Id="rId61" Type="http://schemas.openxmlformats.org/officeDocument/2006/relationships/image" Target="media/image130.wmf"/>
  <Relationship Id="rId62" Type="http://schemas.openxmlformats.org/officeDocument/2006/relationships/oleObject" Target="embeddings/oleObject129.bin"/>
  <Relationship Id="rId63" Type="http://schemas.openxmlformats.org/officeDocument/2006/relationships/image" Target="media/image135.wmf"/>
  <Relationship Id="rId64" Type="http://schemas.openxmlformats.org/officeDocument/2006/relationships/oleObject" Target="embeddings/oleObject134.bin"/>
  <Relationship Id="rId65" Type="http://schemas.openxmlformats.org/officeDocument/2006/relationships/image" Target="media/image144.wmf"/>
  <Relationship Id="rId66" Type="http://schemas.openxmlformats.org/officeDocument/2006/relationships/oleObject" Target="embeddings/oleObject143.bin"/>
  <Relationship Id="rId67" Type="http://schemas.openxmlformats.org/officeDocument/2006/relationships/image" Target="media/image149.wmf"/>
  <Relationship Id="rId68" Type="http://schemas.openxmlformats.org/officeDocument/2006/relationships/oleObject" Target="embeddings/oleObject148.bin"/>
  <Relationship Id="rId69" Type="http://schemas.openxmlformats.org/officeDocument/2006/relationships/image" Target="media/image166.wmf"/>
  <Relationship Id="rId7" Type="http://schemas.openxmlformats.org/officeDocument/2006/relationships/theme" Target="theme/theme1.xml"/>
  <Relationship Id="rId70" Type="http://schemas.openxmlformats.org/officeDocument/2006/relationships/oleObject" Target="embeddings/oleObject165.bin"/>
  <Relationship Id="rId71" Type="http://schemas.openxmlformats.org/officeDocument/2006/relationships/image" Target="media/image167.wmf"/>
  <Relationship Id="rId72" Type="http://schemas.openxmlformats.org/officeDocument/2006/relationships/oleObject" Target="embeddings/oleObject166.bin"/>
  <Relationship Id="rId73" Type="http://schemas.openxmlformats.org/officeDocument/2006/relationships/image" Target="media/image168.wmf"/>
  <Relationship Id="rId74" Type="http://schemas.openxmlformats.org/officeDocument/2006/relationships/oleObject" Target="embeddings/oleObject167.bin"/>
  <Relationship Id="rId75" Type="http://schemas.openxmlformats.org/officeDocument/2006/relationships/image" Target="media/image169.wmf"/>
  <Relationship Id="rId76" Type="http://schemas.openxmlformats.org/officeDocument/2006/relationships/oleObject" Target="embeddings/oleObject168.bin"/>
  <Relationship Id="rId77" Type="http://schemas.openxmlformats.org/officeDocument/2006/relationships/image" Target="media/image190.wmf"/>
  <Relationship Id="rId78" Type="http://schemas.openxmlformats.org/officeDocument/2006/relationships/oleObject" Target="embeddings/oleObject189.bin"/>
  <Relationship Id="rId79" Type="http://schemas.openxmlformats.org/officeDocument/2006/relationships/image" Target="media/image191.wmf"/>
  <Relationship Id="rId8" Type="http://schemas.openxmlformats.org/officeDocument/2006/relationships/webSettings" Target="webSettings.xml"/>
  <Relationship Id="rId80" Type="http://schemas.openxmlformats.org/officeDocument/2006/relationships/oleObject" Target="embeddings/oleObject190.bin"/>
  <Relationship Id="rId81" Type="http://schemas.openxmlformats.org/officeDocument/2006/relationships/image" Target="media/image192.wmf"/>
  <Relationship Id="rId82" Type="http://schemas.openxmlformats.org/officeDocument/2006/relationships/oleObject" Target="embeddings/oleObject191.bin"/>
  <Relationship Id="rId83" Type="http://schemas.openxmlformats.org/officeDocument/2006/relationships/image" Target="media/image193.wmf"/>
  <Relationship Id="rId84" Type="http://schemas.openxmlformats.org/officeDocument/2006/relationships/oleObject" Target="embeddings/oleObject192.bin"/>
  <Relationship Id="rId85" Type="http://schemas.openxmlformats.org/officeDocument/2006/relationships/image" Target="media/image194.wmf"/>
  <Relationship Id="rId86" Type="http://schemas.openxmlformats.org/officeDocument/2006/relationships/oleObject" Target="embeddings/oleObject193.bin"/>
  <Relationship Id="rId87" Type="http://schemas.openxmlformats.org/officeDocument/2006/relationships/hyperlink" TargetMode="External" Target="https://www.e-tar.lt/portal/lt/legalAct/TAR.361470957F85"/>
  <Relationship Id="rId88" Type="http://schemas.openxmlformats.org/officeDocument/2006/relationships/image" Target="media/image219.wmf"/>
  <Relationship Id="rId89" Type="http://schemas.openxmlformats.org/officeDocument/2006/relationships/oleObject" Target="embeddings/oleObject218.bin"/>
  <Relationship Id="rId9" Type="http://schemas.openxmlformats.org/officeDocument/2006/relationships/image" Target="media/image7.wmf"/>
  <Relationship Id="rId90" Type="http://schemas.openxmlformats.org/officeDocument/2006/relationships/image" Target="media/image220.wmf"/>
  <Relationship Id="rId91" Type="http://schemas.openxmlformats.org/officeDocument/2006/relationships/oleObject" Target="embeddings/oleObject219.bin"/>
  <Relationship Id="rId92" Type="http://schemas.openxmlformats.org/officeDocument/2006/relationships/image" Target="media/image221.wmf"/>
  <Relationship Id="rId93" Type="http://schemas.openxmlformats.org/officeDocument/2006/relationships/oleObject" Target="embeddings/oleObject220.bin"/>
  <Relationship Id="rId94" Type="http://schemas.openxmlformats.org/officeDocument/2006/relationships/image" Target="media/image222.wmf"/>
  <Relationship Id="rId95" Type="http://schemas.openxmlformats.org/officeDocument/2006/relationships/oleObject" Target="embeddings/oleObject221.bin"/>
  <Relationship Id="rId96" Type="http://schemas.openxmlformats.org/officeDocument/2006/relationships/image" Target="media/image223.wmf"/>
  <Relationship Id="rId97" Type="http://schemas.openxmlformats.org/officeDocument/2006/relationships/oleObject" Target="embeddings/oleObject222.bin"/>
  <Relationship Id="rId98" Type="http://schemas.openxmlformats.org/officeDocument/2006/relationships/image" Target="media/image224.wmf"/>
  <Relationship Id="rId99" Type="http://schemas.openxmlformats.org/officeDocument/2006/relationships/oleObject" Target="embeddings/oleObject223.bin"/>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238</TotalTime>
  <Pages>106</Pages>
  <Words>191224</Words>
  <Characters>108999</Characters>
  <Application>Microsoft Office Word</Application>
  <DocSecurity>0</DocSecurity>
  <Lines>908</Lines>
  <Paragraphs>599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Neoficialus įsakymo tekstas</vt:lpstr>
    </vt:vector>
  </TitlesOfParts>
  <Company>LRS</Company>
  <LinksUpToDate>false</LinksUpToDate>
  <CharactersWithSpaces>299624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2015-08-03T20:38:00Z</dcterms:created>
  <dc:creator>Vidmantas</dc:creator>
  <lastModifiedBy>JUOSPONIENĖ Karolina</lastModifiedBy>
  <lastPrinted>2012-02-08T09:44:00Z</lastPrinted>
  <dcterms:modified xsi:type="dcterms:W3CDTF">2019-01-04T14:46:00Z</dcterms:modified>
  <revision>35</revision>
  <dc:title>Neoficialus įsakymo tekstas</dc:title>
</coreProperties>
</file>